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DF" w:rsidRDefault="000F60DF">
      <w:pPr>
        <w:pStyle w:val="Nadpis3"/>
      </w:pPr>
      <w:r>
        <w:t>Příloha č. 2</w:t>
      </w:r>
    </w:p>
    <w:p w:rsidR="000F60DF" w:rsidRDefault="000F60DF">
      <w:pPr>
        <w:pStyle w:val="Nadpis4"/>
      </w:pPr>
      <w:r>
        <w:t>Věcná náplň řešení projektu</w:t>
      </w:r>
    </w:p>
    <w:p w:rsidR="000F60DF" w:rsidRDefault="000F60DF"/>
    <w:p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A14266" w:rsidRPr="00A14266">
        <w:rPr>
          <w:b/>
          <w:bCs/>
        </w:rPr>
        <w:t>Zvyšování přesnosti polohování průmyslových robotů pro obráběcí aplikace</w:t>
      </w:r>
    </w:p>
    <w:p w:rsidR="000F60DF" w:rsidRDefault="000F60DF">
      <w:pPr>
        <w:tabs>
          <w:tab w:val="left" w:pos="900"/>
        </w:tabs>
        <w:ind w:left="900" w:hanging="900"/>
        <w:jc w:val="both"/>
      </w:pPr>
    </w:p>
    <w:p w:rsidR="000F60DF" w:rsidRPr="00A14266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A14266" w:rsidRPr="00A14266">
        <w:rPr>
          <w:b/>
        </w:rPr>
        <w:t>FV10412</w:t>
      </w:r>
    </w:p>
    <w:p w:rsidR="005F71F8" w:rsidRDefault="005F71F8">
      <w:pPr>
        <w:rPr>
          <w:b/>
          <w:bCs/>
        </w:rPr>
      </w:pPr>
    </w:p>
    <w:p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:rsidR="009807A5" w:rsidRDefault="009807A5"/>
    <w:tbl>
      <w:tblPr>
        <w:tblW w:w="984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020"/>
        <w:gridCol w:w="1559"/>
        <w:gridCol w:w="1134"/>
      </w:tblGrid>
      <w:tr w:rsidR="000F60DF" w:rsidTr="002D6DB4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6020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Orientační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zajištění řešení etap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pacing w:val="-8"/>
                <w:sz w:val="22"/>
              </w:rPr>
              <w:t>Orientační</w:t>
            </w:r>
          </w:p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:rsidTr="00A14266">
        <w:trPr>
          <w:trHeight w:hRule="exact" w:val="387"/>
        </w:trPr>
        <w:tc>
          <w:tcPr>
            <w:tcW w:w="9848" w:type="dxa"/>
            <w:gridSpan w:val="4"/>
            <w:vAlign w:val="center"/>
          </w:tcPr>
          <w:p w:rsidR="000F60DF" w:rsidRDefault="000F60DF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</w:t>
            </w:r>
            <w:r w:rsidR="00BB4FB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2966DD" w:rsidTr="002D6DB4">
        <w:trPr>
          <w:trHeight w:hRule="exact" w:val="5666"/>
        </w:trPr>
        <w:tc>
          <w:tcPr>
            <w:tcW w:w="1135" w:type="dxa"/>
            <w:vAlign w:val="center"/>
          </w:tcPr>
          <w:p w:rsidR="002966DD" w:rsidRPr="002966DD" w:rsidRDefault="002966DD" w:rsidP="002966DD">
            <w:pPr>
              <w:jc w:val="center"/>
              <w:rPr>
                <w:b/>
                <w:bCs/>
                <w:sz w:val="22"/>
                <w:szCs w:val="22"/>
              </w:rPr>
            </w:pPr>
            <w:r w:rsidRPr="002966D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20" w:type="dxa"/>
            <w:vAlign w:val="center"/>
          </w:tcPr>
          <w:p w:rsidR="002966DD" w:rsidRPr="002966DD" w:rsidRDefault="002966DD" w:rsidP="002966DD">
            <w:pPr>
              <w:rPr>
                <w:b/>
                <w:sz w:val="22"/>
                <w:szCs w:val="22"/>
              </w:rPr>
            </w:pPr>
            <w:r w:rsidRPr="002966DD">
              <w:rPr>
                <w:b/>
                <w:sz w:val="22"/>
                <w:szCs w:val="22"/>
              </w:rPr>
              <w:t>Problematika obrábění průmyslovými roboty, zajištění testovacích prvků vhodných k obrábění s průmyslovými roboty</w:t>
            </w:r>
          </w:p>
          <w:p w:rsidR="002966DD" w:rsidRPr="002966DD" w:rsidRDefault="002966DD" w:rsidP="002966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2966DD">
              <w:rPr>
                <w:sz w:val="22"/>
                <w:szCs w:val="22"/>
              </w:rPr>
              <w:t>olba vhodné kompenzační metody pro jednotlivé typy objektů/vzorků. Půjde zejména o strategie pasivní/aktivní kompenzace chyb polohování průmyslového robotu a přesné vedení nástroje na základě absolutního měření polohy externím měřicím systémem.</w:t>
            </w:r>
          </w:p>
          <w:p w:rsidR="002966DD" w:rsidRPr="002966DD" w:rsidRDefault="002966DD" w:rsidP="002966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966DD">
              <w:rPr>
                <w:sz w:val="22"/>
                <w:szCs w:val="22"/>
              </w:rPr>
              <w:t>říprava a zajištění počátečních reálných objektů/vzorků pro testování, dodaných potenciálními koncovými uživateli (zákazníky) výsledků projektu, jejich analýza a stanovení základních možných přístupů a postupů kompenzačních metod vzhledem k charakteru obráběcího procesu.</w:t>
            </w:r>
          </w:p>
          <w:p w:rsidR="002966DD" w:rsidRPr="002966DD" w:rsidRDefault="002966DD" w:rsidP="002966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2966DD">
              <w:rPr>
                <w:sz w:val="22"/>
                <w:szCs w:val="22"/>
              </w:rPr>
              <w:t>ajištění co možná největšího počtu různých vzorků/objektů pro testování. Výběr vzorků pak bude v průběhu projektu rozšiřován na základě aktuálních poptávek.</w:t>
            </w:r>
          </w:p>
          <w:p w:rsidR="002966DD" w:rsidRPr="002966DD" w:rsidRDefault="002966DD" w:rsidP="002966DD">
            <w:pPr>
              <w:rPr>
                <w:sz w:val="22"/>
                <w:szCs w:val="22"/>
              </w:rPr>
            </w:pPr>
            <w:r w:rsidRPr="002966DD">
              <w:rPr>
                <w:sz w:val="22"/>
                <w:szCs w:val="22"/>
              </w:rPr>
              <w:t>V průběhu etapy bude dále zpracována analýza, resp. revize aktuálních trendů a stavu techniky v dané oblasti s cílem aktualizovat a revidovat přístup k řešení projektu, a to na základě analýzy aktuálních/nových patentů a odborných článků publikovaných až v průběhu řešení projektu, neboť se jedná o velmi dynamicky se rozvíjející oblast.</w:t>
            </w:r>
          </w:p>
          <w:p w:rsidR="002966DD" w:rsidRPr="002966DD" w:rsidRDefault="002966DD" w:rsidP="002966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D6DB4" w:rsidRPr="002D6DB4" w:rsidRDefault="002D6DB4" w:rsidP="002D6DB4">
            <w:pPr>
              <w:pStyle w:val="Bezmezer"/>
              <w:rPr>
                <w:sz w:val="22"/>
                <w:szCs w:val="22"/>
              </w:rPr>
            </w:pPr>
            <w:proofErr w:type="spellStart"/>
            <w:r w:rsidRPr="002D6DB4">
              <w:rPr>
                <w:sz w:val="22"/>
                <w:szCs w:val="22"/>
              </w:rPr>
              <w:t>Blumenbecke</w:t>
            </w:r>
            <w:r>
              <w:rPr>
                <w:sz w:val="22"/>
                <w:szCs w:val="22"/>
              </w:rPr>
              <w:t>r</w:t>
            </w:r>
            <w:proofErr w:type="spellEnd"/>
          </w:p>
          <w:p w:rsidR="002D6DB4" w:rsidRPr="002D6DB4" w:rsidRDefault="002D6DB4" w:rsidP="002D6DB4">
            <w:pPr>
              <w:pStyle w:val="Bezmezer"/>
              <w:rPr>
                <w:sz w:val="22"/>
                <w:szCs w:val="22"/>
              </w:rPr>
            </w:pPr>
            <w:r w:rsidRPr="002D6DB4">
              <w:rPr>
                <w:sz w:val="22"/>
                <w:szCs w:val="22"/>
              </w:rPr>
              <w:t>Prag,</w:t>
            </w:r>
          </w:p>
          <w:p w:rsidR="002D6DB4" w:rsidRPr="002D6DB4" w:rsidRDefault="002D6DB4" w:rsidP="002D6DB4">
            <w:pPr>
              <w:pStyle w:val="Bezmezer"/>
              <w:rPr>
                <w:sz w:val="22"/>
                <w:szCs w:val="22"/>
              </w:rPr>
            </w:pPr>
            <w:r w:rsidRPr="002D6DB4">
              <w:rPr>
                <w:sz w:val="22"/>
                <w:szCs w:val="22"/>
              </w:rPr>
              <w:t>VUT v Brně</w:t>
            </w:r>
          </w:p>
          <w:p w:rsidR="002966DD" w:rsidRPr="002966DD" w:rsidRDefault="002966DD" w:rsidP="002966DD">
            <w:pPr>
              <w:spacing w:before="120" w:after="120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966DD" w:rsidRPr="002966DD" w:rsidRDefault="002966DD" w:rsidP="002966DD">
            <w:pPr>
              <w:spacing w:before="120" w:after="120"/>
              <w:ind w:left="-108" w:right="-108"/>
              <w:jc w:val="center"/>
              <w:rPr>
                <w:sz w:val="22"/>
                <w:szCs w:val="22"/>
              </w:rPr>
            </w:pPr>
            <w:r w:rsidRPr="002966DD">
              <w:rPr>
                <w:sz w:val="22"/>
                <w:szCs w:val="22"/>
              </w:rPr>
              <w:t>12/2016</w:t>
            </w:r>
          </w:p>
        </w:tc>
      </w:tr>
      <w:tr w:rsidR="002966DD" w:rsidTr="002D6DB4">
        <w:trPr>
          <w:trHeight w:hRule="exact" w:val="3970"/>
        </w:trPr>
        <w:tc>
          <w:tcPr>
            <w:tcW w:w="1135" w:type="dxa"/>
            <w:vAlign w:val="center"/>
          </w:tcPr>
          <w:p w:rsidR="002966DD" w:rsidRPr="002D6DB4" w:rsidRDefault="002966DD" w:rsidP="002966DD">
            <w:pPr>
              <w:jc w:val="center"/>
              <w:rPr>
                <w:b/>
                <w:bCs/>
                <w:sz w:val="22"/>
                <w:szCs w:val="22"/>
              </w:rPr>
            </w:pPr>
            <w:r w:rsidRPr="002D6DB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20" w:type="dxa"/>
            <w:vAlign w:val="center"/>
          </w:tcPr>
          <w:p w:rsidR="002966DD" w:rsidRPr="002966DD" w:rsidRDefault="002966DD" w:rsidP="002966DD">
            <w:pPr>
              <w:rPr>
                <w:b/>
                <w:sz w:val="22"/>
                <w:szCs w:val="22"/>
              </w:rPr>
            </w:pPr>
            <w:r w:rsidRPr="002966DD">
              <w:rPr>
                <w:b/>
                <w:sz w:val="22"/>
                <w:szCs w:val="22"/>
              </w:rPr>
              <w:t xml:space="preserve">Příprava a </w:t>
            </w:r>
            <w:r>
              <w:rPr>
                <w:b/>
                <w:sz w:val="22"/>
                <w:szCs w:val="22"/>
              </w:rPr>
              <w:t>sestavení testovacích pracovišť</w:t>
            </w:r>
          </w:p>
          <w:p w:rsidR="002966DD" w:rsidRPr="002966DD" w:rsidRDefault="00743A44" w:rsidP="002966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966DD" w:rsidRPr="002966DD">
              <w:rPr>
                <w:sz w:val="22"/>
                <w:szCs w:val="22"/>
              </w:rPr>
              <w:t xml:space="preserve">říprava a zprovoznění prvotní podoby testovacích pracovišť pro experimentální činnost, návrhy a výroba nezbytných přípravků a komponent, zajištění potřebných periferií apod. pro následné testování vyvíjené technologie. Nosnými prvky testovacích pracovišť budou především průmyslové roboty (PR) KUKA různých velikostí a nosností (např. KR 3, KR 6 </w:t>
            </w:r>
            <w:proofErr w:type="spellStart"/>
            <w:r w:rsidR="002966DD" w:rsidRPr="002966DD">
              <w:rPr>
                <w:sz w:val="22"/>
                <w:szCs w:val="22"/>
              </w:rPr>
              <w:t>sixx</w:t>
            </w:r>
            <w:proofErr w:type="spellEnd"/>
            <w:r w:rsidR="002966DD" w:rsidRPr="002966DD">
              <w:rPr>
                <w:sz w:val="22"/>
                <w:szCs w:val="22"/>
              </w:rPr>
              <w:t xml:space="preserve">, KR 16, KR 60 HA atd.), obráběcí </w:t>
            </w:r>
            <w:proofErr w:type="spellStart"/>
            <w:r w:rsidR="002966DD" w:rsidRPr="002966DD">
              <w:rPr>
                <w:sz w:val="22"/>
                <w:szCs w:val="22"/>
              </w:rPr>
              <w:t>elektrovřeteno</w:t>
            </w:r>
            <w:proofErr w:type="spellEnd"/>
            <w:r w:rsidR="002966DD" w:rsidRPr="002966DD">
              <w:rPr>
                <w:sz w:val="22"/>
                <w:szCs w:val="22"/>
              </w:rPr>
              <w:t xml:space="preserve"> JÄGER, pneumatické vřeteno SCHUNK, silo-momentové senzory SCHUNK a externí hardware pro vyhodnocování a zpracování dat ze snímačů (PLC systémy Siemens, </w:t>
            </w:r>
            <w:proofErr w:type="spellStart"/>
            <w:r w:rsidR="002966DD" w:rsidRPr="002966DD">
              <w:rPr>
                <w:sz w:val="22"/>
                <w:szCs w:val="22"/>
              </w:rPr>
              <w:t>Beckhoff</w:t>
            </w:r>
            <w:proofErr w:type="spellEnd"/>
            <w:r w:rsidR="002966DD" w:rsidRPr="002966DD">
              <w:rPr>
                <w:sz w:val="22"/>
                <w:szCs w:val="22"/>
              </w:rPr>
              <w:t xml:space="preserve">). </w:t>
            </w:r>
            <w:r>
              <w:rPr>
                <w:sz w:val="22"/>
                <w:szCs w:val="22"/>
              </w:rPr>
              <w:t>O</w:t>
            </w:r>
            <w:r w:rsidR="002966DD" w:rsidRPr="002966DD">
              <w:rPr>
                <w:sz w:val="22"/>
                <w:szCs w:val="22"/>
              </w:rPr>
              <w:t>dladění základních programových rutin pro vyhodnocování dat ze senzorů a pro komunikaci mezi dílčími systémy a průmyslovým robotem na jednoduchých úlohách. Komunikace v reálném čase bud</w:t>
            </w:r>
            <w:r>
              <w:rPr>
                <w:sz w:val="22"/>
                <w:szCs w:val="22"/>
              </w:rPr>
              <w:t xml:space="preserve">e založena na sběrnici </w:t>
            </w:r>
            <w:proofErr w:type="spellStart"/>
            <w:r>
              <w:rPr>
                <w:sz w:val="22"/>
                <w:szCs w:val="22"/>
              </w:rPr>
              <w:t>EtherCAT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966DD" w:rsidRPr="002966DD" w:rsidRDefault="002966DD" w:rsidP="002966DD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D6DB4" w:rsidRPr="002D6DB4" w:rsidRDefault="002D6DB4" w:rsidP="002D6DB4">
            <w:pPr>
              <w:pStyle w:val="Bezmezer"/>
              <w:rPr>
                <w:sz w:val="22"/>
                <w:szCs w:val="22"/>
              </w:rPr>
            </w:pPr>
            <w:proofErr w:type="spellStart"/>
            <w:r w:rsidRPr="002D6DB4">
              <w:rPr>
                <w:sz w:val="22"/>
                <w:szCs w:val="22"/>
              </w:rPr>
              <w:t>Blumenbecke</w:t>
            </w:r>
            <w:r>
              <w:rPr>
                <w:sz w:val="22"/>
                <w:szCs w:val="22"/>
              </w:rPr>
              <w:t>r</w:t>
            </w:r>
            <w:proofErr w:type="spellEnd"/>
          </w:p>
          <w:p w:rsidR="002D6DB4" w:rsidRPr="002D6DB4" w:rsidRDefault="002D6DB4" w:rsidP="002D6DB4">
            <w:pPr>
              <w:pStyle w:val="Bezmezer"/>
              <w:rPr>
                <w:sz w:val="22"/>
                <w:szCs w:val="22"/>
              </w:rPr>
            </w:pPr>
            <w:r w:rsidRPr="002D6DB4">
              <w:rPr>
                <w:sz w:val="22"/>
                <w:szCs w:val="22"/>
              </w:rPr>
              <w:t>Prag,</w:t>
            </w:r>
          </w:p>
          <w:p w:rsidR="002D6DB4" w:rsidRPr="002D6DB4" w:rsidRDefault="002D6DB4" w:rsidP="002D6DB4">
            <w:pPr>
              <w:pStyle w:val="Bezmezer"/>
              <w:rPr>
                <w:sz w:val="22"/>
                <w:szCs w:val="22"/>
              </w:rPr>
            </w:pPr>
            <w:r w:rsidRPr="002D6DB4">
              <w:rPr>
                <w:sz w:val="22"/>
                <w:szCs w:val="22"/>
              </w:rPr>
              <w:t>VUT v Brně</w:t>
            </w:r>
          </w:p>
          <w:p w:rsidR="002966DD" w:rsidRPr="002966DD" w:rsidRDefault="002966DD" w:rsidP="002966DD">
            <w:pPr>
              <w:rPr>
                <w:color w:val="000000"/>
                <w:sz w:val="22"/>
                <w:szCs w:val="22"/>
              </w:rPr>
            </w:pPr>
          </w:p>
          <w:p w:rsidR="002966DD" w:rsidRPr="002966DD" w:rsidRDefault="002966DD" w:rsidP="002966DD">
            <w:pPr>
              <w:rPr>
                <w:color w:val="000000"/>
                <w:sz w:val="22"/>
                <w:szCs w:val="22"/>
              </w:rPr>
            </w:pPr>
          </w:p>
          <w:p w:rsidR="002966DD" w:rsidRPr="002966DD" w:rsidRDefault="002966DD" w:rsidP="002966DD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966DD" w:rsidRPr="002966DD" w:rsidRDefault="002966DD" w:rsidP="002966DD">
            <w:pPr>
              <w:pStyle w:val="Nadpis1"/>
              <w:spacing w:before="0" w:after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2966DD">
              <w:rPr>
                <w:rFonts w:ascii="Times New Roman" w:hAnsi="Times New Roman"/>
                <w:b w:val="0"/>
                <w:bCs/>
                <w:sz w:val="22"/>
                <w:szCs w:val="22"/>
              </w:rPr>
              <w:t>12/2016</w:t>
            </w:r>
          </w:p>
          <w:p w:rsidR="002966DD" w:rsidRPr="002966DD" w:rsidRDefault="002966DD" w:rsidP="002966DD">
            <w:pPr>
              <w:rPr>
                <w:sz w:val="22"/>
                <w:szCs w:val="22"/>
              </w:rPr>
            </w:pPr>
          </w:p>
          <w:p w:rsidR="002966DD" w:rsidRPr="002966DD" w:rsidRDefault="002966DD" w:rsidP="002966DD">
            <w:pPr>
              <w:rPr>
                <w:sz w:val="22"/>
                <w:szCs w:val="22"/>
              </w:rPr>
            </w:pPr>
          </w:p>
          <w:p w:rsidR="002966DD" w:rsidRPr="002966DD" w:rsidRDefault="002966DD" w:rsidP="002966DD">
            <w:pPr>
              <w:rPr>
                <w:sz w:val="22"/>
                <w:szCs w:val="22"/>
              </w:rPr>
            </w:pPr>
          </w:p>
          <w:p w:rsidR="002966DD" w:rsidRPr="002966DD" w:rsidRDefault="002966DD" w:rsidP="002966DD">
            <w:pPr>
              <w:rPr>
                <w:sz w:val="22"/>
                <w:szCs w:val="22"/>
              </w:rPr>
            </w:pPr>
          </w:p>
        </w:tc>
      </w:tr>
      <w:tr w:rsidR="002966DD" w:rsidTr="00D63250">
        <w:trPr>
          <w:trHeight w:hRule="exact" w:val="444"/>
        </w:trPr>
        <w:tc>
          <w:tcPr>
            <w:tcW w:w="9848" w:type="dxa"/>
            <w:gridSpan w:val="4"/>
            <w:vAlign w:val="center"/>
          </w:tcPr>
          <w:p w:rsidR="002966DD" w:rsidRDefault="002966DD" w:rsidP="002966DD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rok 2017</w:t>
            </w:r>
          </w:p>
        </w:tc>
      </w:tr>
      <w:tr w:rsidR="002966DD" w:rsidTr="00D63250">
        <w:trPr>
          <w:trHeight w:hRule="exact" w:val="2548"/>
        </w:trPr>
        <w:tc>
          <w:tcPr>
            <w:tcW w:w="1135" w:type="dxa"/>
            <w:vAlign w:val="center"/>
          </w:tcPr>
          <w:p w:rsidR="002966DD" w:rsidRPr="002D6DB4" w:rsidRDefault="00743A44" w:rsidP="002966DD">
            <w:pPr>
              <w:jc w:val="center"/>
              <w:rPr>
                <w:b/>
                <w:bCs/>
                <w:sz w:val="22"/>
                <w:szCs w:val="22"/>
              </w:rPr>
            </w:pPr>
            <w:r w:rsidRPr="002D6DB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20" w:type="dxa"/>
            <w:vAlign w:val="center"/>
          </w:tcPr>
          <w:p w:rsidR="00743A44" w:rsidRPr="002D6DB4" w:rsidRDefault="00743A44" w:rsidP="00743A44">
            <w:pPr>
              <w:jc w:val="both"/>
              <w:rPr>
                <w:b/>
                <w:sz w:val="22"/>
                <w:szCs w:val="22"/>
              </w:rPr>
            </w:pPr>
            <w:r w:rsidRPr="002D6DB4">
              <w:rPr>
                <w:b/>
                <w:sz w:val="22"/>
                <w:szCs w:val="22"/>
              </w:rPr>
              <w:t>Přímé měření výchozích chyb polohování průmyslového robotu během obráběcích operací</w:t>
            </w:r>
          </w:p>
          <w:p w:rsidR="00743A44" w:rsidRPr="002D6DB4" w:rsidRDefault="002D6DB4" w:rsidP="005F71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743A44" w:rsidRPr="002D6DB4">
              <w:rPr>
                <w:sz w:val="22"/>
                <w:szCs w:val="22"/>
              </w:rPr>
              <w:t xml:space="preserve">ěření přesnosti polohování robotu (s využitím systémů jako je např. </w:t>
            </w:r>
            <w:proofErr w:type="spellStart"/>
            <w:r w:rsidR="00743A44" w:rsidRPr="002D6DB4">
              <w:rPr>
                <w:sz w:val="22"/>
                <w:szCs w:val="22"/>
              </w:rPr>
              <w:t>Ballbar</w:t>
            </w:r>
            <w:proofErr w:type="spellEnd"/>
            <w:r w:rsidR="00743A44" w:rsidRPr="002D6DB4">
              <w:rPr>
                <w:sz w:val="22"/>
                <w:szCs w:val="22"/>
              </w:rPr>
              <w:t xml:space="preserve">, </w:t>
            </w:r>
            <w:proofErr w:type="spellStart"/>
            <w:r w:rsidR="00743A44" w:rsidRPr="002D6DB4">
              <w:rPr>
                <w:sz w:val="22"/>
                <w:szCs w:val="22"/>
              </w:rPr>
              <w:t>Laserinterferometr</w:t>
            </w:r>
            <w:proofErr w:type="spellEnd"/>
            <w:r w:rsidR="00743A44" w:rsidRPr="002D6DB4">
              <w:rPr>
                <w:sz w:val="22"/>
                <w:szCs w:val="22"/>
              </w:rPr>
              <w:t xml:space="preserve">, Laser </w:t>
            </w:r>
            <w:proofErr w:type="spellStart"/>
            <w:r w:rsidR="00743A44" w:rsidRPr="002D6DB4">
              <w:rPr>
                <w:sz w:val="22"/>
                <w:szCs w:val="22"/>
              </w:rPr>
              <w:t>Tracer</w:t>
            </w:r>
            <w:proofErr w:type="spellEnd"/>
            <w:r w:rsidR="00743A44" w:rsidRPr="002D6DB4">
              <w:rPr>
                <w:sz w:val="22"/>
                <w:szCs w:val="22"/>
              </w:rPr>
              <w:t xml:space="preserve"> či Laser </w:t>
            </w:r>
            <w:proofErr w:type="spellStart"/>
            <w:r w:rsidR="00743A44" w:rsidRPr="002D6DB4">
              <w:rPr>
                <w:sz w:val="22"/>
                <w:szCs w:val="22"/>
              </w:rPr>
              <w:t>Tracker</w:t>
            </w:r>
            <w:proofErr w:type="spellEnd"/>
            <w:r w:rsidR="00743A44" w:rsidRPr="002D6DB4">
              <w:rPr>
                <w:sz w:val="22"/>
                <w:szCs w:val="22"/>
              </w:rPr>
              <w:t>) zjistit výchozí velikost chyb bez jakéhokoliv druhu kompenzace a identifikovat nejdůležitější zdroje těchto chyb během obráběcího procesu.</w:t>
            </w:r>
          </w:p>
          <w:p w:rsidR="002966DD" w:rsidRPr="002D6DB4" w:rsidRDefault="00743A44" w:rsidP="005F71F8">
            <w:pPr>
              <w:jc w:val="both"/>
              <w:rPr>
                <w:bCs/>
                <w:sz w:val="22"/>
                <w:szCs w:val="22"/>
              </w:rPr>
            </w:pPr>
            <w:r w:rsidRPr="002D6DB4">
              <w:rPr>
                <w:sz w:val="22"/>
                <w:szCs w:val="22"/>
              </w:rPr>
              <w:t xml:space="preserve">Pro uvedená měření bude vytvořena metodika měření, určená specificky pro kinematiku 6DOF robotu. </w:t>
            </w:r>
          </w:p>
        </w:tc>
        <w:tc>
          <w:tcPr>
            <w:tcW w:w="1559" w:type="dxa"/>
            <w:vAlign w:val="center"/>
          </w:tcPr>
          <w:p w:rsidR="002D6DB4" w:rsidRPr="002D6DB4" w:rsidRDefault="002D6DB4" w:rsidP="002D6DB4">
            <w:pPr>
              <w:pStyle w:val="Bezmezer"/>
              <w:rPr>
                <w:sz w:val="22"/>
                <w:szCs w:val="22"/>
              </w:rPr>
            </w:pPr>
            <w:proofErr w:type="spellStart"/>
            <w:r w:rsidRPr="002D6DB4">
              <w:rPr>
                <w:sz w:val="22"/>
                <w:szCs w:val="22"/>
              </w:rPr>
              <w:t>Blumenbecke</w:t>
            </w:r>
            <w:r>
              <w:rPr>
                <w:sz w:val="22"/>
                <w:szCs w:val="22"/>
              </w:rPr>
              <w:t>r</w:t>
            </w:r>
            <w:proofErr w:type="spellEnd"/>
          </w:p>
          <w:p w:rsidR="002D6DB4" w:rsidRPr="002D6DB4" w:rsidRDefault="002D6DB4" w:rsidP="002D6DB4">
            <w:pPr>
              <w:pStyle w:val="Bezmezer"/>
              <w:rPr>
                <w:sz w:val="22"/>
                <w:szCs w:val="22"/>
              </w:rPr>
            </w:pPr>
            <w:r w:rsidRPr="002D6DB4">
              <w:rPr>
                <w:sz w:val="22"/>
                <w:szCs w:val="22"/>
              </w:rPr>
              <w:t>Prag,</w:t>
            </w:r>
          </w:p>
          <w:p w:rsidR="002D6DB4" w:rsidRPr="002D6DB4" w:rsidRDefault="002D6DB4" w:rsidP="002D6DB4">
            <w:pPr>
              <w:pStyle w:val="Bezmezer"/>
              <w:rPr>
                <w:sz w:val="22"/>
                <w:szCs w:val="22"/>
              </w:rPr>
            </w:pPr>
            <w:r w:rsidRPr="002D6DB4">
              <w:rPr>
                <w:sz w:val="22"/>
                <w:szCs w:val="22"/>
              </w:rPr>
              <w:t>VUT v Brně</w:t>
            </w:r>
          </w:p>
          <w:p w:rsidR="002966DD" w:rsidRPr="002D6DB4" w:rsidRDefault="002966DD" w:rsidP="002D6DB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966DD" w:rsidRPr="002D6DB4" w:rsidRDefault="00743A44" w:rsidP="002966DD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2D6DB4">
              <w:rPr>
                <w:rFonts w:ascii="Times New Roman" w:hAnsi="Times New Roman"/>
                <w:b w:val="0"/>
                <w:bCs/>
                <w:sz w:val="22"/>
                <w:szCs w:val="22"/>
              </w:rPr>
              <w:t>3/2017</w:t>
            </w:r>
          </w:p>
        </w:tc>
      </w:tr>
      <w:tr w:rsidR="002966DD" w:rsidTr="00D63250">
        <w:trPr>
          <w:trHeight w:hRule="exact" w:val="880"/>
        </w:trPr>
        <w:tc>
          <w:tcPr>
            <w:tcW w:w="1135" w:type="dxa"/>
            <w:vAlign w:val="center"/>
          </w:tcPr>
          <w:p w:rsidR="002966DD" w:rsidRPr="002D6DB4" w:rsidRDefault="002D6DB4" w:rsidP="002966DD">
            <w:pPr>
              <w:jc w:val="center"/>
              <w:rPr>
                <w:b/>
                <w:bCs/>
                <w:sz w:val="22"/>
                <w:szCs w:val="22"/>
              </w:rPr>
            </w:pPr>
            <w:r w:rsidRPr="002D6DB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20" w:type="dxa"/>
            <w:vAlign w:val="center"/>
          </w:tcPr>
          <w:p w:rsidR="002D6DB4" w:rsidRPr="002D6DB4" w:rsidRDefault="002D6DB4" w:rsidP="002D6DB4">
            <w:pPr>
              <w:rPr>
                <w:b/>
                <w:sz w:val="22"/>
                <w:szCs w:val="22"/>
              </w:rPr>
            </w:pPr>
            <w:r w:rsidRPr="002D6DB4">
              <w:rPr>
                <w:b/>
                <w:sz w:val="22"/>
                <w:szCs w:val="22"/>
              </w:rPr>
              <w:t>Návrh a realizace funkčních vzorků částí HW a SW řešení řídicího systému</w:t>
            </w:r>
          </w:p>
          <w:p w:rsidR="002D6DB4" w:rsidRPr="002D6DB4" w:rsidRDefault="002D6DB4" w:rsidP="002D6DB4">
            <w:pPr>
              <w:rPr>
                <w:sz w:val="22"/>
                <w:szCs w:val="22"/>
              </w:rPr>
            </w:pPr>
          </w:p>
          <w:p w:rsidR="002966DD" w:rsidRPr="002D6DB4" w:rsidRDefault="002966DD" w:rsidP="002966DD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D6DB4" w:rsidRPr="002D6DB4" w:rsidRDefault="002D6DB4" w:rsidP="002D6DB4">
            <w:pPr>
              <w:pStyle w:val="Bezmezer"/>
              <w:rPr>
                <w:sz w:val="22"/>
                <w:szCs w:val="22"/>
              </w:rPr>
            </w:pPr>
            <w:proofErr w:type="spellStart"/>
            <w:r w:rsidRPr="002D6DB4">
              <w:rPr>
                <w:sz w:val="22"/>
                <w:szCs w:val="22"/>
              </w:rPr>
              <w:t>Blumenbecke</w:t>
            </w:r>
            <w:r>
              <w:rPr>
                <w:sz w:val="22"/>
                <w:szCs w:val="22"/>
              </w:rPr>
              <w:t>r</w:t>
            </w:r>
            <w:proofErr w:type="spellEnd"/>
          </w:p>
          <w:p w:rsidR="002D6DB4" w:rsidRPr="002D6DB4" w:rsidRDefault="002D6DB4" w:rsidP="002D6DB4">
            <w:pPr>
              <w:pStyle w:val="Bezmezer"/>
              <w:rPr>
                <w:sz w:val="22"/>
                <w:szCs w:val="22"/>
              </w:rPr>
            </w:pPr>
            <w:r w:rsidRPr="002D6DB4">
              <w:rPr>
                <w:sz w:val="22"/>
                <w:szCs w:val="22"/>
              </w:rPr>
              <w:t>Prag,</w:t>
            </w:r>
          </w:p>
          <w:p w:rsidR="002D6DB4" w:rsidRPr="002D6DB4" w:rsidRDefault="002D6DB4" w:rsidP="002D6DB4">
            <w:pPr>
              <w:pStyle w:val="Bezmezer"/>
              <w:rPr>
                <w:sz w:val="22"/>
                <w:szCs w:val="22"/>
              </w:rPr>
            </w:pPr>
            <w:r w:rsidRPr="002D6DB4">
              <w:rPr>
                <w:sz w:val="22"/>
                <w:szCs w:val="22"/>
              </w:rPr>
              <w:t>VUT v Brně</w:t>
            </w:r>
          </w:p>
          <w:p w:rsidR="002966DD" w:rsidRPr="002D6DB4" w:rsidRDefault="002966DD" w:rsidP="002D6DB4">
            <w:pPr>
              <w:spacing w:before="120" w:after="120"/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966DD" w:rsidRPr="002D6DB4" w:rsidRDefault="002D6DB4" w:rsidP="002966DD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2D6DB4">
              <w:rPr>
                <w:rFonts w:ascii="Times New Roman" w:hAnsi="Times New Roman"/>
                <w:b w:val="0"/>
                <w:bCs/>
                <w:sz w:val="22"/>
                <w:szCs w:val="22"/>
              </w:rPr>
              <w:t>12/2017</w:t>
            </w:r>
          </w:p>
        </w:tc>
      </w:tr>
      <w:tr w:rsidR="002966DD" w:rsidTr="00D63250">
        <w:trPr>
          <w:trHeight w:hRule="exact" w:val="4354"/>
        </w:trPr>
        <w:tc>
          <w:tcPr>
            <w:tcW w:w="1135" w:type="dxa"/>
            <w:vAlign w:val="center"/>
          </w:tcPr>
          <w:p w:rsidR="002966DD" w:rsidRPr="004E1F6A" w:rsidRDefault="002D6DB4" w:rsidP="002966DD">
            <w:pPr>
              <w:jc w:val="center"/>
              <w:rPr>
                <w:b/>
                <w:bCs/>
                <w:sz w:val="22"/>
                <w:szCs w:val="22"/>
              </w:rPr>
            </w:pPr>
            <w:r w:rsidRPr="004E1F6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020" w:type="dxa"/>
            <w:vAlign w:val="center"/>
          </w:tcPr>
          <w:p w:rsidR="002D6DB4" w:rsidRPr="004E1F6A" w:rsidRDefault="002D6DB4" w:rsidP="002D6DB4">
            <w:pPr>
              <w:jc w:val="both"/>
              <w:rPr>
                <w:b/>
                <w:sz w:val="22"/>
                <w:szCs w:val="22"/>
              </w:rPr>
            </w:pPr>
            <w:r w:rsidRPr="004E1F6A">
              <w:rPr>
                <w:b/>
                <w:sz w:val="22"/>
                <w:szCs w:val="22"/>
              </w:rPr>
              <w:t>Optimalizace procesu řízení průmyslového robotu vzhledem k různým typům kompenzačních metod</w:t>
            </w:r>
          </w:p>
          <w:p w:rsidR="002D6DB4" w:rsidRPr="004E1F6A" w:rsidRDefault="004E1F6A" w:rsidP="005F71F8">
            <w:pPr>
              <w:tabs>
                <w:tab w:val="num" w:pos="4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2D6DB4" w:rsidRPr="004E1F6A">
              <w:rPr>
                <w:sz w:val="22"/>
                <w:szCs w:val="22"/>
              </w:rPr>
              <w:t>ytvoření programových rutin a jejich ověření na reálných objektech během reálných obráběcích operací.</w:t>
            </w:r>
          </w:p>
          <w:p w:rsidR="002D6DB4" w:rsidRPr="004E1F6A" w:rsidRDefault="002D6DB4" w:rsidP="005F71F8">
            <w:pPr>
              <w:tabs>
                <w:tab w:val="num" w:pos="400"/>
              </w:tabs>
              <w:rPr>
                <w:sz w:val="22"/>
                <w:szCs w:val="22"/>
              </w:rPr>
            </w:pPr>
            <w:r w:rsidRPr="004E1F6A">
              <w:rPr>
                <w:sz w:val="22"/>
                <w:szCs w:val="22"/>
              </w:rPr>
              <w:t xml:space="preserve">Z toho plynoucí náplní bude zejména volba kompenzačních metod s přihlédnutím k charakteru obráběcího procesu, ladění a optimalizace zpětných a </w:t>
            </w:r>
            <w:proofErr w:type="spellStart"/>
            <w:r w:rsidRPr="004E1F6A">
              <w:rPr>
                <w:sz w:val="22"/>
                <w:szCs w:val="22"/>
              </w:rPr>
              <w:t>dopředných</w:t>
            </w:r>
            <w:proofErr w:type="spellEnd"/>
            <w:r w:rsidRPr="004E1F6A">
              <w:rPr>
                <w:sz w:val="22"/>
                <w:szCs w:val="22"/>
              </w:rPr>
              <w:t xml:space="preserve"> vazeb pro aktivní kompenzaci chyb. Pro návrh regulačních smyček v souvislosti s různými dodanými vzorky bude využito simulační modelování (v prostředí </w:t>
            </w:r>
            <w:proofErr w:type="spellStart"/>
            <w:r w:rsidRPr="004E1F6A">
              <w:rPr>
                <w:sz w:val="22"/>
                <w:szCs w:val="22"/>
              </w:rPr>
              <w:t>Matlab</w:t>
            </w:r>
            <w:proofErr w:type="spellEnd"/>
            <w:r w:rsidRPr="004E1F6A">
              <w:rPr>
                <w:sz w:val="22"/>
                <w:szCs w:val="22"/>
              </w:rPr>
              <w:t>/</w:t>
            </w:r>
            <w:proofErr w:type="spellStart"/>
            <w:r w:rsidRPr="004E1F6A">
              <w:rPr>
                <w:sz w:val="22"/>
                <w:szCs w:val="22"/>
              </w:rPr>
              <w:t>Simulink</w:t>
            </w:r>
            <w:proofErr w:type="spellEnd"/>
            <w:r w:rsidRPr="004E1F6A">
              <w:rPr>
                <w:sz w:val="22"/>
                <w:szCs w:val="22"/>
              </w:rPr>
              <w:t>) pro testování a ladění parametrů řízení. Řešení řídicích algoritmů bude  z počátku založeno na PID regulátorech, poté budou testovány jeho rozšířené varianty a další pokročilé řídicí struktury. Regulátor bude obecně řešit eliminaci odchylek od žádaného stavu (žádaná hodnota regulované veličiny) na základě informací ze senzorů a bude určovat velikost akčního zásahu pro korekci dráhy robotu.</w:t>
            </w:r>
          </w:p>
          <w:p w:rsidR="002D6DB4" w:rsidRPr="004E1F6A" w:rsidRDefault="002D6DB4" w:rsidP="004E1F6A">
            <w:pPr>
              <w:jc w:val="both"/>
              <w:rPr>
                <w:sz w:val="22"/>
                <w:szCs w:val="22"/>
              </w:rPr>
            </w:pPr>
          </w:p>
          <w:p w:rsidR="002966DD" w:rsidRPr="004E1F6A" w:rsidRDefault="002966DD" w:rsidP="002966DD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F6A" w:rsidRPr="004E1F6A" w:rsidRDefault="004E1F6A" w:rsidP="004E1F6A">
            <w:pPr>
              <w:pStyle w:val="Bezmezer"/>
              <w:rPr>
                <w:sz w:val="22"/>
                <w:szCs w:val="22"/>
              </w:rPr>
            </w:pPr>
            <w:proofErr w:type="spellStart"/>
            <w:r w:rsidRPr="004E1F6A">
              <w:rPr>
                <w:sz w:val="22"/>
                <w:szCs w:val="22"/>
              </w:rPr>
              <w:t>Blumenbecker</w:t>
            </w:r>
            <w:proofErr w:type="spellEnd"/>
          </w:p>
          <w:p w:rsidR="004E1F6A" w:rsidRPr="004E1F6A" w:rsidRDefault="004E1F6A" w:rsidP="004E1F6A">
            <w:pPr>
              <w:pStyle w:val="Bezmezer"/>
              <w:rPr>
                <w:sz w:val="22"/>
                <w:szCs w:val="22"/>
              </w:rPr>
            </w:pPr>
            <w:r w:rsidRPr="004E1F6A">
              <w:rPr>
                <w:sz w:val="22"/>
                <w:szCs w:val="22"/>
              </w:rPr>
              <w:t>Prag,</w:t>
            </w:r>
          </w:p>
          <w:p w:rsidR="004E1F6A" w:rsidRPr="004E1F6A" w:rsidRDefault="004E1F6A" w:rsidP="004E1F6A">
            <w:pPr>
              <w:pStyle w:val="Bezmezer"/>
              <w:rPr>
                <w:sz w:val="22"/>
                <w:szCs w:val="22"/>
              </w:rPr>
            </w:pPr>
            <w:r w:rsidRPr="004E1F6A">
              <w:rPr>
                <w:sz w:val="22"/>
                <w:szCs w:val="22"/>
              </w:rPr>
              <w:t>VUT v Brně</w:t>
            </w:r>
          </w:p>
          <w:p w:rsidR="002966DD" w:rsidRPr="004E1F6A" w:rsidRDefault="002966DD" w:rsidP="002966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966DD" w:rsidRPr="004E1F6A" w:rsidRDefault="004E1F6A" w:rsidP="002966DD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4E1F6A">
              <w:rPr>
                <w:rFonts w:ascii="Times New Roman" w:hAnsi="Times New Roman"/>
                <w:b w:val="0"/>
                <w:bCs/>
                <w:sz w:val="22"/>
                <w:szCs w:val="22"/>
              </w:rPr>
              <w:t>12/2017</w:t>
            </w:r>
          </w:p>
        </w:tc>
      </w:tr>
      <w:tr w:rsidR="002966DD" w:rsidTr="00D63250">
        <w:trPr>
          <w:trHeight w:hRule="exact" w:val="1708"/>
        </w:trPr>
        <w:tc>
          <w:tcPr>
            <w:tcW w:w="1135" w:type="dxa"/>
            <w:vAlign w:val="center"/>
          </w:tcPr>
          <w:p w:rsidR="002966DD" w:rsidRPr="004E1F6A" w:rsidRDefault="004E1F6A" w:rsidP="002966DD">
            <w:pPr>
              <w:jc w:val="center"/>
              <w:rPr>
                <w:b/>
                <w:bCs/>
                <w:sz w:val="22"/>
                <w:szCs w:val="22"/>
              </w:rPr>
            </w:pPr>
            <w:r w:rsidRPr="004E1F6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020" w:type="dxa"/>
            <w:vAlign w:val="center"/>
          </w:tcPr>
          <w:p w:rsidR="004E1F6A" w:rsidRPr="004E1F6A" w:rsidRDefault="004E1F6A" w:rsidP="004E1F6A">
            <w:pPr>
              <w:jc w:val="both"/>
              <w:rPr>
                <w:b/>
                <w:sz w:val="22"/>
                <w:szCs w:val="22"/>
              </w:rPr>
            </w:pPr>
            <w:r w:rsidRPr="004E1F6A">
              <w:rPr>
                <w:b/>
                <w:sz w:val="22"/>
                <w:szCs w:val="22"/>
              </w:rPr>
              <w:t>Přímé měření dosažené přesnosti polohování průmyslového robotu s kompenzací chyb</w:t>
            </w:r>
          </w:p>
          <w:p w:rsidR="002966DD" w:rsidRPr="004E1F6A" w:rsidRDefault="004E1F6A" w:rsidP="004E1F6A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Přímé</w:t>
            </w:r>
            <w:r w:rsidRPr="004E1F6A">
              <w:rPr>
                <w:sz w:val="22"/>
                <w:szCs w:val="22"/>
              </w:rPr>
              <w:t xml:space="preserve"> měření přesnosti polohování robotu (s využitím systémů jako je např. </w:t>
            </w:r>
            <w:proofErr w:type="spellStart"/>
            <w:r w:rsidRPr="004E1F6A">
              <w:rPr>
                <w:sz w:val="22"/>
                <w:szCs w:val="22"/>
              </w:rPr>
              <w:t>Ballbar</w:t>
            </w:r>
            <w:proofErr w:type="spellEnd"/>
            <w:r w:rsidRPr="004E1F6A">
              <w:rPr>
                <w:sz w:val="22"/>
                <w:szCs w:val="22"/>
              </w:rPr>
              <w:t xml:space="preserve">, </w:t>
            </w:r>
            <w:proofErr w:type="spellStart"/>
            <w:r w:rsidRPr="004E1F6A">
              <w:rPr>
                <w:sz w:val="22"/>
                <w:szCs w:val="22"/>
              </w:rPr>
              <w:t>Laserinterferometr</w:t>
            </w:r>
            <w:proofErr w:type="spellEnd"/>
            <w:r w:rsidRPr="004E1F6A">
              <w:rPr>
                <w:sz w:val="22"/>
                <w:szCs w:val="22"/>
              </w:rPr>
              <w:t xml:space="preserve">, Laser </w:t>
            </w:r>
            <w:proofErr w:type="spellStart"/>
            <w:r w:rsidRPr="004E1F6A">
              <w:rPr>
                <w:sz w:val="22"/>
                <w:szCs w:val="22"/>
              </w:rPr>
              <w:t>Tracer</w:t>
            </w:r>
            <w:proofErr w:type="spellEnd"/>
            <w:r w:rsidRPr="004E1F6A">
              <w:rPr>
                <w:sz w:val="22"/>
                <w:szCs w:val="22"/>
              </w:rPr>
              <w:t xml:space="preserve"> či Laser </w:t>
            </w:r>
            <w:proofErr w:type="spellStart"/>
            <w:r w:rsidRPr="004E1F6A">
              <w:rPr>
                <w:sz w:val="22"/>
                <w:szCs w:val="22"/>
              </w:rPr>
              <w:t>Tracker</w:t>
            </w:r>
            <w:proofErr w:type="spellEnd"/>
            <w:r w:rsidRPr="004E1F6A">
              <w:rPr>
                <w:sz w:val="22"/>
                <w:szCs w:val="22"/>
              </w:rPr>
              <w:t>) zpřesnit identifikaci parametrů robotu, což bude použito pro další</w:t>
            </w:r>
            <w:r>
              <w:rPr>
                <w:sz w:val="22"/>
                <w:szCs w:val="22"/>
              </w:rPr>
              <w:t xml:space="preserve"> </w:t>
            </w:r>
            <w:r w:rsidRPr="004E1F6A">
              <w:rPr>
                <w:sz w:val="22"/>
                <w:szCs w:val="22"/>
              </w:rPr>
              <w:t>optimalizaci řízení celého řetězce.</w:t>
            </w:r>
          </w:p>
        </w:tc>
        <w:tc>
          <w:tcPr>
            <w:tcW w:w="1559" w:type="dxa"/>
            <w:vAlign w:val="center"/>
          </w:tcPr>
          <w:p w:rsidR="002966DD" w:rsidRPr="004E1F6A" w:rsidRDefault="004E1F6A" w:rsidP="004E1F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VUT v Brně</w:t>
            </w:r>
          </w:p>
        </w:tc>
        <w:tc>
          <w:tcPr>
            <w:tcW w:w="1134" w:type="dxa"/>
            <w:vAlign w:val="center"/>
          </w:tcPr>
          <w:p w:rsidR="002966DD" w:rsidRPr="004E1F6A" w:rsidRDefault="004E1F6A" w:rsidP="002966DD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4E1F6A">
              <w:rPr>
                <w:rFonts w:ascii="Times New Roman" w:hAnsi="Times New Roman"/>
                <w:b w:val="0"/>
                <w:bCs/>
                <w:sz w:val="22"/>
                <w:szCs w:val="22"/>
              </w:rPr>
              <w:t>12/2017</w:t>
            </w:r>
          </w:p>
        </w:tc>
      </w:tr>
      <w:tr w:rsidR="002966DD" w:rsidTr="00D63250">
        <w:trPr>
          <w:trHeight w:hRule="exact" w:val="429"/>
        </w:trPr>
        <w:tc>
          <w:tcPr>
            <w:tcW w:w="9848" w:type="dxa"/>
            <w:gridSpan w:val="4"/>
            <w:vAlign w:val="center"/>
          </w:tcPr>
          <w:p w:rsidR="002966DD" w:rsidRDefault="002966DD" w:rsidP="002966DD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2018</w:t>
            </w:r>
          </w:p>
        </w:tc>
      </w:tr>
      <w:tr w:rsidR="002966DD" w:rsidTr="005F71F8">
        <w:trPr>
          <w:trHeight w:hRule="exact" w:val="2108"/>
        </w:trPr>
        <w:tc>
          <w:tcPr>
            <w:tcW w:w="1135" w:type="dxa"/>
            <w:vAlign w:val="center"/>
          </w:tcPr>
          <w:p w:rsidR="002966DD" w:rsidRPr="005F71F8" w:rsidRDefault="005F71F8" w:rsidP="002966DD">
            <w:pPr>
              <w:jc w:val="center"/>
              <w:rPr>
                <w:b/>
                <w:bCs/>
                <w:sz w:val="22"/>
                <w:szCs w:val="22"/>
              </w:rPr>
            </w:pPr>
            <w:r w:rsidRPr="005F71F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020" w:type="dxa"/>
            <w:vAlign w:val="center"/>
          </w:tcPr>
          <w:p w:rsidR="005F71F8" w:rsidRPr="005F71F8" w:rsidRDefault="005F71F8" w:rsidP="005F71F8">
            <w:pPr>
              <w:jc w:val="both"/>
              <w:rPr>
                <w:b/>
                <w:sz w:val="22"/>
                <w:szCs w:val="22"/>
              </w:rPr>
            </w:pPr>
            <w:r w:rsidRPr="005F71F8">
              <w:rPr>
                <w:b/>
                <w:sz w:val="22"/>
                <w:szCs w:val="22"/>
              </w:rPr>
              <w:t>Funkční systém</w:t>
            </w:r>
          </w:p>
          <w:p w:rsidR="005F71F8" w:rsidRPr="005F71F8" w:rsidRDefault="005F71F8" w:rsidP="005F71F8">
            <w:pPr>
              <w:tabs>
                <w:tab w:val="num" w:pos="4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5F71F8">
              <w:rPr>
                <w:sz w:val="22"/>
                <w:szCs w:val="22"/>
              </w:rPr>
              <w:t xml:space="preserve">ealizovaný a ověřený funkční systém definovaný v cílech projektu, aplikovatelný na celou řadu obráběcích procesů prostřednictvím průmyslových 6DOF robotů s požadavkem na vysokou přesnost výsledných produktů. </w:t>
            </w:r>
          </w:p>
          <w:p w:rsidR="005F71F8" w:rsidRDefault="005F71F8" w:rsidP="005F71F8">
            <w:pPr>
              <w:rPr>
                <w:sz w:val="22"/>
                <w:szCs w:val="22"/>
              </w:rPr>
            </w:pPr>
            <w:r w:rsidRPr="005F71F8">
              <w:rPr>
                <w:sz w:val="22"/>
                <w:szCs w:val="22"/>
              </w:rPr>
              <w:t>Tohoto cíle bude dosaženo odladěním a optimalizací celé technologie, vytvořením uživatelského rozhraní a modulárním propojením výsledků všech předchozích etap.</w:t>
            </w:r>
          </w:p>
          <w:p w:rsidR="00D63250" w:rsidRPr="005F71F8" w:rsidRDefault="00D63250" w:rsidP="005F71F8">
            <w:pPr>
              <w:rPr>
                <w:sz w:val="22"/>
                <w:szCs w:val="22"/>
              </w:rPr>
            </w:pPr>
          </w:p>
          <w:p w:rsidR="002966DD" w:rsidRPr="005F71F8" w:rsidRDefault="002966DD" w:rsidP="002966DD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F71F8" w:rsidRPr="005F71F8" w:rsidRDefault="005F71F8" w:rsidP="005F71F8">
            <w:pPr>
              <w:pStyle w:val="Bezmezer"/>
              <w:rPr>
                <w:sz w:val="22"/>
                <w:szCs w:val="22"/>
              </w:rPr>
            </w:pPr>
            <w:proofErr w:type="spellStart"/>
            <w:r w:rsidRPr="005F71F8">
              <w:rPr>
                <w:sz w:val="22"/>
                <w:szCs w:val="22"/>
              </w:rPr>
              <w:t>Blumenbecker</w:t>
            </w:r>
            <w:proofErr w:type="spellEnd"/>
          </w:p>
          <w:p w:rsidR="005F71F8" w:rsidRPr="005F71F8" w:rsidRDefault="005F71F8" w:rsidP="005F71F8">
            <w:pPr>
              <w:pStyle w:val="Bezmezer"/>
              <w:rPr>
                <w:sz w:val="22"/>
                <w:szCs w:val="22"/>
              </w:rPr>
            </w:pPr>
            <w:r w:rsidRPr="005F71F8">
              <w:rPr>
                <w:sz w:val="22"/>
                <w:szCs w:val="22"/>
              </w:rPr>
              <w:t>Prag,</w:t>
            </w:r>
          </w:p>
          <w:p w:rsidR="005F71F8" w:rsidRPr="005F71F8" w:rsidRDefault="005F71F8" w:rsidP="005F71F8">
            <w:pPr>
              <w:pStyle w:val="Bezmezer"/>
              <w:rPr>
                <w:sz w:val="22"/>
                <w:szCs w:val="22"/>
              </w:rPr>
            </w:pPr>
            <w:r w:rsidRPr="005F71F8">
              <w:rPr>
                <w:sz w:val="22"/>
                <w:szCs w:val="22"/>
              </w:rPr>
              <w:t>VUT v Brně</w:t>
            </w:r>
          </w:p>
          <w:p w:rsidR="002966DD" w:rsidRPr="005F71F8" w:rsidRDefault="002966DD" w:rsidP="005F71F8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966DD" w:rsidRPr="005F71F8" w:rsidRDefault="005F71F8" w:rsidP="002966DD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5F71F8">
              <w:rPr>
                <w:rFonts w:ascii="Times New Roman" w:hAnsi="Times New Roman"/>
                <w:b w:val="0"/>
                <w:bCs/>
                <w:sz w:val="22"/>
                <w:szCs w:val="22"/>
              </w:rPr>
              <w:t>10/2018</w:t>
            </w:r>
          </w:p>
        </w:tc>
      </w:tr>
      <w:tr w:rsidR="005F71F8" w:rsidTr="00D63250">
        <w:trPr>
          <w:trHeight w:hRule="exact" w:val="2145"/>
        </w:trPr>
        <w:tc>
          <w:tcPr>
            <w:tcW w:w="1135" w:type="dxa"/>
            <w:vAlign w:val="center"/>
          </w:tcPr>
          <w:p w:rsidR="005F71F8" w:rsidRPr="005F71F8" w:rsidRDefault="005F71F8" w:rsidP="005F71F8">
            <w:pPr>
              <w:jc w:val="center"/>
              <w:rPr>
                <w:bCs/>
                <w:sz w:val="22"/>
                <w:szCs w:val="22"/>
              </w:rPr>
            </w:pPr>
            <w:r w:rsidRPr="005F71F8"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6020" w:type="dxa"/>
            <w:vAlign w:val="center"/>
          </w:tcPr>
          <w:p w:rsidR="005F71F8" w:rsidRPr="005F71F8" w:rsidRDefault="005F71F8" w:rsidP="005F71F8">
            <w:pPr>
              <w:tabs>
                <w:tab w:val="num" w:pos="400"/>
              </w:tabs>
              <w:rPr>
                <w:b/>
                <w:sz w:val="22"/>
                <w:szCs w:val="22"/>
              </w:rPr>
            </w:pPr>
            <w:r w:rsidRPr="005F71F8">
              <w:rPr>
                <w:b/>
                <w:sz w:val="22"/>
                <w:szCs w:val="22"/>
              </w:rPr>
              <w:t>Ochrana duševního vlastnictví, ověřená technologie, prezentace výsledků projektu.</w:t>
            </w:r>
          </w:p>
          <w:p w:rsidR="005F71F8" w:rsidRPr="005F71F8" w:rsidRDefault="005F71F8" w:rsidP="005F71F8">
            <w:pPr>
              <w:tabs>
                <w:tab w:val="num" w:pos="4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5F71F8">
              <w:rPr>
                <w:sz w:val="22"/>
                <w:szCs w:val="22"/>
              </w:rPr>
              <w:t>věření technologie v rámci objektů poskytnutých potenciálními zákazníky a postupné uplatňování výsledků projektu v průmyslové praxi.</w:t>
            </w:r>
          </w:p>
          <w:p w:rsidR="005F71F8" w:rsidRPr="005F71F8" w:rsidRDefault="005F71F8" w:rsidP="005F71F8">
            <w:pPr>
              <w:tabs>
                <w:tab w:val="num" w:pos="4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5F71F8">
              <w:rPr>
                <w:sz w:val="22"/>
                <w:szCs w:val="22"/>
              </w:rPr>
              <w:t>platnění ochrany duševního vlastnictví na úrovni užitného vzoru a prezentace výsledků projektu ve vědecké komunitě a odborných a průmyslových fórech a veletržních akcích.</w:t>
            </w:r>
          </w:p>
          <w:p w:rsidR="005F71F8" w:rsidRPr="005F71F8" w:rsidRDefault="005F71F8" w:rsidP="005F71F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F71F8" w:rsidRPr="005F71F8" w:rsidRDefault="005F71F8" w:rsidP="005F71F8">
            <w:pPr>
              <w:pStyle w:val="Bezmezer"/>
              <w:rPr>
                <w:sz w:val="22"/>
                <w:szCs w:val="22"/>
              </w:rPr>
            </w:pPr>
            <w:proofErr w:type="spellStart"/>
            <w:r w:rsidRPr="005F71F8">
              <w:rPr>
                <w:sz w:val="22"/>
                <w:szCs w:val="22"/>
              </w:rPr>
              <w:t>Blumenbecker</w:t>
            </w:r>
            <w:proofErr w:type="spellEnd"/>
          </w:p>
          <w:p w:rsidR="005F71F8" w:rsidRPr="005F71F8" w:rsidRDefault="005F71F8" w:rsidP="005F71F8">
            <w:pPr>
              <w:pStyle w:val="Bezmezer"/>
              <w:rPr>
                <w:sz w:val="22"/>
                <w:szCs w:val="22"/>
              </w:rPr>
            </w:pPr>
            <w:r w:rsidRPr="005F71F8">
              <w:rPr>
                <w:sz w:val="22"/>
                <w:szCs w:val="22"/>
              </w:rPr>
              <w:t>Prag,</w:t>
            </w:r>
          </w:p>
          <w:p w:rsidR="005F71F8" w:rsidRPr="005F71F8" w:rsidRDefault="005F71F8" w:rsidP="005F71F8">
            <w:pPr>
              <w:pStyle w:val="Bezmezer"/>
              <w:rPr>
                <w:sz w:val="22"/>
                <w:szCs w:val="22"/>
              </w:rPr>
            </w:pPr>
            <w:r w:rsidRPr="005F71F8">
              <w:rPr>
                <w:sz w:val="22"/>
                <w:szCs w:val="22"/>
              </w:rPr>
              <w:t>VUT v Brně</w:t>
            </w:r>
          </w:p>
          <w:p w:rsidR="005F71F8" w:rsidRPr="005F71F8" w:rsidRDefault="005F71F8" w:rsidP="005F71F8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F71F8" w:rsidRPr="005F71F8" w:rsidRDefault="005F71F8" w:rsidP="005F71F8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5F71F8">
              <w:rPr>
                <w:rFonts w:ascii="Times New Roman" w:hAnsi="Times New Roman"/>
                <w:b w:val="0"/>
                <w:bCs/>
                <w:sz w:val="22"/>
                <w:szCs w:val="22"/>
              </w:rPr>
              <w:t>12/2018</w:t>
            </w:r>
          </w:p>
        </w:tc>
      </w:tr>
    </w:tbl>
    <w:p w:rsidR="000F60DF" w:rsidRDefault="000F60DF">
      <w:pPr>
        <w:rPr>
          <w:b/>
          <w:bCs/>
        </w:rPr>
      </w:pPr>
    </w:p>
    <w:p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:rsidR="0076616C" w:rsidRDefault="0076616C" w:rsidP="0076616C">
      <w:pPr>
        <w:tabs>
          <w:tab w:val="left" w:pos="1325"/>
        </w:tabs>
        <w:rPr>
          <w:b/>
          <w:bCs/>
        </w:rPr>
      </w:pPr>
    </w:p>
    <w:p w:rsidR="00190027" w:rsidRDefault="00190027" w:rsidP="00190027">
      <w:pPr>
        <w:tabs>
          <w:tab w:val="left" w:pos="6840"/>
        </w:tabs>
        <w:jc w:val="both"/>
      </w:pPr>
      <w:r>
        <w:t>Za poskytovatele</w:t>
      </w:r>
      <w:r>
        <w:tab/>
        <w:t>Za příjemce</w:t>
      </w: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  <w:r>
        <w:t>________________</w:t>
      </w:r>
      <w:r>
        <w:tab/>
        <w:t>_______________</w:t>
      </w:r>
      <w:r w:rsidR="00D63250">
        <w:t>___</w:t>
      </w:r>
      <w:bookmarkStart w:id="0" w:name="_GoBack"/>
      <w:bookmarkEnd w:id="0"/>
    </w:p>
    <w:p w:rsidR="0076616C" w:rsidRDefault="00190027" w:rsidP="00190027">
      <w:pPr>
        <w:widowControl w:val="0"/>
        <w:tabs>
          <w:tab w:val="left" w:pos="6840"/>
        </w:tabs>
        <w:jc w:val="both"/>
      </w:pPr>
      <w:r>
        <w:rPr>
          <w:b/>
        </w:rPr>
        <w:t xml:space="preserve">Ing. Martin </w:t>
      </w:r>
      <w:proofErr w:type="spellStart"/>
      <w:r>
        <w:rPr>
          <w:b/>
        </w:rPr>
        <w:t>Švolba</w:t>
      </w:r>
      <w:proofErr w:type="spellEnd"/>
      <w:r>
        <w:rPr>
          <w:b/>
        </w:rPr>
        <w:tab/>
      </w:r>
      <w:r w:rsidR="00D63250">
        <w:rPr>
          <w:b/>
        </w:rPr>
        <w:t xml:space="preserve">Ing. Andrej </w:t>
      </w:r>
      <w:proofErr w:type="spellStart"/>
      <w:r w:rsidR="00D63250">
        <w:rPr>
          <w:b/>
        </w:rPr>
        <w:t>Schvarc</w:t>
      </w:r>
      <w:proofErr w:type="spellEnd"/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DB" w:rsidRDefault="00BC06DB">
      <w:r>
        <w:separator/>
      </w:r>
    </w:p>
  </w:endnote>
  <w:endnote w:type="continuationSeparator" w:id="0">
    <w:p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3250">
      <w:rPr>
        <w:rStyle w:val="slostrnky"/>
        <w:noProof/>
      </w:rPr>
      <w:t>1</w:t>
    </w:r>
    <w:r>
      <w:rPr>
        <w:rStyle w:val="slostrnky"/>
      </w:rPr>
      <w:fldChar w:fldCharType="end"/>
    </w:r>
  </w:p>
  <w:p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DB" w:rsidRDefault="00BC06DB">
      <w:r>
        <w:separator/>
      </w:r>
    </w:p>
  </w:footnote>
  <w:footnote w:type="continuationSeparator" w:id="0">
    <w:p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190027"/>
    <w:rsid w:val="002966DD"/>
    <w:rsid w:val="002D6DB4"/>
    <w:rsid w:val="004E1F6A"/>
    <w:rsid w:val="00571D58"/>
    <w:rsid w:val="00575FCC"/>
    <w:rsid w:val="005F71F8"/>
    <w:rsid w:val="00641E1E"/>
    <w:rsid w:val="00743A44"/>
    <w:rsid w:val="00750802"/>
    <w:rsid w:val="0076616C"/>
    <w:rsid w:val="007A37CB"/>
    <w:rsid w:val="007C0BD6"/>
    <w:rsid w:val="009338EC"/>
    <w:rsid w:val="009807A5"/>
    <w:rsid w:val="00A14266"/>
    <w:rsid w:val="00B04925"/>
    <w:rsid w:val="00BB4FBA"/>
    <w:rsid w:val="00BC06DB"/>
    <w:rsid w:val="00C83492"/>
    <w:rsid w:val="00CC3275"/>
    <w:rsid w:val="00D63250"/>
    <w:rsid w:val="00E068DB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paragraph" w:styleId="Bezmezer">
    <w:name w:val="No Spacing"/>
    <w:uiPriority w:val="1"/>
    <w:qFormat/>
    <w:rsid w:val="002D6D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AE8A3F8F.dotm</Template>
  <TotalTime>72</TotalTime>
  <Pages>3</Pages>
  <Words>694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Kvasničková Jana</cp:lastModifiedBy>
  <cp:revision>5</cp:revision>
  <cp:lastPrinted>2012-04-26T13:21:00Z</cp:lastPrinted>
  <dcterms:created xsi:type="dcterms:W3CDTF">2016-09-23T08:07:00Z</dcterms:created>
  <dcterms:modified xsi:type="dcterms:W3CDTF">2016-10-12T09:24:00Z</dcterms:modified>
</cp:coreProperties>
</file>