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843D82">
        <w:rPr>
          <w:rFonts w:ascii="Arial" w:hAnsi="Arial" w:cs="Arial"/>
          <w:sz w:val="18"/>
          <w:szCs w:val="20"/>
        </w:rPr>
        <w:t xml:space="preserve"> </w:t>
      </w:r>
    </w:p>
    <w:p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:rsidTr="005544AA">
        <w:tc>
          <w:tcPr>
            <w:tcW w:w="3227" w:type="dxa"/>
          </w:tcPr>
          <w:p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  <w:r w:rsidR="008B3062">
              <w:rPr>
                <w:rFonts w:ascii="Arial" w:hAnsi="Arial" w:cs="Arial"/>
                <w:b/>
                <w:sz w:val="20"/>
                <w:szCs w:val="36"/>
              </w:rPr>
              <w:t xml:space="preserve"> *)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:rsidR="0024479C" w:rsidRPr="001118A1" w:rsidRDefault="001118A1" w:rsidP="003759CC">
            <w:pPr>
              <w:spacing w:before="40" w:after="40"/>
              <w:ind w:left="1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8A1">
              <w:rPr>
                <w:rFonts w:ascii="Arial" w:hAnsi="Arial" w:cs="Arial"/>
                <w:sz w:val="20"/>
                <w:szCs w:val="20"/>
              </w:rPr>
              <w:t>Bohušovická mlékárna a.s.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:rsidR="0024479C" w:rsidRPr="00952805" w:rsidRDefault="001118A1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Brňany 125, 411 56, Bohušovice </w:t>
            </w:r>
            <w:proofErr w:type="gramStart"/>
            <w:r>
              <w:rPr>
                <w:rFonts w:ascii="Arial" w:hAnsi="Arial" w:cs="Arial"/>
                <w:sz w:val="18"/>
                <w:szCs w:val="36"/>
              </w:rPr>
              <w:t>n.O.</w:t>
            </w:r>
            <w:proofErr w:type="gramEnd"/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:rsidR="006D0711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Ing. Jiří Nedoma</w:t>
            </w:r>
          </w:p>
          <w:p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:rsidR="003759CC" w:rsidRPr="00952805" w:rsidRDefault="001118A1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Ing. Vladimír Velímský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:rsidR="00301D8D" w:rsidRDefault="00301D8D" w:rsidP="00301D8D">
            <w:pPr>
              <w:spacing w:before="40" w:after="40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6F1EAF" w:rsidRPr="00952805" w:rsidRDefault="006D0711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:rsidR="00301D8D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1118A1" w:rsidRPr="00952805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1118A1">
              <w:rPr>
                <w:rFonts w:ascii="Arial" w:hAnsi="Arial" w:cs="Arial"/>
                <w:sz w:val="18"/>
                <w:szCs w:val="36"/>
              </w:rPr>
              <w:t>Hlavní mechanik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:rsidR="0024479C" w:rsidRPr="00952805" w:rsidRDefault="001118A1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18"/>
                <w:szCs w:val="36"/>
              </w:rPr>
              <w:t>48291960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:rsidR="0024479C" w:rsidRPr="00952805" w:rsidRDefault="001118A1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18"/>
                <w:szCs w:val="36"/>
              </w:rPr>
              <w:t>CZ48291960</w:t>
            </w:r>
          </w:p>
        </w:tc>
      </w:tr>
      <w:tr w:rsidR="00301D8D" w:rsidTr="005544AA">
        <w:tc>
          <w:tcPr>
            <w:tcW w:w="3227" w:type="dxa"/>
          </w:tcPr>
          <w:p w:rsidR="00301D8D" w:rsidRPr="00952805" w:rsidRDefault="00301D8D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685" w:type="dxa"/>
          </w:tcPr>
          <w:p w:rsidR="00301D8D" w:rsidRPr="00952805" w:rsidRDefault="00301D8D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:rsidR="00301D8D" w:rsidRPr="00952805" w:rsidRDefault="00301D8D" w:rsidP="001934AC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 11114 vedená u městského soudu v Praze</w:t>
            </w:r>
          </w:p>
        </w:tc>
      </w:tr>
      <w:tr w:rsidR="00301D8D" w:rsidTr="005544AA">
        <w:tc>
          <w:tcPr>
            <w:tcW w:w="3227" w:type="dxa"/>
          </w:tcPr>
          <w:p w:rsidR="00301D8D" w:rsidRPr="00952805" w:rsidRDefault="00301D8D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:rsidR="00301D8D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301D8D" w:rsidRPr="00301D8D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:rsidR="00301D8D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301D8D" w:rsidRPr="00952805" w:rsidRDefault="00301D8D" w:rsidP="001934AC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</w:p>
        </w:tc>
      </w:tr>
      <w:tr w:rsidR="00301D8D" w:rsidTr="005544AA">
        <w:tc>
          <w:tcPr>
            <w:tcW w:w="3227" w:type="dxa"/>
          </w:tcPr>
          <w:p w:rsidR="00301D8D" w:rsidRPr="00952805" w:rsidRDefault="00301D8D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:rsidR="00301D8D" w:rsidRPr="00952805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:rsidR="00301D8D" w:rsidRPr="00301D8D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301D8D" w:rsidTr="005544AA">
        <w:tc>
          <w:tcPr>
            <w:tcW w:w="3227" w:type="dxa"/>
          </w:tcPr>
          <w:p w:rsidR="00301D8D" w:rsidRPr="00952805" w:rsidRDefault="00301D8D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685" w:type="dxa"/>
          </w:tcPr>
          <w:p w:rsidR="00301D8D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301D8D" w:rsidRPr="00952805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:rsidR="00301D8D" w:rsidRDefault="00301D8D" w:rsidP="00301D8D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301D8D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:rsidR="00301D8D" w:rsidRPr="00BA4ED3" w:rsidRDefault="00301D8D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56338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756338">
        <w:rPr>
          <w:rFonts w:ascii="Arial" w:hAnsi="Arial" w:cs="Arial"/>
          <w:sz w:val="18"/>
          <w:szCs w:val="18"/>
        </w:rPr>
        <w:t>Na uvedenou adresu Objednatele bude odeslán Zhotovitelem Protoko</w:t>
      </w:r>
      <w:r w:rsidR="00F900E1">
        <w:rPr>
          <w:rFonts w:ascii="Arial" w:hAnsi="Arial" w:cs="Arial"/>
          <w:sz w:val="18"/>
          <w:szCs w:val="18"/>
        </w:rPr>
        <w:t>l o zkoušce a daňový doklad. Je-</w:t>
      </w:r>
      <w:r w:rsidR="00756338">
        <w:rPr>
          <w:rFonts w:ascii="Arial" w:hAnsi="Arial" w:cs="Arial"/>
          <w:sz w:val="18"/>
          <w:szCs w:val="18"/>
        </w:rPr>
        <w:t>li požadováno jinak, je</w:t>
      </w:r>
      <w:r w:rsidR="0089253C">
        <w:rPr>
          <w:rFonts w:ascii="Arial" w:hAnsi="Arial" w:cs="Arial"/>
          <w:sz w:val="18"/>
          <w:szCs w:val="18"/>
        </w:rPr>
        <w:t> </w:t>
      </w:r>
      <w:r w:rsidR="00756338">
        <w:rPr>
          <w:rFonts w:ascii="Arial" w:hAnsi="Arial" w:cs="Arial"/>
          <w:sz w:val="18"/>
          <w:szCs w:val="18"/>
        </w:rPr>
        <w:t>zapotřebí tento požadavek uvést……………………………………………………………………………………………………………</w:t>
      </w:r>
      <w:r w:rsidR="00F900E1">
        <w:rPr>
          <w:rFonts w:ascii="Arial" w:hAnsi="Arial" w:cs="Arial"/>
          <w:sz w:val="18"/>
          <w:szCs w:val="18"/>
        </w:rPr>
        <w:t>…</w:t>
      </w:r>
      <w:r w:rsidR="0089253C">
        <w:rPr>
          <w:rFonts w:ascii="Arial" w:hAnsi="Arial" w:cs="Arial"/>
          <w:sz w:val="18"/>
          <w:szCs w:val="18"/>
        </w:rPr>
        <w:t>.</w:t>
      </w:r>
    </w:p>
    <w:p w:rsidR="005544AA" w:rsidRDefault="005544AA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p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určitou do </w:t>
      </w:r>
      <w:r w:rsidR="00432ADE">
        <w:rPr>
          <w:rFonts w:ascii="Arial" w:hAnsi="Arial" w:cs="Arial"/>
          <w:sz w:val="18"/>
          <w:szCs w:val="20"/>
        </w:rPr>
        <w:t>201</w:t>
      </w:r>
      <w:r w:rsidR="00065A6C">
        <w:rPr>
          <w:rFonts w:ascii="Arial" w:hAnsi="Arial" w:cs="Arial"/>
          <w:sz w:val="18"/>
          <w:szCs w:val="20"/>
        </w:rPr>
        <w:t>9</w:t>
      </w:r>
      <w:r w:rsidR="00CD244A">
        <w:rPr>
          <w:rFonts w:ascii="Arial" w:hAnsi="Arial" w:cs="Arial"/>
          <w:sz w:val="18"/>
          <w:szCs w:val="20"/>
        </w:rPr>
        <w:t xml:space="preserve"> </w:t>
      </w:r>
      <w:r w:rsidR="00F013B0">
        <w:rPr>
          <w:rFonts w:ascii="Arial" w:hAnsi="Arial" w:cs="Arial"/>
          <w:sz w:val="18"/>
          <w:szCs w:val="20"/>
        </w:rPr>
        <w:t xml:space="preserve">/ neurčitou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730E11" w:rsidRPr="00730E11" w:rsidRDefault="001118A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Plastová šachta za oplocením ČOV – celk. odtok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730E11" w:rsidRPr="00730E11" w:rsidRDefault="001118A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 B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730E11" w:rsidRPr="00730E11" w:rsidRDefault="00BD165A" w:rsidP="00BD165A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AOX (fil), CHSK Cr, BSK5, pH, RL (105), RAS,NL, N-NO2-, N-NO3-, N-NH4+, N ANORG, Fe, P, EL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B38A8" w:rsidRPr="00730E11" w:rsidRDefault="00BD165A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</w:t>
            </w:r>
            <w:r w:rsidR="00CB38A8">
              <w:rPr>
                <w:rFonts w:ascii="Arial" w:hAnsi="Arial" w:cs="Arial"/>
                <w:sz w:val="18"/>
                <w:szCs w:val="20"/>
              </w:rPr>
              <w:t>x</w:t>
            </w:r>
            <w:r>
              <w:rPr>
                <w:rFonts w:ascii="Arial" w:hAnsi="Arial" w:cs="Arial"/>
                <w:sz w:val="18"/>
                <w:szCs w:val="20"/>
              </w:rPr>
              <w:t xml:space="preserve">  (případně 1x oprava)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730E11" w:rsidRPr="00730E11" w:rsidRDefault="001118A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D921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5544AA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44AA" w:rsidRPr="008B3062" w:rsidRDefault="005544AA" w:rsidP="005544AA">
      <w:pPr>
        <w:pStyle w:val="Odstavecseseznamem"/>
        <w:tabs>
          <w:tab w:val="left" w:pos="4678"/>
        </w:tabs>
        <w:spacing w:before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BA4ED3" w:rsidRDefault="00BA4ED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lastRenderedPageBreak/>
        <w:t>Čas a způsob plnění</w:t>
      </w:r>
    </w:p>
    <w:p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r w:rsidR="00827550">
        <w:rPr>
          <w:rFonts w:ascii="Arial" w:hAnsi="Arial" w:cs="Arial"/>
          <w:sz w:val="18"/>
          <w:szCs w:val="18"/>
        </w:rPr>
        <w:t xml:space="preserve">Novosedlická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 xml:space="preserve">004 Sb. o dani z přidané hodnoty, ve znění pozdějších předpisů. Faktura je splatná do </w:t>
      </w:r>
      <w:r w:rsidRPr="00F013B0">
        <w:rPr>
          <w:rFonts w:ascii="Arial" w:hAnsi="Arial" w:cs="Arial"/>
          <w:b/>
          <w:sz w:val="18"/>
          <w:szCs w:val="18"/>
        </w:rPr>
        <w:t>14</w:t>
      </w:r>
      <w:r w:rsidRPr="00551BB7">
        <w:rPr>
          <w:rFonts w:ascii="Arial" w:hAnsi="Arial" w:cs="Arial"/>
          <w:sz w:val="18"/>
          <w:szCs w:val="18"/>
        </w:rPr>
        <w:t xml:space="preserve"> dnů ode dne vystavení.</w:t>
      </w:r>
    </w:p>
    <w:p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>toři. O této skutečnosti bude Objednatel předem informován.  Přednostně jsou vybíráni dodavatelé se zavedeným systémem kvality podle normy ČSN EN ISO/IEC 17 025:2005. Výsledky zkoušek, provedených subdodavatelsky, jsou na protokolech označeny jako SA, SN.</w:t>
      </w:r>
    </w:p>
    <w:p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Veškerá sdělení a veškeré úkony podle této smlouvy budou předávány nebo zasílány osobně, poštou, faxem nebo e-mailem na adresy uvedené v úvodu této smlouvy.</w:t>
      </w:r>
    </w:p>
    <w:p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="0018261D">
        <w:rPr>
          <w:rFonts w:ascii="Arial" w:hAnsi="Arial" w:cs="Arial"/>
          <w:sz w:val="18"/>
          <w:szCs w:val="18"/>
        </w:rPr>
        <w:t xml:space="preserve"> Ing. Jan Bednárek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  <w:r w:rsidR="00CB38A8">
        <w:rPr>
          <w:rFonts w:ascii="Arial" w:hAnsi="Arial" w:cs="Arial"/>
          <w:sz w:val="18"/>
          <w:szCs w:val="18"/>
        </w:rPr>
        <w:t xml:space="preserve"> Bc. Kubík Daniel</w:t>
      </w: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3B7EF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BA4ED3">
        <w:rPr>
          <w:rFonts w:ascii="Arial" w:hAnsi="Arial" w:cs="Arial"/>
          <w:sz w:val="18"/>
          <w:szCs w:val="18"/>
        </w:rPr>
        <w:t> Teplicích d</w:t>
      </w:r>
      <w:r w:rsidRPr="00551BB7">
        <w:rPr>
          <w:rFonts w:ascii="Arial" w:hAnsi="Arial" w:cs="Arial"/>
          <w:sz w:val="18"/>
          <w:szCs w:val="18"/>
        </w:rPr>
        <w:t>ne</w:t>
      </w:r>
      <w:r w:rsidR="00CA5FC4">
        <w:rPr>
          <w:rFonts w:ascii="Arial" w:hAnsi="Arial" w:cs="Arial"/>
          <w:sz w:val="18"/>
          <w:szCs w:val="18"/>
        </w:rPr>
        <w:t xml:space="preserve"> </w:t>
      </w:r>
      <w:r w:rsidR="0018261D">
        <w:rPr>
          <w:rFonts w:ascii="Arial" w:hAnsi="Arial" w:cs="Arial"/>
          <w:sz w:val="18"/>
          <w:szCs w:val="18"/>
        </w:rPr>
        <w:t>04.01.2018</w:t>
      </w:r>
      <w:bookmarkStart w:id="0" w:name="_GoBack"/>
      <w:bookmarkEnd w:id="0"/>
      <w:r w:rsidRPr="00551BB7">
        <w:rPr>
          <w:rFonts w:ascii="Arial" w:hAnsi="Arial" w:cs="Arial"/>
          <w:sz w:val="18"/>
          <w:szCs w:val="18"/>
        </w:rPr>
        <w:tab/>
      </w:r>
      <w:r w:rsidR="00F013B0">
        <w:rPr>
          <w:rFonts w:ascii="Arial" w:hAnsi="Arial" w:cs="Arial"/>
          <w:sz w:val="18"/>
          <w:szCs w:val="18"/>
        </w:rPr>
        <w:t xml:space="preserve">V </w:t>
      </w:r>
      <w:r w:rsidRPr="00551BB7">
        <w:rPr>
          <w:rFonts w:ascii="Arial" w:hAnsi="Arial" w:cs="Arial"/>
          <w:sz w:val="18"/>
          <w:szCs w:val="18"/>
        </w:rPr>
        <w:t>dne</w:t>
      </w:r>
      <w:r w:rsidR="00BA4ED3">
        <w:rPr>
          <w:rFonts w:ascii="Arial" w:hAnsi="Arial" w:cs="Arial"/>
          <w:sz w:val="18"/>
          <w:szCs w:val="18"/>
        </w:rPr>
        <w:t xml:space="preserve"> </w:t>
      </w:r>
      <w:r w:rsidR="0039339B">
        <w:rPr>
          <w:rFonts w:ascii="Arial" w:hAnsi="Arial" w:cs="Arial"/>
          <w:sz w:val="18"/>
          <w:szCs w:val="18"/>
        </w:rPr>
        <w:t>3</w:t>
      </w:r>
      <w:r w:rsidR="00CB38A8">
        <w:rPr>
          <w:rFonts w:ascii="Arial" w:hAnsi="Arial" w:cs="Arial"/>
          <w:sz w:val="18"/>
          <w:szCs w:val="18"/>
        </w:rPr>
        <w:t>.1.2019</w:t>
      </w:r>
    </w:p>
    <w:p w:rsidR="00551BB7" w:rsidRPr="00551BB7" w:rsidRDefault="00551BB7" w:rsidP="00F013B0">
      <w:pPr>
        <w:rPr>
          <w:rFonts w:cs="Arial"/>
          <w:sz w:val="18"/>
          <w:szCs w:val="20"/>
        </w:rPr>
      </w:pP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93099"/>
    <w:multiLevelType w:val="multilevel"/>
    <w:tmpl w:val="429EF40A"/>
    <w:styleLink w:val="WW8Num4"/>
    <w:lvl w:ilvl="0">
      <w:start w:val="1"/>
      <w:numFmt w:val="lowerLetter"/>
      <w:lvlText w:val="%1)"/>
      <w:lvlJc w:val="left"/>
      <w:pPr>
        <w:ind w:left="540" w:hanging="36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F45D39"/>
    <w:multiLevelType w:val="multilevel"/>
    <w:tmpl w:val="2DD8041C"/>
    <w:styleLink w:val="WW8Num3"/>
    <w:lvl w:ilvl="0">
      <w:start w:val="1"/>
      <w:numFmt w:val="lowerLetter"/>
      <w:lvlText w:val="%1)"/>
      <w:lvlJc w:val="left"/>
      <w:pPr>
        <w:ind w:left="54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B50F5"/>
    <w:multiLevelType w:val="multilevel"/>
    <w:tmpl w:val="264C9AA0"/>
    <w:styleLink w:val="WW8Num2"/>
    <w:lvl w:ilvl="0">
      <w:start w:val="1"/>
      <w:numFmt w:val="none"/>
      <w:pStyle w:val="Nadpis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1"/>
    <w:rsid w:val="00065A6C"/>
    <w:rsid w:val="000C34AE"/>
    <w:rsid w:val="001118A1"/>
    <w:rsid w:val="0014042B"/>
    <w:rsid w:val="00154287"/>
    <w:rsid w:val="0018261D"/>
    <w:rsid w:val="002245CC"/>
    <w:rsid w:val="0024479C"/>
    <w:rsid w:val="00273098"/>
    <w:rsid w:val="002C70B1"/>
    <w:rsid w:val="00301D8D"/>
    <w:rsid w:val="003066BE"/>
    <w:rsid w:val="003759CC"/>
    <w:rsid w:val="00377A07"/>
    <w:rsid w:val="00390F32"/>
    <w:rsid w:val="0039339B"/>
    <w:rsid w:val="003B7EF7"/>
    <w:rsid w:val="00420697"/>
    <w:rsid w:val="00432ADE"/>
    <w:rsid w:val="004470D7"/>
    <w:rsid w:val="004F08F5"/>
    <w:rsid w:val="00521BF9"/>
    <w:rsid w:val="00551BB7"/>
    <w:rsid w:val="005544AA"/>
    <w:rsid w:val="005C5717"/>
    <w:rsid w:val="005F733F"/>
    <w:rsid w:val="00601D4B"/>
    <w:rsid w:val="00611F3A"/>
    <w:rsid w:val="00674AAF"/>
    <w:rsid w:val="00675240"/>
    <w:rsid w:val="006D0711"/>
    <w:rsid w:val="006F1EAF"/>
    <w:rsid w:val="00730E11"/>
    <w:rsid w:val="00756338"/>
    <w:rsid w:val="008118DA"/>
    <w:rsid w:val="00813F3B"/>
    <w:rsid w:val="008243B5"/>
    <w:rsid w:val="00827550"/>
    <w:rsid w:val="00843D82"/>
    <w:rsid w:val="00853CA1"/>
    <w:rsid w:val="00874AD4"/>
    <w:rsid w:val="0089253C"/>
    <w:rsid w:val="008B2DF4"/>
    <w:rsid w:val="008B3062"/>
    <w:rsid w:val="00920755"/>
    <w:rsid w:val="00945822"/>
    <w:rsid w:val="00952805"/>
    <w:rsid w:val="00A06AD3"/>
    <w:rsid w:val="00A736EE"/>
    <w:rsid w:val="00AA6924"/>
    <w:rsid w:val="00AB2FD2"/>
    <w:rsid w:val="00B10951"/>
    <w:rsid w:val="00B71D5D"/>
    <w:rsid w:val="00B919EF"/>
    <w:rsid w:val="00BA4ED3"/>
    <w:rsid w:val="00BD165A"/>
    <w:rsid w:val="00C4254D"/>
    <w:rsid w:val="00C752E1"/>
    <w:rsid w:val="00C87885"/>
    <w:rsid w:val="00CA5FC4"/>
    <w:rsid w:val="00CB38A8"/>
    <w:rsid w:val="00CD244A"/>
    <w:rsid w:val="00D45AD0"/>
    <w:rsid w:val="00D63BCA"/>
    <w:rsid w:val="00D92187"/>
    <w:rsid w:val="00DB2610"/>
    <w:rsid w:val="00DD5712"/>
    <w:rsid w:val="00DE568B"/>
    <w:rsid w:val="00E56559"/>
    <w:rsid w:val="00ED1D84"/>
    <w:rsid w:val="00ED3FB4"/>
    <w:rsid w:val="00EF4A2D"/>
    <w:rsid w:val="00F013B0"/>
    <w:rsid w:val="00F900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6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3</cp:revision>
  <cp:lastPrinted>2019-01-04T07:38:00Z</cp:lastPrinted>
  <dcterms:created xsi:type="dcterms:W3CDTF">2019-01-04T08:23:00Z</dcterms:created>
  <dcterms:modified xsi:type="dcterms:W3CDTF">2019-01-04T11:23:00Z</dcterms:modified>
</cp:coreProperties>
</file>