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41F" w:rsidRDefault="007E041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498" w:type="dxa"/>
        <w:tblInd w:w="0" w:type="dxa"/>
        <w:tblLayout w:type="fixed"/>
        <w:tblLook w:val="0000" w:firstRow="0" w:lastRow="0" w:firstColumn="0" w:lastColumn="0" w:noHBand="0" w:noVBand="0"/>
      </w:tblPr>
      <w:tblGrid>
        <w:gridCol w:w="2268"/>
        <w:gridCol w:w="2552"/>
        <w:gridCol w:w="2126"/>
        <w:gridCol w:w="2552"/>
      </w:tblGrid>
      <w:tr w:rsidR="007E041F">
        <w:tc>
          <w:tcPr>
            <w:tcW w:w="4820" w:type="dxa"/>
            <w:gridSpan w:val="2"/>
            <w:tcBorders>
              <w:top w:val="single" w:sz="4" w:space="0" w:color="000000"/>
              <w:left w:val="single" w:sz="4" w:space="0" w:color="000000"/>
              <w:bottom w:val="single" w:sz="4" w:space="0" w:color="000000"/>
              <w:right w:val="single" w:sz="4" w:space="0" w:color="000000"/>
            </w:tcBorders>
          </w:tcPr>
          <w:p w:rsidR="007E041F" w:rsidRDefault="00867894">
            <w:pPr>
              <w:widowControl w:val="0"/>
              <w:pBdr>
                <w:top w:val="nil"/>
                <w:left w:val="nil"/>
                <w:bottom w:val="nil"/>
                <w:right w:val="nil"/>
                <w:between w:val="nil"/>
              </w:pBdr>
              <w:spacing w:before="40" w:after="40"/>
              <w:ind w:left="34" w:right="176" w:hanging="17"/>
              <w:rPr>
                <w:rFonts w:ascii="Times New Roman" w:eastAsia="Times New Roman" w:hAnsi="Times New Roman" w:cs="Times New Roman"/>
                <w:b/>
                <w:color w:val="000000"/>
                <w:sz w:val="24"/>
                <w:szCs w:val="24"/>
              </w:rPr>
            </w:pPr>
            <w:bookmarkStart w:id="0" w:name="30j0zll" w:colFirst="0" w:colLast="0"/>
            <w:bookmarkStart w:id="1" w:name="1fob9te" w:colFirst="0" w:colLast="0"/>
            <w:bookmarkStart w:id="2" w:name="2et92p0" w:colFirst="0" w:colLast="0"/>
            <w:bookmarkStart w:id="3" w:name="3znysh7" w:colFirst="0" w:colLast="0"/>
            <w:bookmarkStart w:id="4" w:name="gjdgxs" w:colFirst="0" w:colLast="0"/>
            <w:bookmarkStart w:id="5" w:name="tyjcwt" w:colFirst="0" w:colLast="0"/>
            <w:bookmarkEnd w:id="0"/>
            <w:bookmarkEnd w:id="1"/>
            <w:bookmarkEnd w:id="2"/>
            <w:bookmarkEnd w:id="3"/>
            <w:bookmarkEnd w:id="4"/>
            <w:bookmarkEnd w:id="5"/>
            <w:r>
              <w:rPr>
                <w:rFonts w:ascii="Times New Roman" w:eastAsia="Times New Roman" w:hAnsi="Times New Roman" w:cs="Times New Roman"/>
                <w:b/>
                <w:color w:val="000000"/>
                <w:sz w:val="24"/>
                <w:szCs w:val="24"/>
              </w:rPr>
              <w:t>Nemocnice Na Bulovce</w:t>
            </w:r>
          </w:p>
        </w:tc>
        <w:tc>
          <w:tcPr>
            <w:tcW w:w="4678" w:type="dxa"/>
            <w:gridSpan w:val="2"/>
            <w:tcBorders>
              <w:top w:val="single" w:sz="4" w:space="0" w:color="000000"/>
              <w:left w:val="single" w:sz="4" w:space="0" w:color="000000"/>
              <w:bottom w:val="single" w:sz="4" w:space="0" w:color="000000"/>
              <w:right w:val="single" w:sz="4" w:space="0" w:color="000000"/>
            </w:tcBorders>
          </w:tcPr>
          <w:p w:rsidR="007E041F" w:rsidRDefault="00867894">
            <w:pPr>
              <w:widowControl w:val="0"/>
              <w:pBdr>
                <w:top w:val="nil"/>
                <w:left w:val="nil"/>
                <w:bottom w:val="nil"/>
                <w:right w:val="nil"/>
                <w:between w:val="nil"/>
              </w:pBdr>
              <w:spacing w:before="40" w:after="40"/>
              <w:ind w:right="176" w:hanging="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AbbVie s.r.o.</w:t>
            </w:r>
            <w:r>
              <w:rPr>
                <w:rFonts w:ascii="Times New Roman" w:eastAsia="Times New Roman" w:hAnsi="Times New Roman" w:cs="Times New Roman"/>
                <w:b/>
                <w:color w:val="000000"/>
                <w:sz w:val="24"/>
                <w:szCs w:val="24"/>
              </w:rPr>
              <w:tab/>
            </w:r>
          </w:p>
        </w:tc>
      </w:tr>
      <w:tr w:rsidR="007E041F">
        <w:tc>
          <w:tcPr>
            <w:tcW w:w="4820" w:type="dxa"/>
            <w:gridSpan w:val="2"/>
            <w:tcBorders>
              <w:top w:val="single" w:sz="4" w:space="0" w:color="000000"/>
              <w:left w:val="single" w:sz="4" w:space="0" w:color="000000"/>
              <w:bottom w:val="single" w:sz="4" w:space="0" w:color="000000"/>
              <w:right w:val="single" w:sz="4" w:space="0" w:color="000000"/>
            </w:tcBorders>
          </w:tcPr>
          <w:p w:rsidR="007E041F" w:rsidRDefault="00867894">
            <w:pPr>
              <w:widowControl w:val="0"/>
              <w:pBdr>
                <w:top w:val="nil"/>
                <w:left w:val="nil"/>
                <w:bottom w:val="nil"/>
                <w:right w:val="nil"/>
                <w:between w:val="nil"/>
              </w:pBdr>
              <w:spacing w:before="40" w:after="40"/>
              <w:ind w:left="17" w:right="176"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Budínova 67/2</w:t>
            </w:r>
          </w:p>
          <w:p w:rsidR="007E041F" w:rsidRDefault="00867894">
            <w:pPr>
              <w:widowControl w:val="0"/>
              <w:pBdr>
                <w:top w:val="nil"/>
                <w:left w:val="nil"/>
                <w:bottom w:val="nil"/>
                <w:right w:val="nil"/>
                <w:between w:val="nil"/>
              </w:pBdr>
              <w:spacing w:before="40" w:after="40"/>
              <w:ind w:left="34" w:right="176"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 81 Praha 8</w:t>
            </w:r>
          </w:p>
        </w:tc>
        <w:tc>
          <w:tcPr>
            <w:tcW w:w="4678" w:type="dxa"/>
            <w:gridSpan w:val="2"/>
            <w:tcBorders>
              <w:top w:val="single" w:sz="4" w:space="0" w:color="000000"/>
              <w:left w:val="single" w:sz="4" w:space="0" w:color="000000"/>
              <w:bottom w:val="single" w:sz="4" w:space="0" w:color="000000"/>
              <w:right w:val="single" w:sz="4" w:space="0" w:color="000000"/>
            </w:tcBorders>
          </w:tcPr>
          <w:p w:rsidR="007E041F" w:rsidRDefault="00867894">
            <w:pPr>
              <w:widowControl w:val="0"/>
              <w:pBdr>
                <w:top w:val="nil"/>
                <w:left w:val="nil"/>
                <w:bottom w:val="nil"/>
                <w:right w:val="nil"/>
                <w:between w:val="nil"/>
              </w:pBdr>
              <w:spacing w:before="40" w:after="40"/>
              <w:ind w:right="176"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sídlem Metronom Business Center, Bucharova 2817/13, </w:t>
            </w:r>
            <w:proofErr w:type="gramStart"/>
            <w:r>
              <w:rPr>
                <w:rFonts w:ascii="Times New Roman" w:eastAsia="Times New Roman" w:hAnsi="Times New Roman" w:cs="Times New Roman"/>
                <w:color w:val="000000"/>
                <w:sz w:val="24"/>
                <w:szCs w:val="24"/>
              </w:rPr>
              <w:t>Stodůlky,  158 00</w:t>
            </w:r>
            <w:proofErr w:type="gramEnd"/>
            <w:r>
              <w:rPr>
                <w:rFonts w:ascii="Times New Roman" w:eastAsia="Times New Roman" w:hAnsi="Times New Roman" w:cs="Times New Roman"/>
                <w:color w:val="000000"/>
                <w:sz w:val="24"/>
                <w:szCs w:val="24"/>
              </w:rPr>
              <w:t xml:space="preserve"> Praha Česká republika,</w:t>
            </w:r>
          </w:p>
        </w:tc>
      </w:tr>
      <w:tr w:rsidR="007E041F">
        <w:tc>
          <w:tcPr>
            <w:tcW w:w="4820" w:type="dxa"/>
            <w:gridSpan w:val="2"/>
            <w:tcBorders>
              <w:top w:val="single" w:sz="4" w:space="0" w:color="000000"/>
              <w:left w:val="single" w:sz="4" w:space="0" w:color="000000"/>
              <w:bottom w:val="single" w:sz="4" w:space="0" w:color="000000"/>
              <w:right w:val="single" w:sz="4" w:space="0" w:color="000000"/>
            </w:tcBorders>
          </w:tcPr>
          <w:p w:rsidR="007E041F" w:rsidRDefault="007E041F">
            <w:pPr>
              <w:widowControl w:val="0"/>
              <w:pBdr>
                <w:top w:val="nil"/>
                <w:left w:val="nil"/>
                <w:bottom w:val="nil"/>
                <w:right w:val="nil"/>
                <w:between w:val="nil"/>
              </w:pBdr>
              <w:tabs>
                <w:tab w:val="left" w:pos="4712"/>
              </w:tabs>
              <w:spacing w:before="40" w:after="40"/>
              <w:ind w:left="34" w:right="34" w:hanging="17"/>
              <w:rPr>
                <w:rFonts w:ascii="Times New Roman" w:eastAsia="Times New Roman" w:hAnsi="Times New Roman" w:cs="Times New Roman"/>
                <w:color w:val="000000"/>
                <w:sz w:val="24"/>
                <w:szCs w:val="24"/>
              </w:rPr>
            </w:pPr>
          </w:p>
        </w:tc>
        <w:tc>
          <w:tcPr>
            <w:tcW w:w="4678" w:type="dxa"/>
            <w:gridSpan w:val="2"/>
            <w:tcBorders>
              <w:top w:val="single" w:sz="4" w:space="0" w:color="000000"/>
              <w:left w:val="single" w:sz="4" w:space="0" w:color="000000"/>
              <w:bottom w:val="single" w:sz="4" w:space="0" w:color="000000"/>
              <w:right w:val="single" w:sz="4" w:space="0" w:color="000000"/>
            </w:tcBorders>
          </w:tcPr>
          <w:p w:rsidR="007E041F" w:rsidRDefault="00867894">
            <w:pPr>
              <w:widowControl w:val="0"/>
              <w:pBdr>
                <w:top w:val="nil"/>
                <w:left w:val="nil"/>
                <w:bottom w:val="nil"/>
                <w:right w:val="nil"/>
                <w:between w:val="nil"/>
              </w:pBdr>
              <w:tabs>
                <w:tab w:val="left" w:pos="4712"/>
              </w:tabs>
              <w:spacing w:before="40" w:after="40"/>
              <w:ind w:right="34"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zapsaná v obchodním rejstříku vedeném Městským soudem v Praze pod </w:t>
            </w:r>
            <w:proofErr w:type="spellStart"/>
            <w:r>
              <w:rPr>
                <w:rFonts w:ascii="Times New Roman" w:eastAsia="Times New Roman" w:hAnsi="Times New Roman" w:cs="Times New Roman"/>
                <w:color w:val="000000"/>
                <w:sz w:val="24"/>
                <w:szCs w:val="24"/>
              </w:rPr>
              <w:t>sp</w:t>
            </w:r>
            <w:proofErr w:type="spellEnd"/>
            <w:r>
              <w:rPr>
                <w:rFonts w:ascii="Times New Roman" w:eastAsia="Times New Roman" w:hAnsi="Times New Roman" w:cs="Times New Roman"/>
                <w:color w:val="000000"/>
                <w:sz w:val="24"/>
                <w:szCs w:val="24"/>
              </w:rPr>
              <w:t>. zn. C 183123</w:t>
            </w:r>
          </w:p>
        </w:tc>
      </w:tr>
      <w:tr w:rsidR="007E041F">
        <w:tc>
          <w:tcPr>
            <w:tcW w:w="4820" w:type="dxa"/>
            <w:gridSpan w:val="2"/>
            <w:tcBorders>
              <w:top w:val="single" w:sz="4" w:space="0" w:color="000000"/>
              <w:left w:val="single" w:sz="4" w:space="0" w:color="000000"/>
              <w:bottom w:val="single" w:sz="4" w:space="0" w:color="000000"/>
              <w:right w:val="single" w:sz="4" w:space="0" w:color="000000"/>
            </w:tcBorders>
          </w:tcPr>
          <w:p w:rsidR="007E041F" w:rsidRDefault="00867894">
            <w:pPr>
              <w:widowControl w:val="0"/>
              <w:pBdr>
                <w:top w:val="nil"/>
                <w:left w:val="nil"/>
                <w:bottom w:val="nil"/>
                <w:right w:val="nil"/>
                <w:between w:val="nil"/>
              </w:pBdr>
              <w:spacing w:before="40" w:after="40"/>
              <w:ind w:left="34" w:right="176"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Bankovní spojení: 16231081/0710, Česká národní banka</w:t>
            </w:r>
          </w:p>
        </w:tc>
        <w:tc>
          <w:tcPr>
            <w:tcW w:w="4678" w:type="dxa"/>
            <w:gridSpan w:val="2"/>
            <w:tcBorders>
              <w:top w:val="single" w:sz="4" w:space="0" w:color="000000"/>
              <w:left w:val="single" w:sz="4" w:space="0" w:color="000000"/>
              <w:bottom w:val="single" w:sz="4" w:space="0" w:color="000000"/>
              <w:right w:val="single" w:sz="4" w:space="0" w:color="000000"/>
            </w:tcBorders>
          </w:tcPr>
          <w:p w:rsidR="007E041F" w:rsidRDefault="00867894">
            <w:pPr>
              <w:widowControl w:val="0"/>
              <w:pBdr>
                <w:top w:val="nil"/>
                <w:left w:val="nil"/>
                <w:bottom w:val="nil"/>
                <w:right w:val="nil"/>
                <w:between w:val="nil"/>
              </w:pBdr>
              <w:spacing w:before="40" w:after="40"/>
              <w:ind w:right="176"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Bankovní spojení: 064450-6003550005/6300, </w:t>
            </w:r>
            <w:proofErr w:type="spellStart"/>
            <w:r>
              <w:rPr>
                <w:rFonts w:ascii="Times New Roman" w:eastAsia="Times New Roman" w:hAnsi="Times New Roman" w:cs="Times New Roman"/>
                <w:color w:val="000000"/>
                <w:sz w:val="24"/>
                <w:szCs w:val="24"/>
              </w:rPr>
              <w:t>Fortis</w:t>
            </w:r>
            <w:proofErr w:type="spellEnd"/>
            <w:r>
              <w:rPr>
                <w:rFonts w:ascii="Times New Roman" w:eastAsia="Times New Roman" w:hAnsi="Times New Roman" w:cs="Times New Roman"/>
                <w:color w:val="000000"/>
                <w:sz w:val="24"/>
                <w:szCs w:val="24"/>
              </w:rPr>
              <w:t xml:space="preserve"> Bank</w:t>
            </w:r>
          </w:p>
        </w:tc>
      </w:tr>
      <w:tr w:rsidR="007E041F">
        <w:tc>
          <w:tcPr>
            <w:tcW w:w="2268" w:type="dxa"/>
            <w:tcBorders>
              <w:top w:val="single" w:sz="4" w:space="0" w:color="000000"/>
              <w:left w:val="single" w:sz="4" w:space="0" w:color="000000"/>
              <w:bottom w:val="single" w:sz="4" w:space="0" w:color="000000"/>
              <w:right w:val="single" w:sz="4" w:space="0" w:color="000000"/>
            </w:tcBorders>
            <w:tcMar>
              <w:left w:w="107" w:type="dxa"/>
              <w:right w:w="107" w:type="dxa"/>
            </w:tcMar>
          </w:tcPr>
          <w:p w:rsidR="007E041F" w:rsidRDefault="00867894">
            <w:pPr>
              <w:widowControl w:val="0"/>
              <w:pBdr>
                <w:top w:val="nil"/>
                <w:left w:val="nil"/>
                <w:bottom w:val="nil"/>
                <w:right w:val="nil"/>
                <w:between w:val="nil"/>
              </w:pBdr>
              <w:spacing w:before="40" w:after="40"/>
              <w:ind w:left="34" w:right="176"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IČ: 00064211</w:t>
            </w:r>
          </w:p>
        </w:tc>
        <w:tc>
          <w:tcPr>
            <w:tcW w:w="2552" w:type="dxa"/>
            <w:tcBorders>
              <w:top w:val="single" w:sz="4" w:space="0" w:color="000000"/>
              <w:left w:val="single" w:sz="4" w:space="0" w:color="000000"/>
              <w:bottom w:val="single" w:sz="4" w:space="0" w:color="000000"/>
              <w:right w:val="single" w:sz="4" w:space="0" w:color="000000"/>
            </w:tcBorders>
            <w:tcMar>
              <w:left w:w="107" w:type="dxa"/>
              <w:right w:w="107" w:type="dxa"/>
            </w:tcMar>
          </w:tcPr>
          <w:p w:rsidR="007E041F" w:rsidRDefault="00867894">
            <w:pPr>
              <w:widowControl w:val="0"/>
              <w:pBdr>
                <w:top w:val="nil"/>
                <w:left w:val="nil"/>
                <w:bottom w:val="nil"/>
                <w:right w:val="nil"/>
                <w:between w:val="nil"/>
              </w:pBdr>
              <w:spacing w:before="40" w:after="40"/>
              <w:ind w:left="34" w:right="176"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DIČ: CZ00064211</w:t>
            </w:r>
          </w:p>
        </w:tc>
        <w:tc>
          <w:tcPr>
            <w:tcW w:w="2126" w:type="dxa"/>
            <w:tcBorders>
              <w:top w:val="single" w:sz="4" w:space="0" w:color="000000"/>
              <w:left w:val="single" w:sz="4" w:space="0" w:color="000000"/>
              <w:bottom w:val="single" w:sz="4" w:space="0" w:color="000000"/>
              <w:right w:val="single" w:sz="4" w:space="0" w:color="000000"/>
            </w:tcBorders>
            <w:tcMar>
              <w:left w:w="107" w:type="dxa"/>
              <w:right w:w="107" w:type="dxa"/>
            </w:tcMar>
          </w:tcPr>
          <w:p w:rsidR="007E041F" w:rsidRDefault="00867894">
            <w:pPr>
              <w:widowControl w:val="0"/>
              <w:pBdr>
                <w:top w:val="nil"/>
                <w:left w:val="nil"/>
                <w:bottom w:val="nil"/>
                <w:right w:val="nil"/>
                <w:between w:val="nil"/>
              </w:pBdr>
              <w:spacing w:before="40" w:after="40"/>
              <w:ind w:right="176"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IČ: </w:t>
            </w:r>
            <w:bookmarkStart w:id="6" w:name="_GoBack"/>
            <w:r>
              <w:rPr>
                <w:rFonts w:ascii="Times New Roman" w:eastAsia="Times New Roman" w:hAnsi="Times New Roman" w:cs="Times New Roman"/>
                <w:color w:val="000000"/>
                <w:sz w:val="24"/>
                <w:szCs w:val="24"/>
              </w:rPr>
              <w:t>24148725</w:t>
            </w:r>
            <w:bookmarkEnd w:id="6"/>
          </w:p>
        </w:tc>
        <w:tc>
          <w:tcPr>
            <w:tcW w:w="2552" w:type="dxa"/>
            <w:tcBorders>
              <w:top w:val="single" w:sz="4" w:space="0" w:color="000000"/>
              <w:left w:val="single" w:sz="4" w:space="0" w:color="000000"/>
              <w:bottom w:val="single" w:sz="4" w:space="0" w:color="000000"/>
              <w:right w:val="single" w:sz="4" w:space="0" w:color="000000"/>
            </w:tcBorders>
            <w:tcMar>
              <w:left w:w="107" w:type="dxa"/>
              <w:right w:w="107" w:type="dxa"/>
            </w:tcMar>
          </w:tcPr>
          <w:p w:rsidR="007E041F" w:rsidRDefault="00867894">
            <w:pPr>
              <w:widowControl w:val="0"/>
              <w:pBdr>
                <w:top w:val="nil"/>
                <w:left w:val="nil"/>
                <w:bottom w:val="nil"/>
                <w:right w:val="nil"/>
                <w:between w:val="nil"/>
              </w:pBdr>
              <w:spacing w:before="40" w:after="40"/>
              <w:ind w:right="176" w:hanging="17"/>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DIČ: CZ24148725</w:t>
            </w:r>
          </w:p>
        </w:tc>
      </w:tr>
      <w:tr w:rsidR="007E041F">
        <w:trPr>
          <w:trHeight w:val="320"/>
        </w:trPr>
        <w:tc>
          <w:tcPr>
            <w:tcW w:w="4820" w:type="dxa"/>
            <w:gridSpan w:val="2"/>
            <w:tcBorders>
              <w:top w:val="single" w:sz="4" w:space="0" w:color="000000"/>
              <w:left w:val="single" w:sz="4" w:space="0" w:color="000000"/>
              <w:bottom w:val="single" w:sz="4" w:space="0" w:color="000000"/>
              <w:right w:val="single" w:sz="4" w:space="0" w:color="000000"/>
            </w:tcBorders>
          </w:tcPr>
          <w:p w:rsidR="007E041F" w:rsidRDefault="00867894">
            <w:pPr>
              <w:widowControl w:val="0"/>
              <w:pBdr>
                <w:top w:val="nil"/>
                <w:left w:val="nil"/>
                <w:bottom w:val="nil"/>
                <w:right w:val="nil"/>
                <w:between w:val="nil"/>
              </w:pBdr>
              <w:spacing w:before="40" w:after="40"/>
              <w:ind w:left="34" w:right="176"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Zastoupená: Mgr. Janem Kvačkem, ředitelem</w:t>
            </w:r>
          </w:p>
        </w:tc>
        <w:tc>
          <w:tcPr>
            <w:tcW w:w="4678" w:type="dxa"/>
            <w:gridSpan w:val="2"/>
            <w:tcBorders>
              <w:top w:val="single" w:sz="4" w:space="0" w:color="000000"/>
              <w:left w:val="single" w:sz="4" w:space="0" w:color="000000"/>
              <w:bottom w:val="single" w:sz="4" w:space="0" w:color="000000"/>
              <w:right w:val="single" w:sz="4" w:space="0" w:color="000000"/>
            </w:tcBorders>
          </w:tcPr>
          <w:p w:rsidR="007E041F" w:rsidRDefault="00867894" w:rsidP="00240481">
            <w:pPr>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Zastoupená: Branislavem </w:t>
            </w:r>
            <w:proofErr w:type="spellStart"/>
            <w:r>
              <w:rPr>
                <w:rFonts w:ascii="Times New Roman" w:eastAsia="Times New Roman" w:hAnsi="Times New Roman" w:cs="Times New Roman"/>
                <w:sz w:val="24"/>
                <w:szCs w:val="24"/>
              </w:rPr>
              <w:t>Trutzem</w:t>
            </w:r>
            <w:proofErr w:type="spellEnd"/>
            <w:r>
              <w:rPr>
                <w:rFonts w:ascii="Times New Roman" w:eastAsia="Times New Roman" w:hAnsi="Times New Roman" w:cs="Times New Roman"/>
                <w:sz w:val="24"/>
                <w:szCs w:val="24"/>
              </w:rPr>
              <w:t xml:space="preserve">, jednatelem, </w:t>
            </w:r>
            <w:proofErr w:type="spellStart"/>
            <w:r w:rsidR="00240481">
              <w:rPr>
                <w:rFonts w:ascii="Times New Roman" w:eastAsia="Times New Roman" w:hAnsi="Times New Roman" w:cs="Times New Roman"/>
                <w:sz w:val="24"/>
                <w:szCs w:val="24"/>
              </w:rPr>
              <w:t>xxx</w:t>
            </w:r>
            <w:proofErr w:type="spellEnd"/>
            <w:r w:rsidR="00240481">
              <w:rPr>
                <w:rFonts w:ascii="Times New Roman" w:eastAsia="Times New Roman" w:hAnsi="Times New Roman" w:cs="Times New Roman"/>
                <w:sz w:val="24"/>
                <w:szCs w:val="24"/>
              </w:rPr>
              <w:t xml:space="preserve"> </w:t>
            </w:r>
            <w:proofErr w:type="spellStart"/>
            <w:r w:rsidR="00240481">
              <w:rPr>
                <w:rFonts w:ascii="Times New Roman" w:eastAsia="Times New Roman" w:hAnsi="Times New Roman" w:cs="Times New Roman"/>
                <w:sz w:val="24"/>
                <w:szCs w:val="24"/>
              </w:rPr>
              <w:t>xxx</w:t>
            </w:r>
            <w:proofErr w:type="spellEnd"/>
            <w:r w:rsidR="00240481">
              <w:rPr>
                <w:rFonts w:ascii="Times New Roman" w:eastAsia="Times New Roman" w:hAnsi="Times New Roman" w:cs="Times New Roman"/>
                <w:sz w:val="24"/>
                <w:szCs w:val="24"/>
              </w:rPr>
              <w:t xml:space="preserve"> </w:t>
            </w:r>
            <w:proofErr w:type="spellStart"/>
            <w:r w:rsidR="00240481">
              <w:rPr>
                <w:rFonts w:ascii="Times New Roman" w:eastAsia="Times New Roman" w:hAnsi="Times New Roman" w:cs="Times New Roman"/>
                <w:sz w:val="24"/>
                <w:szCs w:val="24"/>
              </w:rPr>
              <w:t>xxx</w:t>
            </w:r>
            <w:proofErr w:type="spellEnd"/>
            <w:r w:rsidR="00240481">
              <w:rPr>
                <w:rFonts w:ascii="Times New Roman" w:eastAsia="Times New Roman" w:hAnsi="Times New Roman" w:cs="Times New Roman"/>
                <w:sz w:val="24"/>
                <w:szCs w:val="24"/>
              </w:rPr>
              <w:t xml:space="preserve"> </w:t>
            </w:r>
            <w:proofErr w:type="spellStart"/>
            <w:r w:rsidR="00240481">
              <w:rPr>
                <w:rFonts w:ascii="Times New Roman" w:eastAsia="Times New Roman" w:hAnsi="Times New Roman" w:cs="Times New Roman"/>
                <w:sz w:val="24"/>
                <w:szCs w:val="24"/>
              </w:rPr>
              <w:t>xxx</w:t>
            </w:r>
            <w:proofErr w:type="spellEnd"/>
            <w:r w:rsidR="00240481">
              <w:rPr>
                <w:rFonts w:ascii="Times New Roman" w:eastAsia="Times New Roman" w:hAnsi="Times New Roman" w:cs="Times New Roman"/>
                <w:sz w:val="24"/>
                <w:szCs w:val="24"/>
              </w:rPr>
              <w:t xml:space="preserve"> </w:t>
            </w:r>
            <w:proofErr w:type="spellStart"/>
            <w:r w:rsidR="00240481">
              <w:rPr>
                <w:rFonts w:ascii="Times New Roman" w:eastAsia="Times New Roman" w:hAnsi="Times New Roman" w:cs="Times New Roman"/>
                <w:sz w:val="24"/>
                <w:szCs w:val="24"/>
              </w:rPr>
              <w:t>xxx</w:t>
            </w:r>
            <w:proofErr w:type="spellEnd"/>
            <w:r>
              <w:rPr>
                <w:rFonts w:ascii="Times New Roman" w:eastAsia="Times New Roman" w:hAnsi="Times New Roman" w:cs="Times New Roman"/>
                <w:sz w:val="24"/>
                <w:szCs w:val="24"/>
              </w:rPr>
              <w:t>/plná moc</w:t>
            </w:r>
          </w:p>
        </w:tc>
      </w:tr>
      <w:tr w:rsidR="007E041F">
        <w:trPr>
          <w:trHeight w:val="320"/>
        </w:trPr>
        <w:tc>
          <w:tcPr>
            <w:tcW w:w="4820" w:type="dxa"/>
            <w:gridSpan w:val="2"/>
            <w:tcBorders>
              <w:top w:val="single" w:sz="4" w:space="0" w:color="000000"/>
              <w:left w:val="single" w:sz="4" w:space="0" w:color="000000"/>
              <w:bottom w:val="single" w:sz="4" w:space="0" w:color="000000"/>
              <w:right w:val="single" w:sz="4" w:space="0" w:color="000000"/>
            </w:tcBorders>
          </w:tcPr>
          <w:p w:rsidR="007E041F" w:rsidRDefault="00867894">
            <w:pPr>
              <w:widowControl w:val="0"/>
              <w:pBdr>
                <w:top w:val="nil"/>
                <w:left w:val="nil"/>
                <w:bottom w:val="nil"/>
                <w:right w:val="nil"/>
                <w:between w:val="nil"/>
              </w:pBdr>
              <w:spacing w:before="40" w:after="40"/>
              <w:ind w:left="34" w:right="176" w:hanging="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dále jen „</w:t>
            </w:r>
            <w:r>
              <w:rPr>
                <w:rFonts w:ascii="Times New Roman" w:eastAsia="Times New Roman" w:hAnsi="Times New Roman" w:cs="Times New Roman"/>
                <w:b/>
                <w:color w:val="000000"/>
                <w:sz w:val="24"/>
                <w:szCs w:val="24"/>
              </w:rPr>
              <w:t>Vydavatel</w:t>
            </w:r>
            <w:r>
              <w:rPr>
                <w:rFonts w:ascii="Times New Roman" w:eastAsia="Times New Roman" w:hAnsi="Times New Roman" w:cs="Times New Roman"/>
                <w:color w:val="000000"/>
                <w:sz w:val="24"/>
                <w:szCs w:val="24"/>
              </w:rPr>
              <w:t>“</w:t>
            </w:r>
          </w:p>
        </w:tc>
        <w:tc>
          <w:tcPr>
            <w:tcW w:w="4678" w:type="dxa"/>
            <w:gridSpan w:val="2"/>
            <w:tcBorders>
              <w:top w:val="single" w:sz="4" w:space="0" w:color="000000"/>
              <w:left w:val="single" w:sz="4" w:space="0" w:color="000000"/>
              <w:bottom w:val="single" w:sz="4" w:space="0" w:color="000000"/>
              <w:right w:val="single" w:sz="4" w:space="0" w:color="000000"/>
            </w:tcBorders>
          </w:tcPr>
          <w:p w:rsidR="007E041F" w:rsidRDefault="00867894">
            <w:pPr>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dále jen „</w:t>
            </w:r>
            <w:r>
              <w:rPr>
                <w:rFonts w:ascii="Times New Roman" w:eastAsia="Times New Roman" w:hAnsi="Times New Roman" w:cs="Times New Roman"/>
                <w:b/>
                <w:sz w:val="24"/>
                <w:szCs w:val="24"/>
              </w:rPr>
              <w:t>Inzerent</w:t>
            </w:r>
            <w:r>
              <w:rPr>
                <w:rFonts w:ascii="Times New Roman" w:eastAsia="Times New Roman" w:hAnsi="Times New Roman" w:cs="Times New Roman"/>
                <w:sz w:val="24"/>
                <w:szCs w:val="24"/>
              </w:rPr>
              <w:t>“</w:t>
            </w:r>
          </w:p>
        </w:tc>
      </w:tr>
      <w:tr w:rsidR="007E041F">
        <w:trPr>
          <w:trHeight w:val="320"/>
        </w:trPr>
        <w:tc>
          <w:tcPr>
            <w:tcW w:w="9498" w:type="dxa"/>
            <w:gridSpan w:val="4"/>
            <w:tcBorders>
              <w:top w:val="single" w:sz="4" w:space="0" w:color="000000"/>
              <w:left w:val="single" w:sz="4" w:space="0" w:color="000000"/>
              <w:bottom w:val="single" w:sz="4" w:space="0" w:color="000000"/>
              <w:right w:val="single" w:sz="4" w:space="0" w:color="000000"/>
            </w:tcBorders>
          </w:tcPr>
          <w:p w:rsidR="007E041F" w:rsidRDefault="00867894">
            <w:pPr>
              <w:rPr>
                <w:rFonts w:ascii="Times New Roman" w:eastAsia="Times New Roman" w:hAnsi="Times New Roman" w:cs="Times New Roman"/>
                <w:sz w:val="24"/>
                <w:szCs w:val="24"/>
              </w:rPr>
            </w:pPr>
            <w:r>
              <w:rPr>
                <w:rFonts w:ascii="Times New Roman" w:eastAsia="Times New Roman" w:hAnsi="Times New Roman" w:cs="Times New Roman"/>
                <w:sz w:val="24"/>
                <w:szCs w:val="24"/>
              </w:rPr>
              <w:t>společně dále jen „</w:t>
            </w:r>
            <w:r>
              <w:rPr>
                <w:rFonts w:ascii="Times New Roman" w:eastAsia="Times New Roman" w:hAnsi="Times New Roman" w:cs="Times New Roman"/>
                <w:b/>
                <w:sz w:val="24"/>
                <w:szCs w:val="24"/>
              </w:rPr>
              <w:t>Strany</w:t>
            </w:r>
            <w:r>
              <w:rPr>
                <w:rFonts w:ascii="Times New Roman" w:eastAsia="Times New Roman" w:hAnsi="Times New Roman" w:cs="Times New Roman"/>
                <w:sz w:val="24"/>
                <w:szCs w:val="24"/>
              </w:rPr>
              <w:t>“ se rozhodly uzavřít tuto smlouvu o inzerci (dále jen „</w:t>
            </w:r>
            <w:r>
              <w:rPr>
                <w:rFonts w:ascii="Times New Roman" w:eastAsia="Times New Roman" w:hAnsi="Times New Roman" w:cs="Times New Roman"/>
                <w:b/>
                <w:sz w:val="24"/>
                <w:szCs w:val="24"/>
              </w:rPr>
              <w:t>Smlouva</w:t>
            </w:r>
            <w:r>
              <w:rPr>
                <w:rFonts w:ascii="Times New Roman" w:eastAsia="Times New Roman" w:hAnsi="Times New Roman" w:cs="Times New Roman"/>
                <w:sz w:val="24"/>
                <w:szCs w:val="24"/>
              </w:rPr>
              <w:t>“)</w:t>
            </w:r>
          </w:p>
        </w:tc>
      </w:tr>
      <w:tr w:rsidR="007E041F">
        <w:trPr>
          <w:trHeight w:val="320"/>
        </w:trPr>
        <w:tc>
          <w:tcPr>
            <w:tcW w:w="9498" w:type="dxa"/>
            <w:gridSpan w:val="4"/>
            <w:tcBorders>
              <w:top w:val="single" w:sz="4" w:space="0" w:color="000000"/>
              <w:left w:val="single" w:sz="4" w:space="0" w:color="000000"/>
              <w:bottom w:val="single" w:sz="4" w:space="0" w:color="000000"/>
              <w:right w:val="single" w:sz="4" w:space="0" w:color="000000"/>
            </w:tcBorders>
          </w:tcPr>
          <w:p w:rsidR="007E041F" w:rsidRDefault="00867894">
            <w:pPr>
              <w:numPr>
                <w:ilvl w:val="0"/>
                <w:numId w:val="1"/>
              </w:numPr>
              <w:pBdr>
                <w:top w:val="nil"/>
                <w:left w:val="nil"/>
                <w:bottom w:val="nil"/>
                <w:right w:val="nil"/>
                <w:between w:val="nil"/>
              </w:pBdr>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Inzerent má zájem o zajištění inzerce dle specifikace v příloze č. 1 Smlouvy (dále jen „</w:t>
            </w:r>
            <w:r>
              <w:rPr>
                <w:rFonts w:ascii="Times New Roman" w:eastAsia="Times New Roman" w:hAnsi="Times New Roman" w:cs="Times New Roman"/>
                <w:b/>
                <w:color w:val="000000"/>
                <w:sz w:val="24"/>
                <w:szCs w:val="24"/>
              </w:rPr>
              <w:t>Inzerce</w:t>
            </w:r>
            <w:r>
              <w:rPr>
                <w:rFonts w:ascii="Times New Roman" w:eastAsia="Times New Roman" w:hAnsi="Times New Roman" w:cs="Times New Roman"/>
                <w:color w:val="000000"/>
                <w:sz w:val="24"/>
                <w:szCs w:val="24"/>
              </w:rPr>
              <w:t>“) v celostátním časopise Neonatologické listy („dále jen „</w:t>
            </w:r>
            <w:r>
              <w:rPr>
                <w:rFonts w:ascii="Times New Roman" w:eastAsia="Times New Roman" w:hAnsi="Times New Roman" w:cs="Times New Roman"/>
                <w:b/>
                <w:color w:val="000000"/>
                <w:sz w:val="24"/>
                <w:szCs w:val="24"/>
              </w:rPr>
              <w:t>Medium</w:t>
            </w:r>
            <w:r>
              <w:rPr>
                <w:rFonts w:ascii="Times New Roman" w:eastAsia="Times New Roman" w:hAnsi="Times New Roman" w:cs="Times New Roman"/>
                <w:color w:val="000000"/>
                <w:sz w:val="24"/>
                <w:szCs w:val="24"/>
              </w:rPr>
              <w:t>“) které vydává Vydavatel ve spolupráci s Českou neonatologickou společností České lékařské společnosti Jana Evangelisty Purkyně. Vydavatel má zájem Inzerci uveřejnit za podmínek této Smlouvy a prohlašuje, že je k tomu oprávněn.</w:t>
            </w:r>
          </w:p>
        </w:tc>
      </w:tr>
      <w:tr w:rsidR="007E041F">
        <w:trPr>
          <w:trHeight w:val="780"/>
        </w:trPr>
        <w:tc>
          <w:tcPr>
            <w:tcW w:w="9498" w:type="dxa"/>
            <w:gridSpan w:val="4"/>
            <w:tcBorders>
              <w:top w:val="single" w:sz="4" w:space="0" w:color="000000"/>
              <w:left w:val="single" w:sz="4" w:space="0" w:color="000000"/>
              <w:bottom w:val="single" w:sz="4" w:space="0" w:color="000000"/>
              <w:right w:val="single" w:sz="4" w:space="0" w:color="000000"/>
            </w:tcBorders>
          </w:tcPr>
          <w:p w:rsidR="007E041F" w:rsidRDefault="00867894">
            <w:pPr>
              <w:widowControl w:val="0"/>
              <w:numPr>
                <w:ilvl w:val="0"/>
                <w:numId w:val="1"/>
              </w:numPr>
              <w:pBdr>
                <w:top w:val="nil"/>
                <w:left w:val="nil"/>
                <w:bottom w:val="nil"/>
                <w:right w:val="nil"/>
                <w:between w:val="nil"/>
              </w:pBdr>
              <w:tabs>
                <w:tab w:val="left" w:pos="964"/>
                <w:tab w:val="right" w:pos="9072"/>
              </w:tabs>
              <w:spacing w:before="120" w:after="120"/>
              <w:ind w:right="1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Souhrnná cena za zveřejnění Inzerce činí 60 000,- Kč bez daně z přidané hodnoty. </w:t>
            </w:r>
          </w:p>
        </w:tc>
      </w:tr>
      <w:tr w:rsidR="007E041F">
        <w:trPr>
          <w:trHeight w:val="520"/>
        </w:trPr>
        <w:tc>
          <w:tcPr>
            <w:tcW w:w="9498" w:type="dxa"/>
            <w:gridSpan w:val="4"/>
            <w:tcBorders>
              <w:top w:val="single" w:sz="4" w:space="0" w:color="000000"/>
              <w:left w:val="single" w:sz="4" w:space="0" w:color="000000"/>
              <w:bottom w:val="single" w:sz="4" w:space="0" w:color="000000"/>
              <w:right w:val="single" w:sz="4" w:space="0" w:color="000000"/>
            </w:tcBorders>
          </w:tcPr>
          <w:p w:rsidR="007E041F" w:rsidRDefault="00867894">
            <w:pPr>
              <w:widowControl w:val="0"/>
              <w:numPr>
                <w:ilvl w:val="0"/>
                <w:numId w:val="1"/>
              </w:numPr>
              <w:pBdr>
                <w:top w:val="nil"/>
                <w:left w:val="nil"/>
                <w:bottom w:val="nil"/>
                <w:right w:val="nil"/>
                <w:between w:val="nil"/>
              </w:pBdr>
              <w:tabs>
                <w:tab w:val="left" w:pos="964"/>
                <w:tab w:val="right" w:pos="9072"/>
              </w:tabs>
              <w:spacing w:before="120" w:after="120"/>
              <w:ind w:right="1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Inzerce bude zveřejněna ve výtiscích Média číslo 2, ročník 2018. Medium vyjde v listopadu 2018.</w:t>
            </w:r>
          </w:p>
        </w:tc>
      </w:tr>
      <w:tr w:rsidR="007E041F">
        <w:trPr>
          <w:trHeight w:val="960"/>
        </w:trPr>
        <w:tc>
          <w:tcPr>
            <w:tcW w:w="9498" w:type="dxa"/>
            <w:gridSpan w:val="4"/>
            <w:tcBorders>
              <w:top w:val="single" w:sz="4" w:space="0" w:color="000000"/>
              <w:left w:val="single" w:sz="4" w:space="0" w:color="000000"/>
              <w:bottom w:val="single" w:sz="4" w:space="0" w:color="000000"/>
              <w:right w:val="single" w:sz="4" w:space="0" w:color="000000"/>
            </w:tcBorders>
          </w:tcPr>
          <w:p w:rsidR="007E041F" w:rsidRDefault="00867894">
            <w:pPr>
              <w:widowControl w:val="0"/>
              <w:numPr>
                <w:ilvl w:val="0"/>
                <w:numId w:val="1"/>
              </w:numPr>
              <w:pBdr>
                <w:top w:val="nil"/>
                <w:left w:val="nil"/>
                <w:bottom w:val="nil"/>
                <w:right w:val="nil"/>
                <w:between w:val="nil"/>
              </w:pBdr>
              <w:tabs>
                <w:tab w:val="left" w:pos="964"/>
                <w:tab w:val="right" w:pos="9072"/>
              </w:tabs>
              <w:spacing w:before="120" w:after="120"/>
              <w:ind w:right="1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Strany se shodly, že tato Smlouva se řídí dále obchodními podmínkami Inzerenta a § 1746 odst. 2 zákona č. 89/2012 Sb., občanského zákoníku. Vydavatel podpisem Smlouvy potvrzuje, že příslušné obchodní podmínky Inzerenta jsou mu známy, je podrobně seznámen s jejich obsahem, rozumí jim a souhlasí s nimi bez výhrad.  </w:t>
            </w:r>
          </w:p>
        </w:tc>
      </w:tr>
      <w:tr w:rsidR="007E041F">
        <w:trPr>
          <w:trHeight w:val="60"/>
        </w:trPr>
        <w:tc>
          <w:tcPr>
            <w:tcW w:w="9498" w:type="dxa"/>
            <w:gridSpan w:val="4"/>
            <w:tcBorders>
              <w:top w:val="single" w:sz="4" w:space="0" w:color="000000"/>
              <w:left w:val="single" w:sz="4" w:space="0" w:color="000000"/>
              <w:bottom w:val="single" w:sz="4" w:space="0" w:color="000000"/>
              <w:right w:val="single" w:sz="4" w:space="0" w:color="000000"/>
            </w:tcBorders>
          </w:tcPr>
          <w:p w:rsidR="007E041F" w:rsidRDefault="00867894">
            <w:pPr>
              <w:widowControl w:val="0"/>
              <w:pBdr>
                <w:top w:val="nil"/>
                <w:left w:val="nil"/>
                <w:bottom w:val="nil"/>
                <w:right w:val="nil"/>
                <w:between w:val="nil"/>
              </w:pBdr>
              <w:spacing w:after="40" w:line="252" w:lineRule="auto"/>
              <w:ind w:left="142" w:right="176"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Praze dne </w:t>
            </w:r>
            <w:proofErr w:type="gramStart"/>
            <w:r w:rsidR="009B7F2C">
              <w:rPr>
                <w:rFonts w:ascii="Times New Roman" w:eastAsia="Times New Roman" w:hAnsi="Times New Roman" w:cs="Times New Roman"/>
                <w:color w:val="000000"/>
                <w:sz w:val="24"/>
                <w:szCs w:val="24"/>
              </w:rPr>
              <w:t>21.11.2018</w:t>
            </w:r>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V Praze dne </w:t>
            </w:r>
            <w:r w:rsidR="009B7F2C">
              <w:rPr>
                <w:rFonts w:ascii="Times New Roman" w:eastAsia="Times New Roman" w:hAnsi="Times New Roman" w:cs="Times New Roman"/>
                <w:color w:val="000000"/>
                <w:sz w:val="24"/>
                <w:szCs w:val="24"/>
              </w:rPr>
              <w:t>21.11.2018</w:t>
            </w:r>
          </w:p>
          <w:p w:rsidR="007E041F" w:rsidRDefault="00867894">
            <w:pPr>
              <w:widowControl w:val="0"/>
              <w:pBdr>
                <w:top w:val="nil"/>
                <w:left w:val="nil"/>
                <w:bottom w:val="nil"/>
                <w:right w:val="nil"/>
                <w:between w:val="nil"/>
              </w:pBdr>
              <w:spacing w:after="40" w:line="252" w:lineRule="auto"/>
              <w:ind w:left="142" w:right="176"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 Vydavatele: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Za Inzerenta:</w:t>
            </w:r>
          </w:p>
          <w:p w:rsidR="007E041F" w:rsidRDefault="007E041F">
            <w:pPr>
              <w:pBdr>
                <w:top w:val="nil"/>
                <w:left w:val="nil"/>
                <w:bottom w:val="nil"/>
                <w:right w:val="nil"/>
                <w:between w:val="nil"/>
              </w:pBdr>
              <w:tabs>
                <w:tab w:val="center" w:pos="885"/>
                <w:tab w:val="center" w:pos="4962"/>
              </w:tabs>
              <w:rPr>
                <w:rFonts w:ascii="Times New Roman" w:eastAsia="Times New Roman" w:hAnsi="Times New Roman" w:cs="Times New Roman"/>
                <w:color w:val="000000"/>
                <w:sz w:val="24"/>
                <w:szCs w:val="24"/>
              </w:rPr>
            </w:pPr>
            <w:bookmarkStart w:id="7" w:name="_1t3h5sf" w:colFirst="0" w:colLast="0"/>
            <w:bookmarkEnd w:id="7"/>
          </w:p>
          <w:p w:rsidR="007E041F" w:rsidRDefault="007E041F">
            <w:pPr>
              <w:pBdr>
                <w:top w:val="nil"/>
                <w:left w:val="nil"/>
                <w:bottom w:val="nil"/>
                <w:right w:val="nil"/>
                <w:between w:val="nil"/>
              </w:pBdr>
              <w:tabs>
                <w:tab w:val="center" w:pos="885"/>
                <w:tab w:val="center" w:pos="4962"/>
              </w:tabs>
              <w:rPr>
                <w:rFonts w:ascii="Times New Roman" w:eastAsia="Times New Roman" w:hAnsi="Times New Roman" w:cs="Times New Roman"/>
                <w:color w:val="000000"/>
                <w:sz w:val="24"/>
                <w:szCs w:val="24"/>
              </w:rPr>
            </w:pPr>
          </w:p>
          <w:p w:rsidR="007E041F" w:rsidRDefault="00867894">
            <w:pPr>
              <w:pBdr>
                <w:top w:val="nil"/>
                <w:left w:val="nil"/>
                <w:bottom w:val="nil"/>
                <w:right w:val="nil"/>
                <w:between w:val="nil"/>
              </w:pBdr>
              <w:tabs>
                <w:tab w:val="center" w:pos="885"/>
                <w:tab w:val="center" w:pos="496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_________________________</w:t>
            </w:r>
          </w:p>
          <w:p w:rsidR="007E041F" w:rsidRDefault="00867894">
            <w:pPr>
              <w:widowControl w:val="0"/>
              <w:pBdr>
                <w:top w:val="nil"/>
                <w:left w:val="nil"/>
                <w:bottom w:val="nil"/>
                <w:right w:val="nil"/>
                <w:between w:val="nil"/>
              </w:pBdr>
              <w:ind w:left="142" w:right="176"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Jméno: Mgr. Jan Kvaček</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Jméno:  </w:t>
            </w:r>
            <w:proofErr w:type="spellStart"/>
            <w:r w:rsidR="00240481">
              <w:rPr>
                <w:rFonts w:ascii="Times New Roman" w:eastAsia="Times New Roman" w:hAnsi="Times New Roman" w:cs="Times New Roman"/>
                <w:color w:val="000000"/>
                <w:sz w:val="24"/>
                <w:szCs w:val="24"/>
              </w:rPr>
              <w:t>xxx</w:t>
            </w:r>
            <w:proofErr w:type="spellEnd"/>
            <w:r w:rsidR="00240481">
              <w:rPr>
                <w:rFonts w:ascii="Times New Roman" w:eastAsia="Times New Roman" w:hAnsi="Times New Roman" w:cs="Times New Roman"/>
                <w:color w:val="000000"/>
                <w:sz w:val="24"/>
                <w:szCs w:val="24"/>
              </w:rPr>
              <w:t xml:space="preserve"> </w:t>
            </w:r>
            <w:proofErr w:type="spellStart"/>
            <w:r w:rsidR="00240481">
              <w:rPr>
                <w:rFonts w:ascii="Times New Roman" w:eastAsia="Times New Roman" w:hAnsi="Times New Roman" w:cs="Times New Roman"/>
                <w:color w:val="000000"/>
                <w:sz w:val="24"/>
                <w:szCs w:val="24"/>
              </w:rPr>
              <w:t>xxx</w:t>
            </w:r>
            <w:proofErr w:type="spellEnd"/>
            <w:r w:rsidR="00240481">
              <w:rPr>
                <w:rFonts w:ascii="Times New Roman" w:eastAsia="Times New Roman" w:hAnsi="Times New Roman" w:cs="Times New Roman"/>
                <w:color w:val="000000"/>
                <w:sz w:val="24"/>
                <w:szCs w:val="24"/>
              </w:rPr>
              <w:t xml:space="preserve"> </w:t>
            </w:r>
            <w:proofErr w:type="spellStart"/>
            <w:r w:rsidR="00240481">
              <w:rPr>
                <w:rFonts w:ascii="Times New Roman" w:eastAsia="Times New Roman" w:hAnsi="Times New Roman" w:cs="Times New Roman"/>
                <w:color w:val="000000"/>
                <w:sz w:val="24"/>
                <w:szCs w:val="24"/>
              </w:rPr>
              <w:t>xxx</w:t>
            </w:r>
            <w:proofErr w:type="spellEnd"/>
            <w:r w:rsidR="00240481">
              <w:rPr>
                <w:rFonts w:ascii="Times New Roman" w:eastAsia="Times New Roman" w:hAnsi="Times New Roman" w:cs="Times New Roman"/>
                <w:color w:val="000000"/>
                <w:sz w:val="24"/>
                <w:szCs w:val="24"/>
              </w:rPr>
              <w:t xml:space="preserve"> </w:t>
            </w:r>
            <w:proofErr w:type="spellStart"/>
            <w:r w:rsidR="00240481">
              <w:rPr>
                <w:rFonts w:ascii="Times New Roman" w:eastAsia="Times New Roman" w:hAnsi="Times New Roman" w:cs="Times New Roman"/>
                <w:color w:val="000000"/>
                <w:sz w:val="24"/>
                <w:szCs w:val="24"/>
              </w:rPr>
              <w:t>xxx</w:t>
            </w:r>
            <w:proofErr w:type="spellEnd"/>
            <w:r w:rsidR="00240481">
              <w:rPr>
                <w:rFonts w:ascii="Times New Roman" w:eastAsia="Times New Roman" w:hAnsi="Times New Roman" w:cs="Times New Roman"/>
                <w:color w:val="000000"/>
                <w:sz w:val="24"/>
                <w:szCs w:val="24"/>
              </w:rPr>
              <w:t xml:space="preserve"> </w:t>
            </w:r>
            <w:proofErr w:type="spellStart"/>
            <w:r w:rsidR="00240481">
              <w:rPr>
                <w:rFonts w:ascii="Times New Roman" w:eastAsia="Times New Roman" w:hAnsi="Times New Roman" w:cs="Times New Roman"/>
                <w:color w:val="000000"/>
                <w:sz w:val="24"/>
                <w:szCs w:val="24"/>
              </w:rPr>
              <w:t>xxx</w:t>
            </w:r>
            <w:proofErr w:type="spellEnd"/>
          </w:p>
          <w:p w:rsidR="007E041F" w:rsidRDefault="00867894">
            <w:pPr>
              <w:widowControl w:val="0"/>
              <w:pBdr>
                <w:top w:val="nil"/>
                <w:left w:val="nil"/>
                <w:bottom w:val="nil"/>
                <w:right w:val="nil"/>
                <w:between w:val="nil"/>
              </w:pBdr>
              <w:ind w:left="142" w:right="176"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Funkce: ředitel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Funkce: Finanční ředitelka, plná moc</w:t>
            </w:r>
          </w:p>
        </w:tc>
      </w:tr>
    </w:tbl>
    <w:p w:rsidR="007E041F" w:rsidRDefault="007E041F">
      <w:pPr>
        <w:jc w:val="center"/>
        <w:rPr>
          <w:rFonts w:ascii="Times New Roman" w:eastAsia="Times New Roman" w:hAnsi="Times New Roman" w:cs="Times New Roman"/>
          <w:b/>
          <w:sz w:val="24"/>
          <w:szCs w:val="24"/>
        </w:rPr>
      </w:pPr>
    </w:p>
    <w:p w:rsidR="007E041F" w:rsidRDefault="007E041F">
      <w:pPr>
        <w:rPr>
          <w:rFonts w:ascii="Times New Roman" w:eastAsia="Times New Roman" w:hAnsi="Times New Roman" w:cs="Times New Roman"/>
          <w:b/>
          <w:sz w:val="24"/>
          <w:szCs w:val="24"/>
        </w:rPr>
      </w:pPr>
    </w:p>
    <w:p w:rsidR="007E041F" w:rsidRDefault="00867894">
      <w:pPr>
        <w:rPr>
          <w:rFonts w:ascii="Times New Roman" w:eastAsia="Times New Roman" w:hAnsi="Times New Roman" w:cs="Times New Roman"/>
          <w:i/>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Příloha č. 1 Obchodní podmínky AbbVie</w:t>
      </w:r>
    </w:p>
    <w:p w:rsidR="007E041F" w:rsidRDefault="0086789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Příloha </w:t>
      </w:r>
      <w:proofErr w:type="gramStart"/>
      <w:r>
        <w:rPr>
          <w:rFonts w:ascii="Times New Roman" w:eastAsia="Times New Roman" w:hAnsi="Times New Roman" w:cs="Times New Roman"/>
          <w:i/>
          <w:sz w:val="24"/>
          <w:szCs w:val="24"/>
        </w:rPr>
        <w:t>č. 2 Návrh</w:t>
      </w:r>
      <w:proofErr w:type="gramEnd"/>
      <w:r>
        <w:rPr>
          <w:rFonts w:ascii="Times New Roman" w:eastAsia="Times New Roman" w:hAnsi="Times New Roman" w:cs="Times New Roman"/>
          <w:i/>
          <w:sz w:val="24"/>
          <w:szCs w:val="24"/>
        </w:rPr>
        <w:t xml:space="preserve"> Inzerce a její specifikace</w:t>
      </w:r>
    </w:p>
    <w:p w:rsidR="007E041F" w:rsidRDefault="0086789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Příloha </w:t>
      </w:r>
      <w:proofErr w:type="gramStart"/>
      <w:r>
        <w:rPr>
          <w:rFonts w:ascii="Times New Roman" w:eastAsia="Times New Roman" w:hAnsi="Times New Roman" w:cs="Times New Roman"/>
          <w:i/>
          <w:sz w:val="24"/>
          <w:szCs w:val="24"/>
        </w:rPr>
        <w:t>č. 3 Plná</w:t>
      </w:r>
      <w:proofErr w:type="gramEnd"/>
      <w:r>
        <w:rPr>
          <w:rFonts w:ascii="Times New Roman" w:eastAsia="Times New Roman" w:hAnsi="Times New Roman" w:cs="Times New Roman"/>
          <w:i/>
          <w:sz w:val="24"/>
          <w:szCs w:val="24"/>
        </w:rPr>
        <w:t xml:space="preserve"> moc </w:t>
      </w:r>
      <w:proofErr w:type="spellStart"/>
      <w:r w:rsidR="00240481">
        <w:rPr>
          <w:rFonts w:ascii="Times New Roman" w:eastAsia="Times New Roman" w:hAnsi="Times New Roman" w:cs="Times New Roman"/>
          <w:i/>
          <w:sz w:val="24"/>
          <w:szCs w:val="24"/>
        </w:rPr>
        <w:t>xxx</w:t>
      </w:r>
      <w:proofErr w:type="spellEnd"/>
      <w:r w:rsidR="00240481">
        <w:rPr>
          <w:rFonts w:ascii="Times New Roman" w:eastAsia="Times New Roman" w:hAnsi="Times New Roman" w:cs="Times New Roman"/>
          <w:i/>
          <w:sz w:val="24"/>
          <w:szCs w:val="24"/>
        </w:rPr>
        <w:t xml:space="preserve"> </w:t>
      </w:r>
      <w:proofErr w:type="spellStart"/>
      <w:r w:rsidR="00240481">
        <w:rPr>
          <w:rFonts w:ascii="Times New Roman" w:eastAsia="Times New Roman" w:hAnsi="Times New Roman" w:cs="Times New Roman"/>
          <w:i/>
          <w:sz w:val="24"/>
          <w:szCs w:val="24"/>
        </w:rPr>
        <w:t>xxx</w:t>
      </w:r>
      <w:proofErr w:type="spellEnd"/>
      <w:r w:rsidR="00240481">
        <w:rPr>
          <w:rFonts w:ascii="Times New Roman" w:eastAsia="Times New Roman" w:hAnsi="Times New Roman" w:cs="Times New Roman"/>
          <w:i/>
          <w:sz w:val="24"/>
          <w:szCs w:val="24"/>
        </w:rPr>
        <w:t xml:space="preserve"> </w:t>
      </w:r>
      <w:proofErr w:type="spellStart"/>
      <w:r w:rsidR="00240481">
        <w:rPr>
          <w:rFonts w:ascii="Times New Roman" w:eastAsia="Times New Roman" w:hAnsi="Times New Roman" w:cs="Times New Roman"/>
          <w:i/>
          <w:sz w:val="24"/>
          <w:szCs w:val="24"/>
        </w:rPr>
        <w:t>xxx</w:t>
      </w:r>
      <w:proofErr w:type="spellEnd"/>
      <w:r w:rsidR="00240481">
        <w:rPr>
          <w:rFonts w:ascii="Times New Roman" w:eastAsia="Times New Roman" w:hAnsi="Times New Roman" w:cs="Times New Roman"/>
          <w:i/>
          <w:sz w:val="24"/>
          <w:szCs w:val="24"/>
        </w:rPr>
        <w:t xml:space="preserve"> </w:t>
      </w:r>
      <w:proofErr w:type="spellStart"/>
      <w:r w:rsidR="00240481">
        <w:rPr>
          <w:rFonts w:ascii="Times New Roman" w:eastAsia="Times New Roman" w:hAnsi="Times New Roman" w:cs="Times New Roman"/>
          <w:i/>
          <w:sz w:val="24"/>
          <w:szCs w:val="24"/>
        </w:rPr>
        <w:t>xxx</w:t>
      </w:r>
      <w:proofErr w:type="spellEnd"/>
      <w:r w:rsidR="00240481">
        <w:rPr>
          <w:rFonts w:ascii="Times New Roman" w:eastAsia="Times New Roman" w:hAnsi="Times New Roman" w:cs="Times New Roman"/>
          <w:i/>
          <w:sz w:val="24"/>
          <w:szCs w:val="24"/>
        </w:rPr>
        <w:t xml:space="preserve"> </w:t>
      </w:r>
      <w:proofErr w:type="spellStart"/>
      <w:r w:rsidR="00240481">
        <w:rPr>
          <w:rFonts w:ascii="Times New Roman" w:eastAsia="Times New Roman" w:hAnsi="Times New Roman" w:cs="Times New Roman"/>
          <w:i/>
          <w:sz w:val="24"/>
          <w:szCs w:val="24"/>
        </w:rPr>
        <w:t>xxx</w:t>
      </w:r>
      <w:proofErr w:type="spellEnd"/>
    </w:p>
    <w:p w:rsidR="007E041F" w:rsidRDefault="007E041F">
      <w:pPr>
        <w:rPr>
          <w:rFonts w:ascii="Times New Roman" w:eastAsia="Times New Roman" w:hAnsi="Times New Roman" w:cs="Times New Roman"/>
          <w:i/>
          <w:sz w:val="24"/>
          <w:szCs w:val="24"/>
        </w:rPr>
      </w:pPr>
    </w:p>
    <w:p w:rsidR="007E041F" w:rsidRDefault="007E041F">
      <w:pPr>
        <w:rPr>
          <w:rFonts w:ascii="Times New Roman" w:eastAsia="Times New Roman" w:hAnsi="Times New Roman" w:cs="Times New Roman"/>
          <w:sz w:val="24"/>
          <w:szCs w:val="24"/>
        </w:rPr>
      </w:pPr>
    </w:p>
    <w:p w:rsidR="004312EA" w:rsidRDefault="004312EA">
      <w:pPr>
        <w:rPr>
          <w:noProof/>
        </w:rPr>
      </w:pPr>
      <w:bookmarkStart w:id="8" w:name="_2s8eyo1" w:colFirst="0" w:colLast="0"/>
      <w:bookmarkEnd w:id="8"/>
    </w:p>
    <w:p w:rsidR="004312EA" w:rsidRDefault="004312EA">
      <w:pPr>
        <w:rPr>
          <w:noProof/>
        </w:rPr>
      </w:pPr>
    </w:p>
    <w:p w:rsidR="004312EA" w:rsidRDefault="004312EA">
      <w:pPr>
        <w:rPr>
          <w:noProof/>
        </w:rPr>
      </w:pPr>
    </w:p>
    <w:p w:rsidR="004312EA" w:rsidRDefault="004312EA">
      <w:pPr>
        <w:rPr>
          <w:noProof/>
        </w:rPr>
      </w:pPr>
    </w:p>
    <w:p w:rsidR="004312EA" w:rsidRDefault="004312EA">
      <w:pPr>
        <w:rPr>
          <w:noProof/>
        </w:rPr>
      </w:pPr>
    </w:p>
    <w:p w:rsidR="004312EA" w:rsidRDefault="004312EA" w:rsidP="004312EA">
      <w:pPr>
        <w:spacing w:before="100" w:after="120"/>
        <w:jc w:val="center"/>
        <w:rPr>
          <w:rFonts w:ascii="Times New Roman" w:eastAsia="Times New Roman" w:hAnsi="Times New Roman" w:cs="Times New Roman"/>
          <w:b/>
          <w:sz w:val="24"/>
          <w:szCs w:val="24"/>
        </w:rPr>
      </w:pPr>
      <w:r>
        <w:rPr>
          <w:noProof/>
        </w:rPr>
        <w:t>Příloha č. 1</w:t>
      </w:r>
      <w:r w:rsidRPr="004312E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Obchodní podmínky společnosti AbbVie s.r.o.</w:t>
      </w:r>
    </w:p>
    <w:p w:rsidR="004312EA" w:rsidRDefault="004312EA" w:rsidP="004312EA">
      <w:pPr>
        <w:spacing w:before="160" w:after="120"/>
        <w:ind w:left="284"/>
        <w:jc w:val="right"/>
        <w:rPr>
          <w:rFonts w:ascii="Times New Roman" w:eastAsia="Times New Roman" w:hAnsi="Times New Roman" w:cs="Times New Roman"/>
          <w:i/>
          <w:sz w:val="24"/>
          <w:szCs w:val="24"/>
        </w:rPr>
      </w:pPr>
      <w:bookmarkStart w:id="9" w:name="_gjdgxs" w:colFirst="0" w:colLast="0"/>
      <w:bookmarkEnd w:id="9"/>
      <w:r>
        <w:rPr>
          <w:rFonts w:ascii="Times New Roman" w:eastAsia="Times New Roman" w:hAnsi="Times New Roman" w:cs="Times New Roman"/>
          <w:i/>
          <w:sz w:val="24"/>
          <w:szCs w:val="24"/>
        </w:rPr>
        <w:t>datum poslední revize: 1. srpna 2018</w:t>
      </w:r>
    </w:p>
    <w:p w:rsidR="004312EA" w:rsidRDefault="004312EA" w:rsidP="004312EA">
      <w:pPr>
        <w:numPr>
          <w:ilvl w:val="0"/>
          <w:numId w:val="2"/>
        </w:numPr>
        <w:pBdr>
          <w:top w:val="nil"/>
          <w:left w:val="nil"/>
          <w:bottom w:val="nil"/>
          <w:right w:val="nil"/>
          <w:between w:val="nil"/>
        </w:pBdr>
        <w:spacing w:before="160" w:after="120"/>
        <w:jc w:val="both"/>
      </w:pPr>
      <w:r>
        <w:rPr>
          <w:rFonts w:ascii="Times New Roman" w:eastAsia="Times New Roman" w:hAnsi="Times New Roman" w:cs="Times New Roman"/>
          <w:i/>
          <w:color w:val="000000"/>
          <w:sz w:val="24"/>
          <w:szCs w:val="24"/>
        </w:rPr>
        <w:t>Definice</w:t>
      </w:r>
    </w:p>
    <w:p w:rsidR="004312EA" w:rsidRDefault="004312EA" w:rsidP="004312EA">
      <w:pPr>
        <w:spacing w:before="160" w:after="12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AbbVie</w:t>
      </w:r>
      <w:r>
        <w:rPr>
          <w:rFonts w:ascii="Times New Roman" w:eastAsia="Times New Roman" w:hAnsi="Times New Roman" w:cs="Times New Roman"/>
          <w:sz w:val="24"/>
          <w:szCs w:val="24"/>
        </w:rPr>
        <w:t xml:space="preserve">“ označuje společnost AbbVie s.r.o., se sídlem Metronom Business Center, Bucharova 2817/13, Stodůlky, 158 00 Praha 5, Česká republika, IČO: 241 48 725, zapsanou v obchodním rejstříku vedeném Městským soudem v Praze,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zn. C 183123.</w:t>
      </w:r>
    </w:p>
    <w:p w:rsidR="004312EA" w:rsidRDefault="004312EA" w:rsidP="004312EA">
      <w:pPr>
        <w:spacing w:before="160" w:after="12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Smlouva</w:t>
      </w:r>
      <w:r>
        <w:rPr>
          <w:rFonts w:ascii="Times New Roman" w:eastAsia="Times New Roman" w:hAnsi="Times New Roman" w:cs="Times New Roman"/>
          <w:sz w:val="24"/>
          <w:szCs w:val="24"/>
        </w:rPr>
        <w:t xml:space="preserve">“ pro účely těchto Obchodních podmínek označuje smlouvu uzavřenou mezi AbbVie a Dodavatelem nebo objednávku vystavenou AbbVie na dodání zboží, poskytnutí služeb nebo jiném plnění. Specifikace, Objednávka a Obchodní podmínky představují společně úplné podmínky smluvního vztahu mezi Dodavatelem a AbbVie. </w:t>
      </w:r>
    </w:p>
    <w:p w:rsidR="004312EA" w:rsidRDefault="004312EA" w:rsidP="004312EA">
      <w:pPr>
        <w:spacing w:before="160" w:after="12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Specifikace</w:t>
      </w:r>
      <w:r>
        <w:rPr>
          <w:rFonts w:ascii="Times New Roman" w:eastAsia="Times New Roman" w:hAnsi="Times New Roman" w:cs="Times New Roman"/>
          <w:sz w:val="24"/>
          <w:szCs w:val="24"/>
        </w:rPr>
        <w:t>“ označuje jakoukoliv písemnou nebo ústní instrukci komunikovanou Dodavateli před dodáním zboží nebo poskytnutím služeb dle Smlouvy, která specifikuje množství, typ, standardy nebo jiné kvantitativní či kvalitativní požadavky na zboží nebo služby.</w:t>
      </w:r>
    </w:p>
    <w:p w:rsidR="004312EA" w:rsidRDefault="004312EA" w:rsidP="004312EA">
      <w:pPr>
        <w:spacing w:before="160" w:after="12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Dodavatel</w:t>
      </w:r>
      <w:r>
        <w:rPr>
          <w:rFonts w:ascii="Times New Roman" w:eastAsia="Times New Roman" w:hAnsi="Times New Roman" w:cs="Times New Roman"/>
          <w:sz w:val="24"/>
          <w:szCs w:val="24"/>
        </w:rPr>
        <w:t>“ označuje subjekt, který je smluvní stranou Smlouvy uzavřenou mezi ním a AbbVie.</w:t>
      </w:r>
    </w:p>
    <w:p w:rsidR="004312EA" w:rsidRDefault="004312EA" w:rsidP="004312EA">
      <w:pPr>
        <w:spacing w:before="160" w:after="12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Občanský zákoník</w:t>
      </w:r>
      <w:r>
        <w:rPr>
          <w:rFonts w:ascii="Times New Roman" w:eastAsia="Times New Roman" w:hAnsi="Times New Roman" w:cs="Times New Roman"/>
          <w:sz w:val="24"/>
          <w:szCs w:val="24"/>
        </w:rPr>
        <w:t xml:space="preserve">“ označuje zákon č. 89/2012 </w:t>
      </w:r>
      <w:proofErr w:type="gramStart"/>
      <w:r>
        <w:rPr>
          <w:rFonts w:ascii="Times New Roman" w:eastAsia="Times New Roman" w:hAnsi="Times New Roman" w:cs="Times New Roman"/>
          <w:sz w:val="24"/>
          <w:szCs w:val="24"/>
        </w:rPr>
        <w:t>Sb.,občanský</w:t>
      </w:r>
      <w:proofErr w:type="gramEnd"/>
      <w:r>
        <w:rPr>
          <w:rFonts w:ascii="Times New Roman" w:eastAsia="Times New Roman" w:hAnsi="Times New Roman" w:cs="Times New Roman"/>
          <w:sz w:val="24"/>
          <w:szCs w:val="24"/>
        </w:rPr>
        <w:t xml:space="preserve"> zákoník, v platném znění. </w:t>
      </w:r>
    </w:p>
    <w:p w:rsidR="004312EA" w:rsidRDefault="004312EA" w:rsidP="004312EA">
      <w:pPr>
        <w:spacing w:before="160" w:after="12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Obchodní podmínky</w:t>
      </w:r>
      <w:r>
        <w:rPr>
          <w:rFonts w:ascii="Times New Roman" w:eastAsia="Times New Roman" w:hAnsi="Times New Roman" w:cs="Times New Roman"/>
          <w:sz w:val="24"/>
          <w:szCs w:val="24"/>
        </w:rPr>
        <w:t>“ označují tyto Obchodní podmínky, které upravují záležitosti, které nejsou ve Smlouvě sjednány. Podmínky ve Smlouvě, které jsou v rozporu s Obchodními podmínkami, mají vždy přednost.</w:t>
      </w:r>
    </w:p>
    <w:p w:rsidR="004312EA" w:rsidRDefault="004312EA" w:rsidP="004312EA">
      <w:pPr>
        <w:spacing w:before="160" w:after="12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Strany</w:t>
      </w:r>
      <w:r>
        <w:rPr>
          <w:rFonts w:ascii="Times New Roman" w:eastAsia="Times New Roman" w:hAnsi="Times New Roman" w:cs="Times New Roman"/>
          <w:sz w:val="24"/>
          <w:szCs w:val="24"/>
        </w:rPr>
        <w:t>“ označuje AbbVie a Dodavatele.</w:t>
      </w:r>
    </w:p>
    <w:p w:rsidR="004312EA" w:rsidRDefault="004312EA" w:rsidP="004312EA">
      <w:pPr>
        <w:numPr>
          <w:ilvl w:val="0"/>
          <w:numId w:val="2"/>
        </w:numPr>
        <w:pBdr>
          <w:top w:val="nil"/>
          <w:left w:val="nil"/>
          <w:bottom w:val="nil"/>
          <w:right w:val="nil"/>
          <w:between w:val="nil"/>
        </w:pBdr>
        <w:spacing w:before="160" w:after="120"/>
        <w:jc w:val="both"/>
      </w:pPr>
      <w:r>
        <w:rPr>
          <w:rFonts w:ascii="Times New Roman" w:eastAsia="Times New Roman" w:hAnsi="Times New Roman" w:cs="Times New Roman"/>
          <w:i/>
          <w:color w:val="000000"/>
          <w:sz w:val="24"/>
          <w:szCs w:val="24"/>
        </w:rPr>
        <w:t>Uzavření smlouvy</w:t>
      </w:r>
    </w:p>
    <w:p w:rsidR="004312EA" w:rsidRDefault="004312EA" w:rsidP="004312EA">
      <w:pPr>
        <w:numPr>
          <w:ilvl w:val="1"/>
          <w:numId w:val="2"/>
        </w:numPr>
        <w:pBdr>
          <w:top w:val="nil"/>
          <w:left w:val="nil"/>
          <w:bottom w:val="nil"/>
          <w:right w:val="nil"/>
          <w:between w:val="nil"/>
        </w:pBdr>
        <w:spacing w:before="160" w:after="120"/>
        <w:jc w:val="both"/>
      </w:pPr>
      <w:r>
        <w:rPr>
          <w:rFonts w:ascii="Times New Roman" w:eastAsia="Times New Roman" w:hAnsi="Times New Roman" w:cs="Times New Roman"/>
          <w:color w:val="000000"/>
          <w:sz w:val="24"/>
          <w:szCs w:val="24"/>
        </w:rPr>
        <w:t xml:space="preserve">Písemné potvrzení o přistoupení ke Smlouvě, podpis Smlouvy nebo dodání zboží či poskytnutí služeb dle Smlouvy znamená přijetí všech ustanovení Obchodních podmínek a podmínek uvedených ve Smlouvě, případně Specifikaci. Pokud jakékoliv ustanovení ve Smlouvě, kterou zatím Dodavatel </w:t>
      </w:r>
      <w:proofErr w:type="gramStart"/>
      <w:r>
        <w:rPr>
          <w:rFonts w:ascii="Times New Roman" w:eastAsia="Times New Roman" w:hAnsi="Times New Roman" w:cs="Times New Roman"/>
          <w:color w:val="000000"/>
          <w:sz w:val="24"/>
          <w:szCs w:val="24"/>
        </w:rPr>
        <w:t>neuzavřel není</w:t>
      </w:r>
      <w:proofErr w:type="gramEnd"/>
      <w:r>
        <w:rPr>
          <w:rFonts w:ascii="Times New Roman" w:eastAsia="Times New Roman" w:hAnsi="Times New Roman" w:cs="Times New Roman"/>
          <w:color w:val="000000"/>
          <w:sz w:val="24"/>
          <w:szCs w:val="24"/>
        </w:rPr>
        <w:t xml:space="preserve"> pro Dodavatele akceptovatelné, je Dodavatel povinen písemně informovat AbbVie a zdržet se dodání zboží</w:t>
      </w:r>
      <w:r w:rsidR="00234FC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nebo poskytnutí služeb do vyjasnění s AbbVie. V žádném případě nebude potvrzení Smlouvy obsahující odchylky od podmínek Smlouvy, Specifikace nebo Obchodních podmínek považováno za uzavření smlouvy; v takovém případě nebude Smlouva uzavřena a potvrzení bude považováno za nový návrh, k němuž se AbbVie vyjádří bez zbytečného odkladu.</w:t>
      </w:r>
    </w:p>
    <w:p w:rsidR="004312EA" w:rsidRDefault="004312EA" w:rsidP="004312EA">
      <w:pPr>
        <w:numPr>
          <w:ilvl w:val="1"/>
          <w:numId w:val="2"/>
        </w:numPr>
        <w:pBdr>
          <w:top w:val="nil"/>
          <w:left w:val="nil"/>
          <w:bottom w:val="nil"/>
          <w:right w:val="nil"/>
          <w:between w:val="nil"/>
        </w:pBdr>
        <w:spacing w:before="160" w:after="120"/>
        <w:jc w:val="both"/>
      </w:pPr>
      <w:r>
        <w:rPr>
          <w:rFonts w:ascii="Times New Roman" w:eastAsia="Times New Roman" w:hAnsi="Times New Roman" w:cs="Times New Roman"/>
          <w:color w:val="000000"/>
          <w:sz w:val="24"/>
          <w:szCs w:val="24"/>
        </w:rPr>
        <w:t>Jednání zahrnující diskuzi nabídky na dodání zboží nebo poskytnutí služeb</w:t>
      </w:r>
      <w:r w:rsidR="001407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 případný zápis z něj či jeho záznam nejsou jakýmkoliv závazným jednáním společnosti AbbVie a nevzniká z nich žádná povinnost vztahující se k uzavření jakékoliv smlouvy v budoucnu. Kromě Smluv vystavených společností AbbVie nebudou žádné reklamní materiály, nabídky, propagační akce, rozpočty, cenové odhady, poskytnutí či vystavení vzorku či výzvy Dodavatele k objednávkám považovány za návrh na uzavření Smlouvy.</w:t>
      </w:r>
    </w:p>
    <w:p w:rsidR="004312EA" w:rsidRDefault="004312EA" w:rsidP="004312EA">
      <w:pPr>
        <w:numPr>
          <w:ilvl w:val="0"/>
          <w:numId w:val="2"/>
        </w:numPr>
        <w:pBdr>
          <w:top w:val="nil"/>
          <w:left w:val="nil"/>
          <w:bottom w:val="nil"/>
          <w:right w:val="nil"/>
          <w:between w:val="nil"/>
        </w:pBdr>
        <w:spacing w:before="160" w:after="120"/>
        <w:jc w:val="both"/>
      </w:pPr>
      <w:r>
        <w:rPr>
          <w:rFonts w:ascii="Times New Roman" w:eastAsia="Times New Roman" w:hAnsi="Times New Roman" w:cs="Times New Roman"/>
          <w:i/>
          <w:color w:val="000000"/>
          <w:sz w:val="24"/>
          <w:szCs w:val="24"/>
        </w:rPr>
        <w:lastRenderedPageBreak/>
        <w:t>Smluvní ujednání</w:t>
      </w:r>
    </w:p>
    <w:p w:rsidR="004312EA" w:rsidRDefault="004312EA" w:rsidP="004312EA">
      <w:pPr>
        <w:numPr>
          <w:ilvl w:val="1"/>
          <w:numId w:val="2"/>
        </w:numPr>
        <w:pBdr>
          <w:top w:val="nil"/>
          <w:left w:val="nil"/>
          <w:bottom w:val="nil"/>
          <w:right w:val="nil"/>
          <w:between w:val="nil"/>
        </w:pBdr>
        <w:spacing w:before="160" w:after="120"/>
        <w:jc w:val="both"/>
      </w:pPr>
      <w:r>
        <w:rPr>
          <w:rFonts w:ascii="Times New Roman" w:eastAsia="Times New Roman" w:hAnsi="Times New Roman" w:cs="Times New Roman"/>
          <w:color w:val="000000"/>
          <w:sz w:val="24"/>
          <w:szCs w:val="24"/>
        </w:rPr>
        <w:t>Smlouva představuje smluvní ujednání mezi Dodavatelem a AbbVie. Smlouvu jsou za společnost AbbVie oprávněny uzavřít pouze oprávněné osoby, přičemž s jinými osobami, které vystupují za společnost AbbVie, není Dodavatel oprávněn Smlouvu uzavřít. Smlouva nemůže být změněna bez předchozího schválení oprávněnou osobou na straně AbbVie. Náhrada objednaného plnění substitučním plněním, změny plnění nebo částečné plnění nejsou povoleny, pokud jim nepředcházelo písemné schválení ze strany AbbVie.</w:t>
      </w:r>
    </w:p>
    <w:p w:rsidR="004312EA" w:rsidRDefault="004312EA" w:rsidP="004312EA">
      <w:pPr>
        <w:numPr>
          <w:ilvl w:val="0"/>
          <w:numId w:val="2"/>
        </w:numPr>
        <w:pBdr>
          <w:top w:val="nil"/>
          <w:left w:val="nil"/>
          <w:bottom w:val="nil"/>
          <w:right w:val="nil"/>
          <w:between w:val="nil"/>
        </w:pBdr>
        <w:spacing w:before="160" w:after="120"/>
        <w:jc w:val="both"/>
      </w:pPr>
      <w:r>
        <w:rPr>
          <w:rFonts w:ascii="Times New Roman" w:eastAsia="Times New Roman" w:hAnsi="Times New Roman" w:cs="Times New Roman"/>
          <w:i/>
          <w:color w:val="000000"/>
          <w:sz w:val="24"/>
          <w:szCs w:val="24"/>
        </w:rPr>
        <w:t>Záruky</w:t>
      </w:r>
    </w:p>
    <w:p w:rsidR="004312EA" w:rsidRDefault="004312EA" w:rsidP="004312EA">
      <w:pPr>
        <w:numPr>
          <w:ilvl w:val="1"/>
          <w:numId w:val="2"/>
        </w:numPr>
        <w:pBdr>
          <w:top w:val="nil"/>
          <w:left w:val="nil"/>
          <w:bottom w:val="nil"/>
          <w:right w:val="nil"/>
          <w:between w:val="nil"/>
        </w:pBdr>
        <w:spacing w:before="160" w:after="120"/>
        <w:jc w:val="both"/>
      </w:pPr>
      <w:r>
        <w:rPr>
          <w:rFonts w:ascii="Times New Roman" w:eastAsia="Times New Roman" w:hAnsi="Times New Roman" w:cs="Times New Roman"/>
          <w:color w:val="000000"/>
          <w:sz w:val="24"/>
          <w:szCs w:val="24"/>
        </w:rPr>
        <w:t xml:space="preserve">Dodavatel se zavazuje splnit podmínky plnění dle Smlouvy, Specifikace a Obchodních podmínek vždy v souladu se všemi platnými právními předpisy a běžnou obchodní praxí Stran.  Poskytování služeb musí probíhat s řádnou péčí a ve shodě se Specifikací AbbVie, Smlouvou a Obchodními podmínkami. Dodavatel se zavazuje před </w:t>
      </w:r>
      <w:r>
        <w:rPr>
          <w:rFonts w:ascii="Times New Roman" w:eastAsia="Times New Roman" w:hAnsi="Times New Roman" w:cs="Times New Roman"/>
          <w:sz w:val="24"/>
          <w:szCs w:val="24"/>
        </w:rPr>
        <w:t>poskytnutím služeb</w:t>
      </w:r>
      <w:r>
        <w:rPr>
          <w:rFonts w:ascii="Times New Roman" w:eastAsia="Times New Roman" w:hAnsi="Times New Roman" w:cs="Times New Roman"/>
          <w:color w:val="000000"/>
          <w:sz w:val="24"/>
          <w:szCs w:val="24"/>
        </w:rPr>
        <w:t xml:space="preserve"> a po dobu trvání zajistit veškeré licence, povolení, souhlasy a jiné náležitosti, které jsou nezbytné pro řádné poskytnutí služeb. </w:t>
      </w:r>
    </w:p>
    <w:p w:rsidR="004312EA" w:rsidRDefault="004312EA" w:rsidP="004312EA">
      <w:pPr>
        <w:numPr>
          <w:ilvl w:val="1"/>
          <w:numId w:val="2"/>
        </w:numPr>
        <w:pBdr>
          <w:top w:val="nil"/>
          <w:left w:val="nil"/>
          <w:bottom w:val="nil"/>
          <w:right w:val="nil"/>
          <w:between w:val="nil"/>
        </w:pBdr>
        <w:spacing w:before="160" w:after="120"/>
        <w:jc w:val="both"/>
      </w:pPr>
      <w:r>
        <w:rPr>
          <w:rFonts w:ascii="Times New Roman" w:eastAsia="Times New Roman" w:hAnsi="Times New Roman" w:cs="Times New Roman"/>
          <w:color w:val="000000"/>
          <w:sz w:val="24"/>
          <w:szCs w:val="24"/>
        </w:rPr>
        <w:t>Při plnění svých povinností ze Smlouvy jsou Strany povinny dodržovat všechny příslušné protikorupční zákony země, kde mají Strany hlavní sídlo podnikání a kde provoz</w:t>
      </w:r>
      <w:r w:rsidR="001407EC">
        <w:rPr>
          <w:rFonts w:ascii="Times New Roman" w:eastAsia="Times New Roman" w:hAnsi="Times New Roman" w:cs="Times New Roman"/>
          <w:color w:val="000000"/>
          <w:sz w:val="24"/>
          <w:szCs w:val="24"/>
        </w:rPr>
        <w:t>ují činnosti podle této Smlouvy</w:t>
      </w:r>
      <w:r>
        <w:rPr>
          <w:rFonts w:ascii="Times New Roman" w:eastAsia="Times New Roman" w:hAnsi="Times New Roman" w:cs="Times New Roman"/>
          <w:color w:val="000000"/>
          <w:sz w:val="24"/>
          <w:szCs w:val="24"/>
        </w:rPr>
        <w:t>. Strany jsou dále srozuměny a souhlasí s tím, že A</w:t>
      </w:r>
      <w:r>
        <w:rPr>
          <w:rFonts w:ascii="Times New Roman" w:eastAsia="Times New Roman" w:hAnsi="Times New Roman" w:cs="Times New Roman"/>
          <w:sz w:val="24"/>
          <w:szCs w:val="24"/>
        </w:rPr>
        <w:t xml:space="preserve">bbVie </w:t>
      </w:r>
      <w:r>
        <w:rPr>
          <w:rFonts w:ascii="Times New Roman" w:eastAsia="Times New Roman" w:hAnsi="Times New Roman" w:cs="Times New Roman"/>
          <w:color w:val="000000"/>
          <w:sz w:val="24"/>
          <w:szCs w:val="24"/>
        </w:rPr>
        <w:t>bud</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dodržovat ustanovení zákona Spojených států amerických o zahraničních korupčních praktikách (FCPA), v platném znění, který obecně zakazuje příslib, platbu nebo darování čehokoliv cenného, ať už přímo či nepřímo, jakémukoli státnímu úředníkovi nebo zaměstnanci s cílem získat nebo udržet si zakázky nebo jakoukoli neoprávněnou výhodu. Pro účely tohoto článku znamená „státní úředník“ jakéhokoli úředníka, vedoucího pracovníka, zástupce nebo zaměstnance, včetně jakéhokoli lékaře zaměstnaného jakýmkoli ministerstvem, státní organizační složkou nebo jinou veřejnou institucí mimo Spojené státy americké (včetně jakékoliv státem vlastněné nebo ovládané obchodní společnosti) nebo jakéhokoli úředníka nebo zaměstnance veřejné mezinárodní organizace nebo politické strany nebo kandidáta na politickou funkci.</w:t>
      </w:r>
    </w:p>
    <w:p w:rsidR="004312EA" w:rsidRDefault="004312EA" w:rsidP="004312EA">
      <w:pPr>
        <w:numPr>
          <w:ilvl w:val="1"/>
          <w:numId w:val="2"/>
        </w:numPr>
        <w:pBdr>
          <w:top w:val="nil"/>
          <w:left w:val="nil"/>
          <w:bottom w:val="nil"/>
          <w:right w:val="nil"/>
          <w:between w:val="nil"/>
        </w:pBdr>
        <w:spacing w:before="160" w:after="120"/>
        <w:jc w:val="both"/>
      </w:pPr>
      <w:r>
        <w:rPr>
          <w:rFonts w:ascii="Times New Roman" w:eastAsia="Times New Roman" w:hAnsi="Times New Roman" w:cs="Times New Roman"/>
          <w:color w:val="000000"/>
          <w:sz w:val="24"/>
          <w:szCs w:val="24"/>
        </w:rPr>
        <w:t>Strany dále prohlašují, že oni ani žádný z jejich členů, vlastníků, zaměstnanců, zástupců a konzultantů nezaplatí, nevěnuje ani neslíbil zaplatit nebo darovat cokoliv cenného jakémukoliv státnímu úředníkovi s cílem (i) ovlivnit jakýkoliv úkon nebo rozhodnutí tohoto státního úředníka v jeho úřední funkci, (</w:t>
      </w:r>
      <w:proofErr w:type="spellStart"/>
      <w:r>
        <w:rPr>
          <w:rFonts w:ascii="Times New Roman" w:eastAsia="Times New Roman" w:hAnsi="Times New Roman" w:cs="Times New Roman"/>
          <w:color w:val="000000"/>
          <w:sz w:val="24"/>
          <w:szCs w:val="24"/>
        </w:rPr>
        <w:t>ii</w:t>
      </w:r>
      <w:proofErr w:type="spellEnd"/>
      <w:r>
        <w:rPr>
          <w:rFonts w:ascii="Times New Roman" w:eastAsia="Times New Roman" w:hAnsi="Times New Roman" w:cs="Times New Roman"/>
          <w:color w:val="000000"/>
          <w:sz w:val="24"/>
          <w:szCs w:val="24"/>
        </w:rPr>
        <w:t>) nabádat takového státního úředníka k vykonání nebo nevykonání jakéhokoliv úkonu v rozporu se zákonnou povinností takového úředníka, (</w:t>
      </w:r>
      <w:proofErr w:type="spellStart"/>
      <w:r>
        <w:rPr>
          <w:rFonts w:ascii="Times New Roman" w:eastAsia="Times New Roman" w:hAnsi="Times New Roman" w:cs="Times New Roman"/>
          <w:color w:val="000000"/>
          <w:sz w:val="24"/>
          <w:szCs w:val="24"/>
        </w:rPr>
        <w:t>iii</w:t>
      </w:r>
      <w:proofErr w:type="spellEnd"/>
      <w:r>
        <w:rPr>
          <w:rFonts w:ascii="Times New Roman" w:eastAsia="Times New Roman" w:hAnsi="Times New Roman" w:cs="Times New Roman"/>
          <w:color w:val="000000"/>
          <w:sz w:val="24"/>
          <w:szCs w:val="24"/>
        </w:rPr>
        <w:t>) zajistit si jakoukoli neoprávněnou výhodu nebo (</w:t>
      </w:r>
      <w:proofErr w:type="spellStart"/>
      <w:r>
        <w:rPr>
          <w:rFonts w:ascii="Times New Roman" w:eastAsia="Times New Roman" w:hAnsi="Times New Roman" w:cs="Times New Roman"/>
          <w:color w:val="000000"/>
          <w:sz w:val="24"/>
          <w:szCs w:val="24"/>
        </w:rPr>
        <w:t>iv</w:t>
      </w:r>
      <w:proofErr w:type="spellEnd"/>
      <w:r>
        <w:rPr>
          <w:rFonts w:ascii="Times New Roman" w:eastAsia="Times New Roman" w:hAnsi="Times New Roman" w:cs="Times New Roman"/>
          <w:color w:val="000000"/>
          <w:sz w:val="24"/>
          <w:szCs w:val="24"/>
        </w:rPr>
        <w:t>) nabádat takového státního úředníka, aby využil svůj vliv na vládu nebo její zástupce a pozitivně nebo negativně ovlivnil jakýkoli úkon nebo rozhodnutí vlády nebo tohoto zástupce ve vztahu k jakýmkoli činnostem prováděným v souvislosti se Smlouvou.</w:t>
      </w:r>
    </w:p>
    <w:p w:rsidR="004312EA" w:rsidRDefault="004312EA" w:rsidP="004312EA">
      <w:pPr>
        <w:numPr>
          <w:ilvl w:val="1"/>
          <w:numId w:val="2"/>
        </w:numPr>
        <w:pBdr>
          <w:top w:val="nil"/>
          <w:left w:val="nil"/>
          <w:bottom w:val="nil"/>
          <w:right w:val="nil"/>
          <w:between w:val="nil"/>
        </w:pBdr>
        <w:spacing w:before="160" w:after="120"/>
        <w:jc w:val="both"/>
      </w:pPr>
      <w:r>
        <w:rPr>
          <w:rFonts w:ascii="Times New Roman" w:eastAsia="Times New Roman" w:hAnsi="Times New Roman" w:cs="Times New Roman"/>
          <w:color w:val="000000"/>
          <w:sz w:val="24"/>
          <w:szCs w:val="24"/>
        </w:rPr>
        <w:t xml:space="preserve">Strany prohlašují a souhlasí, že nikdo z nich, včetně jejich ředitelů, manažerů, zaměstnanců, zástupců nebo subdodavatelů, ať už přímo nebo nepřímo, nezaplatí a ani neslíbí a neschválí žádnou platbu peněz, neprodá ani neslíbí předat a ani neschválí předání jakékoliv majetkové hodnoty žádnému státnímu úředníkovi, zdravotnickému odborníkovi nebo osobě zúčastněné na </w:t>
      </w:r>
      <w:r>
        <w:rPr>
          <w:rFonts w:ascii="Times New Roman" w:eastAsia="Times New Roman" w:hAnsi="Times New Roman" w:cs="Times New Roman"/>
          <w:color w:val="000000"/>
          <w:sz w:val="24"/>
          <w:szCs w:val="24"/>
        </w:rPr>
        <w:lastRenderedPageBreak/>
        <w:t>organizaci poskytování zdravotní péče, aby získali nebo si udrželi obchod, nebo aby zajistili nekalou výhodu pro AbbVie. Strany tímto potvrzují, že nikdo z nich, včetně jejich ředitelů, vedoucích pracovníků, zaměstnanců, zástupců nebo subdodavatelů neprovedl před datem této Smlouvy žádnou platbu ani neposkytl žádný souhlas, schválení, slib nebo dar popsaný v tomto článku.</w:t>
      </w:r>
    </w:p>
    <w:p w:rsidR="004312EA" w:rsidRDefault="004312EA" w:rsidP="004312EA">
      <w:pPr>
        <w:numPr>
          <w:ilvl w:val="1"/>
          <w:numId w:val="2"/>
        </w:numPr>
        <w:pBdr>
          <w:top w:val="nil"/>
          <w:left w:val="nil"/>
          <w:bottom w:val="nil"/>
          <w:right w:val="nil"/>
          <w:between w:val="nil"/>
        </w:pBdr>
        <w:spacing w:before="160" w:after="120"/>
        <w:jc w:val="both"/>
      </w:pPr>
      <w:r>
        <w:rPr>
          <w:rFonts w:ascii="Times New Roman" w:eastAsia="Times New Roman" w:hAnsi="Times New Roman" w:cs="Times New Roman"/>
          <w:color w:val="222222"/>
          <w:sz w:val="24"/>
          <w:szCs w:val="24"/>
        </w:rPr>
        <w:t xml:space="preserve">Strany společně prohlašují a souhlasí, že ujednání podle Smlouvy nemají vliv a nejsou míněny jako motivace nebo odměna k ovlivňování konkrétní osoby za její minulou, současnou nebo budoucí ochotu předepsat, </w:t>
      </w:r>
      <w:r>
        <w:rPr>
          <w:rFonts w:ascii="Times New Roman" w:eastAsia="Times New Roman" w:hAnsi="Times New Roman" w:cs="Times New Roman"/>
          <w:color w:val="000000"/>
          <w:sz w:val="24"/>
          <w:szCs w:val="24"/>
        </w:rPr>
        <w:t>poskytnout</w:t>
      </w:r>
      <w:r>
        <w:rPr>
          <w:rFonts w:ascii="Times New Roman" w:eastAsia="Times New Roman" w:hAnsi="Times New Roman" w:cs="Times New Roman"/>
          <w:color w:val="222222"/>
          <w:sz w:val="24"/>
          <w:szCs w:val="24"/>
        </w:rPr>
        <w:t xml:space="preserve">, doporučit, koupit, platit, hradit, schvalovat, uznávat nebo dodávat jakýkoliv výrobek nebo službu, kterou prodává nebo poskytuje společnost AbbVie. Dodavatel bere na vědomí, že jakákoli podpora a/nebo platby poskytnuté společností AbbVie jsou nezávislé na </w:t>
      </w:r>
      <w:r>
        <w:rPr>
          <w:rFonts w:ascii="Times New Roman" w:eastAsia="Times New Roman" w:hAnsi="Times New Roman" w:cs="Times New Roman"/>
          <w:color w:val="000000"/>
          <w:sz w:val="24"/>
          <w:szCs w:val="24"/>
        </w:rPr>
        <w:t>jakýchkoli</w:t>
      </w:r>
      <w:r>
        <w:rPr>
          <w:rFonts w:ascii="Times New Roman" w:eastAsia="Times New Roman" w:hAnsi="Times New Roman" w:cs="Times New Roman"/>
          <w:color w:val="222222"/>
          <w:sz w:val="24"/>
          <w:szCs w:val="24"/>
        </w:rPr>
        <w:t xml:space="preserve"> rozhodnutích souvisejících s výběrem léčiv, které učiní zdravotničtí odborníci oslovení nebo ve smluvním vztahu s AbbVie nebo Dodavatelem.</w:t>
      </w:r>
    </w:p>
    <w:p w:rsidR="004312EA" w:rsidRDefault="004312EA" w:rsidP="004312EA">
      <w:pPr>
        <w:numPr>
          <w:ilvl w:val="1"/>
          <w:numId w:val="2"/>
        </w:numPr>
        <w:pBdr>
          <w:top w:val="nil"/>
          <w:left w:val="nil"/>
          <w:bottom w:val="nil"/>
          <w:right w:val="nil"/>
          <w:between w:val="nil"/>
        </w:pBdr>
        <w:spacing w:before="160" w:after="120"/>
        <w:jc w:val="both"/>
      </w:pPr>
      <w:r>
        <w:rPr>
          <w:rFonts w:ascii="Times New Roman" w:eastAsia="Times New Roman" w:hAnsi="Times New Roman" w:cs="Times New Roman"/>
          <w:color w:val="000000"/>
          <w:sz w:val="24"/>
          <w:szCs w:val="24"/>
        </w:rPr>
        <w:t>Dodavatel se zavazuje bezvýhradně dodržovat při poskytování služeb veškerá ustanovení v České republice platných právních předpisů týkajících se reklamy léčivých přípravků, zdravotnických prostředků a zdravotní péče včetně, avšak nejenom, zákon č. 40/1995 Sb., o regulaci reklamy, v platném znění (dále jen „</w:t>
      </w:r>
      <w:r>
        <w:rPr>
          <w:rFonts w:ascii="Times New Roman" w:eastAsia="Times New Roman" w:hAnsi="Times New Roman" w:cs="Times New Roman"/>
          <w:b/>
          <w:color w:val="000000"/>
          <w:sz w:val="24"/>
          <w:szCs w:val="24"/>
        </w:rPr>
        <w:t>zákon o reklamě</w:t>
      </w:r>
      <w:r>
        <w:rPr>
          <w:rFonts w:ascii="Times New Roman" w:eastAsia="Times New Roman" w:hAnsi="Times New Roman" w:cs="Times New Roman"/>
          <w:color w:val="000000"/>
          <w:sz w:val="24"/>
          <w:szCs w:val="24"/>
        </w:rPr>
        <w:t xml:space="preserve">“), ustanovení na ochranu před nekalou soutěží v Občanském zákoníku a zákon č. 40/2009 Sb., trestní zákoník, jakož i relevantní ustanovení Etického kodexu AIFP (Asociace Inovativního Farmaceutického Průmyslu) a etického kodexu Rady pro reklamu a publikovanými rozhodnutími Rady pro reklamu (resp. Arbitrážní komise Rady pro reklamu). Dodavatel si je vědom, že reklama humánních léčivých přípravků, jejichž výdej je vázán na lékařský předpis, je vůči široké veřejnosti zakázaná, a že i nepřímá reklama (tj. zejména jakákoliv sdělení, oznámení, pobídky, prezentace a jiné aktivity, při nichž může vzniknout adresátům asociace na určitý výrobek či značku) může být považována za reklamu podle zákona o reklamě. Dodavatel se také zavazuje neprovádět reklamu výrobků společnosti AbbVie mimo rozsah užití schválený v rozhodnutí o registraci daného výrobku v České republice a neiniciovat komunikaci se stejným účelem či výsledkem (tzv. </w:t>
      </w:r>
      <w:proofErr w:type="spellStart"/>
      <w:r>
        <w:rPr>
          <w:rFonts w:ascii="Times New Roman" w:eastAsia="Times New Roman" w:hAnsi="Times New Roman" w:cs="Times New Roman"/>
          <w:i/>
          <w:color w:val="000000"/>
          <w:sz w:val="24"/>
          <w:szCs w:val="24"/>
        </w:rPr>
        <w:t>off</w:t>
      </w:r>
      <w:proofErr w:type="spellEnd"/>
      <w:r>
        <w:rPr>
          <w:rFonts w:ascii="Times New Roman" w:eastAsia="Times New Roman" w:hAnsi="Times New Roman" w:cs="Times New Roman"/>
          <w:i/>
          <w:color w:val="000000"/>
          <w:sz w:val="24"/>
          <w:szCs w:val="24"/>
        </w:rPr>
        <w:t>-label propagace</w:t>
      </w:r>
      <w:r>
        <w:rPr>
          <w:rFonts w:ascii="Times New Roman" w:eastAsia="Times New Roman" w:hAnsi="Times New Roman" w:cs="Times New Roman"/>
          <w:color w:val="000000"/>
          <w:sz w:val="24"/>
          <w:szCs w:val="24"/>
        </w:rPr>
        <w:t>).</w:t>
      </w:r>
    </w:p>
    <w:p w:rsidR="004312EA" w:rsidRDefault="004312EA" w:rsidP="004312EA">
      <w:pPr>
        <w:numPr>
          <w:ilvl w:val="0"/>
          <w:numId w:val="2"/>
        </w:numPr>
        <w:pBdr>
          <w:top w:val="nil"/>
          <w:left w:val="nil"/>
          <w:bottom w:val="nil"/>
          <w:right w:val="nil"/>
          <w:between w:val="nil"/>
        </w:pBdr>
        <w:spacing w:before="160" w:after="120"/>
        <w:jc w:val="both"/>
      </w:pPr>
      <w:r>
        <w:rPr>
          <w:rFonts w:ascii="Times New Roman" w:eastAsia="Times New Roman" w:hAnsi="Times New Roman" w:cs="Times New Roman"/>
          <w:i/>
          <w:sz w:val="24"/>
          <w:szCs w:val="24"/>
        </w:rPr>
        <w:t xml:space="preserve">   </w:t>
      </w:r>
      <w:r>
        <w:rPr>
          <w:rFonts w:ascii="Times New Roman" w:eastAsia="Times New Roman" w:hAnsi="Times New Roman" w:cs="Times New Roman"/>
          <w:i/>
          <w:color w:val="000000"/>
          <w:sz w:val="24"/>
          <w:szCs w:val="24"/>
        </w:rPr>
        <w:t>Plnění Smlouvy</w:t>
      </w:r>
    </w:p>
    <w:p w:rsidR="004312EA" w:rsidRDefault="004312EA" w:rsidP="004312EA">
      <w:pPr>
        <w:pBdr>
          <w:top w:val="nil"/>
          <w:left w:val="nil"/>
          <w:bottom w:val="nil"/>
          <w:right w:val="nil"/>
          <w:between w:val="nil"/>
        </w:pBdr>
        <w:spacing w:before="160" w:after="120"/>
        <w:ind w:left="708" w:hanging="708"/>
        <w:jc w:val="both"/>
        <w:rPr>
          <w:sz w:val="24"/>
          <w:szCs w:val="24"/>
        </w:rPr>
      </w:pPr>
      <w:r>
        <w:rPr>
          <w:rFonts w:ascii="Times New Roman" w:eastAsia="Times New Roman" w:hAnsi="Times New Roman" w:cs="Times New Roman"/>
          <w:sz w:val="24"/>
          <w:szCs w:val="24"/>
        </w:rPr>
        <w:t xml:space="preserve">5.1.    </w:t>
      </w:r>
      <w:r>
        <w:rPr>
          <w:rFonts w:ascii="Times New Roman" w:eastAsia="Times New Roman" w:hAnsi="Times New Roman" w:cs="Times New Roman"/>
          <w:color w:val="000000"/>
          <w:sz w:val="24"/>
          <w:szCs w:val="24"/>
        </w:rPr>
        <w:t xml:space="preserve">Dodavatel je povinen postupovat při poskytování služeb a dodávce zboží, jakož i při plnění veškerých dalších povinností dle Obchodních podmínek a Smlouvy, řádně a s odbornou péčí. Každá ze Stran je povinná neprodleně oznámit druhé Straně nevhodnost uděleného pokynu, kterou zjistila nebo mohla zjistit při vynaložení odborné péče při provádění projektu nebo při své běžné činnosti, a která má přímou či nepřímou souvislost s předmětem plnění dle Smlouvy. </w:t>
      </w:r>
    </w:p>
    <w:p w:rsidR="004312EA" w:rsidRDefault="004312EA" w:rsidP="004312EA">
      <w:pPr>
        <w:pBdr>
          <w:top w:val="nil"/>
          <w:left w:val="nil"/>
          <w:bottom w:val="nil"/>
          <w:right w:val="nil"/>
          <w:between w:val="nil"/>
        </w:pBdr>
        <w:spacing w:before="160" w:after="120"/>
        <w:ind w:left="708" w:hanging="708"/>
        <w:jc w:val="both"/>
        <w:rPr>
          <w:sz w:val="24"/>
          <w:szCs w:val="24"/>
        </w:rPr>
      </w:pPr>
      <w:r>
        <w:rPr>
          <w:rFonts w:ascii="Times New Roman" w:eastAsia="Times New Roman" w:hAnsi="Times New Roman" w:cs="Times New Roman"/>
          <w:sz w:val="24"/>
          <w:szCs w:val="24"/>
        </w:rPr>
        <w:t>5.2.</w:t>
      </w:r>
      <w:r>
        <w:rPr>
          <w:sz w:val="24"/>
          <w:szCs w:val="24"/>
        </w:rPr>
        <w:t xml:space="preserve">    </w:t>
      </w:r>
      <w:r>
        <w:rPr>
          <w:rFonts w:ascii="Times New Roman" w:eastAsia="Times New Roman" w:hAnsi="Times New Roman" w:cs="Times New Roman"/>
          <w:color w:val="000000"/>
          <w:sz w:val="24"/>
          <w:szCs w:val="24"/>
        </w:rPr>
        <w:t>Dodavatel prohlašuje, že pro poskytování služeb dle Smlouvy využije pouze osoby s řádnou kvalifikací, proškolením a zkušenostmi. Dodavatel zajistí, aby jeho zaměstnanci, zástupci a veškeré další osoby, které Dodavatel použije v souvislosti s poskytováním služeb dle Smlouvy, vynakládali stejnou míru odborné péče, ke které je zavázán Dodavatel dle této Smlouvy a Obchodních podmínek.</w:t>
      </w:r>
    </w:p>
    <w:p w:rsidR="004312EA" w:rsidRPr="00867894" w:rsidRDefault="004312EA" w:rsidP="004312EA">
      <w:pPr>
        <w:pBdr>
          <w:top w:val="nil"/>
          <w:left w:val="nil"/>
          <w:bottom w:val="nil"/>
          <w:right w:val="nil"/>
          <w:between w:val="nil"/>
        </w:pBdr>
        <w:spacing w:before="160" w:after="120"/>
        <w:ind w:left="708" w:hanging="708"/>
        <w:jc w:val="both"/>
        <w:rPr>
          <w:rFonts w:ascii="Arial" w:eastAsia="Arial" w:hAnsi="Arial" w:cs="Arial"/>
        </w:rPr>
      </w:pPr>
      <w:r>
        <w:rPr>
          <w:rFonts w:ascii="Times New Roman" w:eastAsia="Times New Roman" w:hAnsi="Times New Roman" w:cs="Times New Roman"/>
          <w:sz w:val="24"/>
          <w:szCs w:val="24"/>
        </w:rPr>
        <w:lastRenderedPageBreak/>
        <w:t>5.3.</w:t>
      </w:r>
      <w:r>
        <w:rPr>
          <w:sz w:val="24"/>
          <w:szCs w:val="24"/>
        </w:rPr>
        <w:t xml:space="preserve">   </w:t>
      </w:r>
      <w:r>
        <w:rPr>
          <w:rFonts w:ascii="Times New Roman" w:eastAsia="Times New Roman" w:hAnsi="Times New Roman" w:cs="Times New Roman"/>
          <w:color w:val="000000"/>
          <w:sz w:val="24"/>
          <w:szCs w:val="24"/>
        </w:rPr>
        <w:t xml:space="preserve">Dodavatel je povinen veškeré informace, materiály a podklady použité v rámci Smlouvy zkoumat s odbornou péčí a neprodleně informovat společnost AbbVie, pokud zjistí, že jakékoli informace, materiály či podklady jsou jakkoliv nepřesné, neúplné, neaktuální nebo zavádějící nebo pokud by mohly porušit příslušné právní předpisy a zavazuje se odškodnit AbbVie a nahradit společnosti AbbVie veškeré náklady v případě porušení této povinnosti. V případě </w:t>
      </w:r>
      <w:proofErr w:type="spellStart"/>
      <w:r>
        <w:rPr>
          <w:rFonts w:ascii="Times New Roman" w:eastAsia="Times New Roman" w:hAnsi="Times New Roman" w:cs="Times New Roman"/>
          <w:color w:val="000000"/>
          <w:sz w:val="24"/>
          <w:szCs w:val="24"/>
        </w:rPr>
        <w:t>nekalosoutěžního</w:t>
      </w:r>
      <w:proofErr w:type="spellEnd"/>
      <w:r>
        <w:rPr>
          <w:rFonts w:ascii="Times New Roman" w:eastAsia="Times New Roman" w:hAnsi="Times New Roman" w:cs="Times New Roman"/>
          <w:color w:val="000000"/>
          <w:sz w:val="24"/>
          <w:szCs w:val="24"/>
        </w:rPr>
        <w:t xml:space="preserve"> či osobnostního sporu nebo správního řízení poskytne Dodavatel společnosti AbbVie veškerou požadovanou pomoc.</w:t>
      </w:r>
    </w:p>
    <w:p w:rsidR="004312EA" w:rsidRDefault="004312EA" w:rsidP="004312EA">
      <w:pPr>
        <w:numPr>
          <w:ilvl w:val="0"/>
          <w:numId w:val="3"/>
        </w:numPr>
        <w:pBdr>
          <w:top w:val="nil"/>
          <w:left w:val="nil"/>
          <w:bottom w:val="nil"/>
          <w:right w:val="nil"/>
          <w:between w:val="nil"/>
        </w:pBdr>
        <w:spacing w:before="160" w:after="120"/>
        <w:jc w:val="both"/>
        <w:rPr>
          <w:i/>
          <w:color w:val="000000"/>
          <w:sz w:val="24"/>
          <w:szCs w:val="24"/>
        </w:rPr>
      </w:pPr>
      <w:r>
        <w:rPr>
          <w:rFonts w:ascii="Times New Roman" w:eastAsia="Times New Roman" w:hAnsi="Times New Roman" w:cs="Times New Roman"/>
          <w:i/>
          <w:color w:val="000000"/>
          <w:sz w:val="24"/>
          <w:szCs w:val="24"/>
        </w:rPr>
        <w:t>Platební podmínky</w:t>
      </w:r>
    </w:p>
    <w:p w:rsidR="004312EA" w:rsidRDefault="004312EA" w:rsidP="004312EA">
      <w:pPr>
        <w:numPr>
          <w:ilvl w:val="1"/>
          <w:numId w:val="3"/>
        </w:numPr>
        <w:pBdr>
          <w:top w:val="nil"/>
          <w:left w:val="nil"/>
          <w:bottom w:val="nil"/>
          <w:right w:val="nil"/>
          <w:between w:val="nil"/>
        </w:pBdr>
        <w:spacing w:before="160" w:after="120"/>
        <w:jc w:val="both"/>
        <w:rPr>
          <w:color w:val="000000"/>
          <w:sz w:val="24"/>
          <w:szCs w:val="24"/>
        </w:rPr>
      </w:pPr>
      <w:r>
        <w:rPr>
          <w:rFonts w:ascii="Times New Roman" w:eastAsia="Times New Roman" w:hAnsi="Times New Roman" w:cs="Times New Roman"/>
          <w:color w:val="000000"/>
          <w:sz w:val="24"/>
          <w:szCs w:val="24"/>
        </w:rPr>
        <w:t>Strany potvrzují, že jakékoliv platby učiněné na základě Smlouvy budou činěny prostřednictvím bezhotovostního bankovního převodu na bankovní účet banky v České republice, jehož číslo bude uvedeno na faktuře – daňovém dokladu odměny za poskytnutí služeb či dodávku zboží dle Smlouvy.</w:t>
      </w:r>
    </w:p>
    <w:p w:rsidR="004312EA" w:rsidRDefault="004312EA" w:rsidP="004312EA">
      <w:pPr>
        <w:numPr>
          <w:ilvl w:val="1"/>
          <w:numId w:val="3"/>
        </w:numPr>
        <w:pBdr>
          <w:top w:val="nil"/>
          <w:left w:val="nil"/>
          <w:bottom w:val="nil"/>
          <w:right w:val="nil"/>
          <w:between w:val="nil"/>
        </w:pBdr>
        <w:spacing w:before="160" w:after="120"/>
        <w:jc w:val="both"/>
        <w:rPr>
          <w:color w:val="000000"/>
          <w:sz w:val="24"/>
          <w:szCs w:val="24"/>
        </w:rPr>
      </w:pPr>
      <w:r>
        <w:rPr>
          <w:rFonts w:ascii="Times New Roman" w:eastAsia="Times New Roman" w:hAnsi="Times New Roman" w:cs="Times New Roman"/>
          <w:color w:val="000000"/>
          <w:sz w:val="24"/>
          <w:szCs w:val="24"/>
        </w:rPr>
        <w:t>Splatnost všech faktur – daňových dokladů vystavených za dodávku zboží či poskytnutí služeb na základě Smlouvy je 30 kalendářních dnů.</w:t>
      </w:r>
    </w:p>
    <w:p w:rsidR="004312EA" w:rsidRDefault="004312EA" w:rsidP="004312EA">
      <w:pPr>
        <w:numPr>
          <w:ilvl w:val="0"/>
          <w:numId w:val="3"/>
        </w:numPr>
        <w:pBdr>
          <w:top w:val="nil"/>
          <w:left w:val="nil"/>
          <w:bottom w:val="nil"/>
          <w:right w:val="nil"/>
          <w:between w:val="nil"/>
        </w:pBdr>
        <w:spacing w:before="160" w:after="120"/>
        <w:jc w:val="both"/>
        <w:rPr>
          <w:i/>
          <w:color w:val="000000"/>
          <w:sz w:val="24"/>
          <w:szCs w:val="24"/>
        </w:rPr>
      </w:pPr>
      <w:r>
        <w:rPr>
          <w:rFonts w:ascii="Times New Roman" w:eastAsia="Times New Roman" w:hAnsi="Times New Roman" w:cs="Times New Roman"/>
          <w:i/>
          <w:color w:val="000000"/>
          <w:sz w:val="24"/>
          <w:szCs w:val="24"/>
        </w:rPr>
        <w:t>Aplikace Obchodních podmínek</w:t>
      </w:r>
    </w:p>
    <w:p w:rsidR="004312EA" w:rsidRDefault="004312EA" w:rsidP="004312EA">
      <w:pPr>
        <w:numPr>
          <w:ilvl w:val="1"/>
          <w:numId w:val="3"/>
        </w:numPr>
        <w:pBdr>
          <w:top w:val="nil"/>
          <w:left w:val="nil"/>
          <w:bottom w:val="nil"/>
          <w:right w:val="nil"/>
          <w:between w:val="nil"/>
        </w:pBdr>
        <w:spacing w:before="160" w:after="120"/>
        <w:jc w:val="both"/>
        <w:rPr>
          <w:color w:val="222222"/>
          <w:sz w:val="24"/>
          <w:szCs w:val="24"/>
        </w:rPr>
      </w:pPr>
      <w:r>
        <w:rPr>
          <w:rFonts w:ascii="Times New Roman" w:eastAsia="Times New Roman" w:hAnsi="Times New Roman" w:cs="Times New Roman"/>
          <w:color w:val="000000"/>
          <w:sz w:val="24"/>
          <w:szCs w:val="24"/>
        </w:rPr>
        <w:t xml:space="preserve">Akceptací těchto Obchodních podmínek a Smlouvy mezi Dodavatelem a společností AbbVie Dodavatel potvrzuje, že (i) se obeznámil s těmito Obchodními podmínkami a výslovně přijímá všechna jejich </w:t>
      </w:r>
      <w:proofErr w:type="gramStart"/>
      <w:r>
        <w:rPr>
          <w:rFonts w:ascii="Times New Roman" w:eastAsia="Times New Roman" w:hAnsi="Times New Roman" w:cs="Times New Roman"/>
          <w:color w:val="000000"/>
          <w:sz w:val="24"/>
          <w:szCs w:val="24"/>
        </w:rPr>
        <w:t>ustanovení , (</w:t>
      </w:r>
      <w:proofErr w:type="spellStart"/>
      <w:r>
        <w:rPr>
          <w:rFonts w:ascii="Times New Roman" w:eastAsia="Times New Roman" w:hAnsi="Times New Roman" w:cs="Times New Roman"/>
          <w:color w:val="000000"/>
          <w:sz w:val="24"/>
          <w:szCs w:val="24"/>
        </w:rPr>
        <w:t>ii</w:t>
      </w:r>
      <w:proofErr w:type="spellEnd"/>
      <w:proofErr w:type="gramEnd"/>
      <w:r>
        <w:rPr>
          <w:rFonts w:ascii="Times New Roman" w:eastAsia="Times New Roman" w:hAnsi="Times New Roman" w:cs="Times New Roman"/>
          <w:color w:val="000000"/>
          <w:sz w:val="24"/>
          <w:szCs w:val="24"/>
        </w:rPr>
        <w:t>) je podnikatelem jednajícím v rámci své podnikatelské činnosti, (</w:t>
      </w:r>
      <w:proofErr w:type="spellStart"/>
      <w:r>
        <w:rPr>
          <w:rFonts w:ascii="Times New Roman" w:eastAsia="Times New Roman" w:hAnsi="Times New Roman" w:cs="Times New Roman"/>
          <w:color w:val="000000"/>
          <w:sz w:val="24"/>
          <w:szCs w:val="24"/>
        </w:rPr>
        <w:t>iii</w:t>
      </w:r>
      <w:proofErr w:type="spellEnd"/>
      <w:r>
        <w:rPr>
          <w:rFonts w:ascii="Times New Roman" w:eastAsia="Times New Roman" w:hAnsi="Times New Roman" w:cs="Times New Roman"/>
          <w:color w:val="000000"/>
          <w:sz w:val="24"/>
          <w:szCs w:val="24"/>
        </w:rPr>
        <w:t>) nepovažuje se za slabší smluvní stranu ve smluvním vztahu se společností AbbVie vzniklém na základě kterékoliv Smlouvy, (</w:t>
      </w:r>
      <w:proofErr w:type="spellStart"/>
      <w:r>
        <w:rPr>
          <w:rFonts w:ascii="Times New Roman" w:eastAsia="Times New Roman" w:hAnsi="Times New Roman" w:cs="Times New Roman"/>
          <w:color w:val="000000"/>
          <w:sz w:val="24"/>
          <w:szCs w:val="24"/>
        </w:rPr>
        <w:t>iv</w:t>
      </w:r>
      <w:proofErr w:type="spellEnd"/>
      <w:r>
        <w:rPr>
          <w:rFonts w:ascii="Times New Roman" w:eastAsia="Times New Roman" w:hAnsi="Times New Roman" w:cs="Times New Roman"/>
          <w:color w:val="000000"/>
          <w:sz w:val="24"/>
          <w:szCs w:val="24"/>
        </w:rPr>
        <w:t xml:space="preserve">) tímto výslovně přijímá riziko podstatné změny okolností dle </w:t>
      </w:r>
      <w:proofErr w:type="spellStart"/>
      <w:r>
        <w:rPr>
          <w:rFonts w:ascii="Times New Roman" w:eastAsia="Times New Roman" w:hAnsi="Times New Roman" w:cs="Times New Roman"/>
          <w:color w:val="000000"/>
          <w:sz w:val="24"/>
          <w:szCs w:val="24"/>
        </w:rPr>
        <w:t>ust</w:t>
      </w:r>
      <w:proofErr w:type="spellEnd"/>
      <w:r>
        <w:rPr>
          <w:rFonts w:ascii="Times New Roman" w:eastAsia="Times New Roman" w:hAnsi="Times New Roman" w:cs="Times New Roman"/>
          <w:color w:val="000000"/>
          <w:sz w:val="24"/>
          <w:szCs w:val="24"/>
        </w:rPr>
        <w:t xml:space="preserve">. § 1765 Občanského zákoníku, čímž je vyloučeno právo domáhat se obnovení jednání o Smlouvě, jakož i právo na zrušení Smlouvy soudem dle </w:t>
      </w:r>
      <w:proofErr w:type="spellStart"/>
      <w:r>
        <w:rPr>
          <w:rFonts w:ascii="Times New Roman" w:eastAsia="Times New Roman" w:hAnsi="Times New Roman" w:cs="Times New Roman"/>
          <w:color w:val="000000"/>
          <w:sz w:val="24"/>
          <w:szCs w:val="24"/>
        </w:rPr>
        <w:t>ust</w:t>
      </w:r>
      <w:proofErr w:type="spellEnd"/>
      <w:r>
        <w:rPr>
          <w:rFonts w:ascii="Times New Roman" w:eastAsia="Times New Roman" w:hAnsi="Times New Roman" w:cs="Times New Roman"/>
          <w:color w:val="000000"/>
          <w:sz w:val="24"/>
          <w:szCs w:val="24"/>
        </w:rPr>
        <w:t>. § 1766 Občanského zákoníku, (v) ustanovení § 1799 a § 1800 Občanského zákoníku jsou tímto vyloučeny.</w:t>
      </w:r>
    </w:p>
    <w:p w:rsidR="004312EA" w:rsidRDefault="004312EA" w:rsidP="004312EA">
      <w:pPr>
        <w:numPr>
          <w:ilvl w:val="1"/>
          <w:numId w:val="3"/>
        </w:numPr>
        <w:pBdr>
          <w:top w:val="nil"/>
          <w:left w:val="nil"/>
          <w:bottom w:val="nil"/>
          <w:right w:val="nil"/>
          <w:between w:val="nil"/>
        </w:pBdr>
        <w:spacing w:before="160" w:after="120"/>
        <w:jc w:val="both"/>
        <w:rPr>
          <w:color w:val="000000"/>
          <w:sz w:val="24"/>
          <w:szCs w:val="24"/>
        </w:rPr>
      </w:pPr>
      <w:bookmarkStart w:id="10" w:name="_3dy6vkm" w:colFirst="0" w:colLast="0"/>
      <w:bookmarkEnd w:id="10"/>
      <w:r>
        <w:rPr>
          <w:rFonts w:ascii="Times New Roman" w:eastAsia="Times New Roman" w:hAnsi="Times New Roman" w:cs="Times New Roman"/>
          <w:color w:val="000000"/>
          <w:sz w:val="24"/>
          <w:szCs w:val="24"/>
        </w:rPr>
        <w:t>Právní vztahy vznikající na základě Smlouvy a těchto Obchodních podmínek se řídí právem České republiky. Jakékoliv spory vznikající na základě Smlouvy nebo Obchodních podmínek budou řešeny soudy v České republice a jejich místní příslušnost bude určena dle sídla společnosti AbbVie.</w:t>
      </w:r>
      <w:r>
        <w:rPr>
          <w:rFonts w:ascii="Times New Roman" w:eastAsia="Times New Roman" w:hAnsi="Times New Roman" w:cs="Times New Roman"/>
          <w:color w:val="000000"/>
          <w:sz w:val="24"/>
          <w:szCs w:val="24"/>
        </w:rPr>
        <w:br/>
      </w:r>
    </w:p>
    <w:p w:rsidR="004312EA" w:rsidRDefault="004312EA">
      <w:pPr>
        <w:rPr>
          <w:noProof/>
        </w:rPr>
      </w:pPr>
      <w:r>
        <w:rPr>
          <w:noProof/>
        </w:rPr>
        <w:br w:type="page"/>
      </w:r>
    </w:p>
    <w:p w:rsidR="004312EA" w:rsidRDefault="004312EA">
      <w:pPr>
        <w:rPr>
          <w:noProof/>
        </w:rPr>
      </w:pPr>
    </w:p>
    <w:p w:rsidR="004312EA" w:rsidRDefault="004312EA">
      <w:pPr>
        <w:rPr>
          <w:noProof/>
        </w:rPr>
      </w:pPr>
      <w:r>
        <w:rPr>
          <w:noProof/>
        </w:rPr>
        <w:t>Příloha č. 2</w:t>
      </w:r>
      <w:r>
        <w:rPr>
          <w:noProof/>
        </w:rPr>
        <w:br/>
      </w:r>
    </w:p>
    <w:p w:rsidR="004312EA" w:rsidRDefault="004312EA">
      <w:pPr>
        <w:rPr>
          <w:noProof/>
        </w:rPr>
      </w:pPr>
    </w:p>
    <w:p w:rsidR="004312EA" w:rsidRDefault="004312EA">
      <w:pPr>
        <w:rPr>
          <w:rFonts w:ascii="Times New Roman" w:eastAsia="Times New Roman" w:hAnsi="Times New Roman" w:cs="Times New Roman"/>
          <w:sz w:val="24"/>
          <w:szCs w:val="24"/>
        </w:rPr>
      </w:pPr>
    </w:p>
    <w:p w:rsidR="004312EA" w:rsidRDefault="004312EA">
      <w:pPr>
        <w:rPr>
          <w:rFonts w:ascii="Times New Roman" w:eastAsia="Times New Roman" w:hAnsi="Times New Roman" w:cs="Times New Roman"/>
          <w:sz w:val="24"/>
          <w:szCs w:val="24"/>
        </w:rPr>
      </w:pPr>
      <w:r>
        <w:rPr>
          <w:noProof/>
        </w:rPr>
        <w:drawing>
          <wp:inline distT="0" distB="0" distL="0" distR="0">
            <wp:extent cx="5270500" cy="734627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270500" cy="7346278"/>
                    </a:xfrm>
                    <a:prstGeom prst="rect">
                      <a:avLst/>
                    </a:prstGeom>
                    <a:ln/>
                  </pic:spPr>
                </pic:pic>
              </a:graphicData>
            </a:graphic>
          </wp:inline>
        </w:drawing>
      </w:r>
      <w:r>
        <w:rPr>
          <w:rFonts w:ascii="Times New Roman" w:eastAsia="Times New Roman" w:hAnsi="Times New Roman" w:cs="Times New Roman"/>
          <w:sz w:val="24"/>
          <w:szCs w:val="24"/>
        </w:rPr>
        <w:br w:type="page"/>
      </w:r>
    </w:p>
    <w:p w:rsidR="007E041F" w:rsidRDefault="004312E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Příloha č. 3 </w:t>
      </w:r>
    </w:p>
    <w:p w:rsidR="004312EA" w:rsidRDefault="00AF15A0">
      <w:pPr>
        <w:rPr>
          <w:rFonts w:ascii="Times New Roman" w:eastAsia="Times New Roman" w:hAnsi="Times New Roman" w:cs="Times New Roman"/>
          <w:sz w:val="24"/>
          <w:szCs w:val="24"/>
        </w:rPr>
      </w:pPr>
      <w:r>
        <w:rPr>
          <w:noProof/>
        </w:rPr>
        <w:object w:dxaOrig="8865" w:dyaOrig="12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588pt" o:ole="">
            <v:imagedata r:id="rId9" o:title=""/>
          </v:shape>
          <o:OLEObject Type="Embed" ProgID="AcroExch.Document.DC" ShapeID="_x0000_i1025" DrawAspect="Content" ObjectID="_1608121871" r:id="rId10"/>
        </w:object>
      </w:r>
    </w:p>
    <w:p w:rsidR="004312EA" w:rsidRDefault="00AF15A0">
      <w:pPr>
        <w:rPr>
          <w:rFonts w:ascii="Times New Roman" w:eastAsia="Times New Roman" w:hAnsi="Times New Roman" w:cs="Times New Roman"/>
          <w:sz w:val="24"/>
          <w:szCs w:val="24"/>
        </w:rPr>
      </w:pPr>
      <w:r>
        <w:rPr>
          <w:noProof/>
        </w:rPr>
        <w:lastRenderedPageBreak/>
        <w:drawing>
          <wp:inline distT="0" distB="0" distL="0" distR="0">
            <wp:extent cx="5248275" cy="7343775"/>
            <wp:effectExtent l="0" t="0" r="9525" b="9525"/>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48275" cy="7343775"/>
                    </a:xfrm>
                    <a:prstGeom prst="rect">
                      <a:avLst/>
                    </a:prstGeom>
                  </pic:spPr>
                </pic:pic>
              </a:graphicData>
            </a:graphic>
          </wp:inline>
        </w:drawing>
      </w:r>
      <w:r w:rsidRPr="00AF15A0">
        <w:rPr>
          <w:noProof/>
        </w:rPr>
        <w:object w:dxaOrig="8850" w:dyaOrig="12570">
          <v:shape id="_x0000_i1026" type="#_x0000_t75" style="width:414.6pt;height:589.2pt" o:ole="">
            <v:imagedata r:id="rId12" o:title=""/>
          </v:shape>
          <o:OLEObject Type="Embed" ProgID="AcroExch.Document.DC" ShapeID="_x0000_i1026" DrawAspect="Content" ObjectID="_1608121872" r:id="rId13"/>
        </w:object>
      </w:r>
      <w:r>
        <w:rPr>
          <w:noProof/>
        </w:rPr>
        <w:object w:dxaOrig="8880" w:dyaOrig="12585">
          <v:shape id="_x0000_i1027" type="#_x0000_t75" style="width:444pt;height:629.4pt" o:ole="">
            <v:imagedata r:id="rId14" o:title=""/>
          </v:shape>
          <o:OLEObject Type="Embed" ProgID="AcroExch.Document.DC" ShapeID="_x0000_i1027" DrawAspect="Content" ObjectID="_1608121873" r:id="rId15"/>
        </w:object>
      </w:r>
      <w:r w:rsidR="004312EA" w:rsidRPr="004312EA">
        <w:rPr>
          <w:noProof/>
        </w:rPr>
        <w:t xml:space="preserve">  </w:t>
      </w:r>
    </w:p>
    <w:sectPr w:rsidR="004312EA" w:rsidSect="00CF679D">
      <w:headerReference w:type="even" r:id="rId16"/>
      <w:headerReference w:type="default" r:id="rId17"/>
      <w:footerReference w:type="even" r:id="rId18"/>
      <w:footerReference w:type="default" r:id="rId19"/>
      <w:headerReference w:type="first" r:id="rId20"/>
      <w:footerReference w:type="first" r:id="rId21"/>
      <w:pgSz w:w="11900" w:h="16840"/>
      <w:pgMar w:top="851" w:right="1800" w:bottom="1440" w:left="180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E21" w:rsidRDefault="00B70E21">
      <w:r>
        <w:separator/>
      </w:r>
    </w:p>
  </w:endnote>
  <w:endnote w:type="continuationSeparator" w:id="0">
    <w:p w:rsidR="00B70E21" w:rsidRDefault="00B70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41F" w:rsidRDefault="007E041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41F" w:rsidRDefault="007E041F">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41F" w:rsidRDefault="007E041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E21" w:rsidRDefault="00B70E21">
      <w:r>
        <w:separator/>
      </w:r>
    </w:p>
  </w:footnote>
  <w:footnote w:type="continuationSeparator" w:id="0">
    <w:p w:rsidR="00B70E21" w:rsidRDefault="00B70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41F" w:rsidRDefault="007E041F">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41F" w:rsidRDefault="00867894">
    <w:pPr>
      <w:jc w:val="center"/>
      <w:rPr>
        <w:color w:val="000000"/>
      </w:rPr>
    </w:pPr>
    <w:r>
      <w:rPr>
        <w:rFonts w:ascii="Times New Roman" w:eastAsia="Times New Roman" w:hAnsi="Times New Roman" w:cs="Times New Roman"/>
        <w:b/>
        <w:sz w:val="24"/>
        <w:szCs w:val="24"/>
      </w:rPr>
      <w:t>Smlouva o inzerci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41F" w:rsidRDefault="007E041F">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A015C"/>
    <w:multiLevelType w:val="multilevel"/>
    <w:tmpl w:val="90EE8E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86019CD"/>
    <w:multiLevelType w:val="multilevel"/>
    <w:tmpl w:val="28F003A8"/>
    <w:lvl w:ilvl="0">
      <w:start w:val="1"/>
      <w:numFmt w:val="decimal"/>
      <w:lvlText w:val="%1."/>
      <w:lvlJc w:val="right"/>
      <w:pPr>
        <w:ind w:left="360" w:hanging="360"/>
      </w:pPr>
      <w:rPr>
        <w:rFonts w:ascii="Times New Roman" w:eastAsia="Times New Roman" w:hAnsi="Times New Roman" w:cs="Times New Roman"/>
      </w:rPr>
    </w:lvl>
    <w:lvl w:ilvl="1">
      <w:start w:val="1"/>
      <w:numFmt w:val="decimal"/>
      <w:lvlText w:val="%1.%2."/>
      <w:lvlJc w:val="right"/>
      <w:pPr>
        <w:ind w:left="792" w:hanging="432"/>
      </w:pPr>
      <w:rPr>
        <w:rFonts w:ascii="Times New Roman" w:eastAsia="Times New Roman" w:hAnsi="Times New Roman" w:cs="Times New Roman"/>
      </w:rPr>
    </w:lvl>
    <w:lvl w:ilvl="2">
      <w:start w:val="1"/>
      <w:numFmt w:val="decimal"/>
      <w:lvlText w:val="%1.%2.%3."/>
      <w:lvlJc w:val="right"/>
      <w:pPr>
        <w:ind w:left="1224" w:hanging="504"/>
      </w:pPr>
    </w:lvl>
    <w:lvl w:ilvl="3">
      <w:start w:val="1"/>
      <w:numFmt w:val="decimal"/>
      <w:lvlText w:val="%1.%2.%3.%4."/>
      <w:lvlJc w:val="right"/>
      <w:pPr>
        <w:ind w:left="1728" w:hanging="647"/>
      </w:pPr>
    </w:lvl>
    <w:lvl w:ilvl="4">
      <w:start w:val="1"/>
      <w:numFmt w:val="decimal"/>
      <w:lvlText w:val="%1.%2.%3.%4.%5."/>
      <w:lvlJc w:val="right"/>
      <w:pPr>
        <w:ind w:left="2232" w:hanging="792"/>
      </w:pPr>
    </w:lvl>
    <w:lvl w:ilvl="5">
      <w:start w:val="1"/>
      <w:numFmt w:val="decimal"/>
      <w:lvlText w:val="%1.%2.%3.%4.%5.%6."/>
      <w:lvlJc w:val="right"/>
      <w:pPr>
        <w:ind w:left="2736" w:hanging="934"/>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2">
    <w:nsid w:val="47B76C69"/>
    <w:multiLevelType w:val="multilevel"/>
    <w:tmpl w:val="73E473E6"/>
    <w:lvl w:ilvl="0">
      <w:start w:val="6"/>
      <w:numFmt w:val="decimal"/>
      <w:lvlText w:val="%1."/>
      <w:lvlJc w:val="right"/>
      <w:pPr>
        <w:ind w:left="360" w:hanging="360"/>
      </w:pPr>
      <w:rPr>
        <w:rFonts w:ascii="Times New Roman" w:eastAsia="Times New Roman" w:hAnsi="Times New Roman" w:cs="Times New Roman"/>
      </w:rPr>
    </w:lvl>
    <w:lvl w:ilvl="1">
      <w:start w:val="1"/>
      <w:numFmt w:val="decimal"/>
      <w:lvlText w:val="%1.%2."/>
      <w:lvlJc w:val="right"/>
      <w:pPr>
        <w:ind w:left="792" w:hanging="432"/>
      </w:pPr>
      <w:rPr>
        <w:rFonts w:ascii="Times New Roman" w:eastAsia="Times New Roman" w:hAnsi="Times New Roman" w:cs="Times New Roman"/>
      </w:rPr>
    </w:lvl>
    <w:lvl w:ilvl="2">
      <w:start w:val="1"/>
      <w:numFmt w:val="decimal"/>
      <w:lvlText w:val="%1.%2.%3."/>
      <w:lvlJc w:val="right"/>
      <w:pPr>
        <w:ind w:left="1224" w:hanging="504"/>
      </w:pPr>
    </w:lvl>
    <w:lvl w:ilvl="3">
      <w:start w:val="1"/>
      <w:numFmt w:val="decimal"/>
      <w:lvlText w:val="%1.%2.%3.%4."/>
      <w:lvlJc w:val="right"/>
      <w:pPr>
        <w:ind w:left="1728" w:hanging="647"/>
      </w:pPr>
    </w:lvl>
    <w:lvl w:ilvl="4">
      <w:start w:val="1"/>
      <w:numFmt w:val="decimal"/>
      <w:lvlText w:val="%1.%2.%3.%4.%5."/>
      <w:lvlJc w:val="right"/>
      <w:pPr>
        <w:ind w:left="2232" w:hanging="792"/>
      </w:pPr>
    </w:lvl>
    <w:lvl w:ilvl="5">
      <w:start w:val="1"/>
      <w:numFmt w:val="decimal"/>
      <w:lvlText w:val="%1.%2.%3.%4.%5.%6."/>
      <w:lvlJc w:val="right"/>
      <w:pPr>
        <w:ind w:left="2736" w:hanging="934"/>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41F"/>
    <w:rsid w:val="00050628"/>
    <w:rsid w:val="0011651F"/>
    <w:rsid w:val="001407EC"/>
    <w:rsid w:val="00234FC0"/>
    <w:rsid w:val="00240481"/>
    <w:rsid w:val="003647DB"/>
    <w:rsid w:val="004312EA"/>
    <w:rsid w:val="00607315"/>
    <w:rsid w:val="007E041F"/>
    <w:rsid w:val="00867894"/>
    <w:rsid w:val="009B7F2C"/>
    <w:rsid w:val="009D67C9"/>
    <w:rsid w:val="00AF15A0"/>
    <w:rsid w:val="00B20556"/>
    <w:rsid w:val="00B70E21"/>
    <w:rsid w:val="00CF679D"/>
    <w:rsid w:val="00F16C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extbubliny">
    <w:name w:val="Balloon Text"/>
    <w:basedOn w:val="Normln"/>
    <w:link w:val="TextbublinyChar"/>
    <w:uiPriority w:val="99"/>
    <w:semiHidden/>
    <w:unhideWhenUsed/>
    <w:rsid w:val="004312EA"/>
    <w:rPr>
      <w:rFonts w:ascii="Tahoma" w:hAnsi="Tahoma" w:cs="Tahoma"/>
      <w:sz w:val="16"/>
      <w:szCs w:val="16"/>
    </w:rPr>
  </w:style>
  <w:style w:type="character" w:customStyle="1" w:styleId="TextbublinyChar">
    <w:name w:val="Text bubliny Char"/>
    <w:basedOn w:val="Standardnpsmoodstavce"/>
    <w:link w:val="Textbubliny"/>
    <w:uiPriority w:val="99"/>
    <w:semiHidden/>
    <w:rsid w:val="004312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extbubliny">
    <w:name w:val="Balloon Text"/>
    <w:basedOn w:val="Normln"/>
    <w:link w:val="TextbublinyChar"/>
    <w:uiPriority w:val="99"/>
    <w:semiHidden/>
    <w:unhideWhenUsed/>
    <w:rsid w:val="004312EA"/>
    <w:rPr>
      <w:rFonts w:ascii="Tahoma" w:hAnsi="Tahoma" w:cs="Tahoma"/>
      <w:sz w:val="16"/>
      <w:szCs w:val="16"/>
    </w:rPr>
  </w:style>
  <w:style w:type="character" w:customStyle="1" w:styleId="TextbublinyChar">
    <w:name w:val="Text bubliny Char"/>
    <w:basedOn w:val="Standardnpsmoodstavce"/>
    <w:link w:val="Textbubliny"/>
    <w:uiPriority w:val="99"/>
    <w:semiHidden/>
    <w:rsid w:val="004312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1890</Words>
  <Characters>11156</Characters>
  <Application>Microsoft Office Word</Application>
  <DocSecurity>0</DocSecurity>
  <Lines>92</Lines>
  <Paragraphs>26</Paragraphs>
  <ScaleCrop>false</ScaleCrop>
  <HeadingPairs>
    <vt:vector size="2" baseType="variant">
      <vt:variant>
        <vt:lpstr>Název</vt:lpstr>
      </vt:variant>
      <vt:variant>
        <vt:i4>1</vt:i4>
      </vt:variant>
    </vt:vector>
  </HeadingPairs>
  <TitlesOfParts>
    <vt:vector size="1" baseType="lpstr">
      <vt:lpstr/>
    </vt:vector>
  </TitlesOfParts>
  <Company>AbbVie Inc</Company>
  <LinksUpToDate>false</LinksUpToDate>
  <CharactersWithSpaces>13020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Kderova, Marie</dc:creator>
  <cp:lastModifiedBy>Chyba Radim, Ing. PhDr.</cp:lastModifiedBy>
  <cp:revision>2</cp:revision>
  <cp:lastPrinted>2018-11-12T08:14:00Z</cp:lastPrinted>
  <dcterms:created xsi:type="dcterms:W3CDTF">2019-01-04T14:45:00Z</dcterms:created>
  <dcterms:modified xsi:type="dcterms:W3CDTF">2019-01-04T14:45:00Z</dcterms:modified>
</cp:coreProperties>
</file>