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18" w:rsidRDefault="003E5407">
      <w:pPr>
        <w:spacing w:after="1818" w:line="309" w:lineRule="auto"/>
        <w:ind w:left="101"/>
        <w:jc w:val="left"/>
      </w:pPr>
      <w:r>
        <w:rPr>
          <w:sz w:val="18"/>
        </w:rPr>
        <w:t>Smlouva Lesk servis • Pečovatelská služba</w:t>
      </w:r>
    </w:p>
    <w:p w:rsidR="009B0718" w:rsidRDefault="003E5407">
      <w:pPr>
        <w:spacing w:after="0" w:line="259" w:lineRule="auto"/>
        <w:ind w:left="43" w:firstLine="0"/>
        <w:jc w:val="center"/>
      </w:pPr>
      <w:r>
        <w:rPr>
          <w:sz w:val="62"/>
        </w:rPr>
        <w:t>N</w:t>
      </w:r>
      <w:r>
        <w:rPr>
          <w:sz w:val="62"/>
        </w:rPr>
        <w:t>ávrh s</w:t>
      </w:r>
      <w:r>
        <w:rPr>
          <w:sz w:val="62"/>
        </w:rPr>
        <w:t>m</w:t>
      </w:r>
      <w:r>
        <w:rPr>
          <w:sz w:val="62"/>
        </w:rPr>
        <w:t>l</w:t>
      </w:r>
      <w:r>
        <w:rPr>
          <w:sz w:val="62"/>
        </w:rPr>
        <w:t>ouvy o d</w:t>
      </w:r>
      <w:r>
        <w:rPr>
          <w:sz w:val="62"/>
        </w:rPr>
        <w:t>í</w:t>
      </w:r>
      <w:r>
        <w:rPr>
          <w:sz w:val="62"/>
        </w:rPr>
        <w:t>l</w:t>
      </w:r>
      <w:r>
        <w:rPr>
          <w:sz w:val="62"/>
        </w:rPr>
        <w:t>o</w:t>
      </w:r>
    </w:p>
    <w:p w:rsidR="009B0718" w:rsidRDefault="003E5407">
      <w:pPr>
        <w:spacing w:after="352" w:line="259" w:lineRule="auto"/>
        <w:ind w:left="149" w:firstLine="0"/>
        <w:jc w:val="center"/>
      </w:pPr>
      <w:proofErr w:type="gramStart"/>
      <w:r>
        <w:rPr>
          <w:rFonts w:ascii="Calibri" w:eastAsia="Calibri" w:hAnsi="Calibri" w:cs="Calibri"/>
          <w:sz w:val="20"/>
        </w:rPr>
        <w:t>číslo :</w:t>
      </w:r>
      <w:proofErr w:type="gramEnd"/>
      <w:r>
        <w:rPr>
          <w:rFonts w:ascii="Calibri" w:eastAsia="Calibri" w:hAnsi="Calibri" w:cs="Calibri"/>
          <w:sz w:val="20"/>
        </w:rPr>
        <w:t xml:space="preserve"> 04/2014</w:t>
      </w:r>
    </w:p>
    <w:p w:rsidR="009B0718" w:rsidRDefault="003E5407">
      <w:pPr>
        <w:spacing w:after="907"/>
        <w:ind w:left="81" w:right="14"/>
      </w:pPr>
      <w:r>
        <w:t>o prováděných úklidových prací uzavřená ve smyslu S 536 a násl. Obchodního zákoníku č. 513/91 Sb. ve znění pozdějších předpisů</w:t>
      </w:r>
    </w:p>
    <w:p w:rsidR="009B0718" w:rsidRDefault="003E5407">
      <w:pPr>
        <w:spacing w:after="0" w:line="259" w:lineRule="auto"/>
        <w:ind w:firstLine="0"/>
        <w:jc w:val="center"/>
      </w:pPr>
      <w:bookmarkStart w:id="0" w:name="_GoBack"/>
      <w:bookmarkEnd w:id="0"/>
      <w:r>
        <w:rPr>
          <w:sz w:val="30"/>
        </w:rPr>
        <w:t>čl. 1</w:t>
      </w:r>
    </w:p>
    <w:p w:rsidR="009B0718" w:rsidRDefault="003E5407">
      <w:pPr>
        <w:spacing w:after="567" w:line="259" w:lineRule="auto"/>
        <w:ind w:left="317" w:right="173"/>
        <w:jc w:val="center"/>
      </w:pPr>
      <w:r>
        <w:rPr>
          <w:sz w:val="28"/>
        </w:rPr>
        <w:t>Smluvní strany</w:t>
      </w:r>
    </w:p>
    <w:tbl>
      <w:tblPr>
        <w:tblStyle w:val="TableGrid"/>
        <w:tblW w:w="9109" w:type="dxa"/>
        <w:tblInd w:w="96" w:type="dxa"/>
        <w:tblCellMar>
          <w:top w:w="3" w:type="dxa"/>
          <w:left w:w="0" w:type="dxa"/>
          <w:bottom w:w="0" w:type="dxa"/>
          <w:right w:w="0" w:type="dxa"/>
        </w:tblCellMar>
        <w:tblLook w:val="04A0" w:firstRow="1" w:lastRow="0" w:firstColumn="1" w:lastColumn="0" w:noHBand="0" w:noVBand="1"/>
      </w:tblPr>
      <w:tblGrid>
        <w:gridCol w:w="538"/>
        <w:gridCol w:w="1983"/>
        <w:gridCol w:w="6588"/>
      </w:tblGrid>
      <w:tr w:rsidR="009B0718">
        <w:trPr>
          <w:trHeight w:val="656"/>
        </w:trPr>
        <w:tc>
          <w:tcPr>
            <w:tcW w:w="538" w:type="dxa"/>
            <w:tcBorders>
              <w:top w:val="nil"/>
              <w:left w:val="nil"/>
              <w:bottom w:val="nil"/>
              <w:right w:val="nil"/>
            </w:tcBorders>
          </w:tcPr>
          <w:p w:rsidR="009B0718" w:rsidRDefault="003E5407">
            <w:pPr>
              <w:spacing w:after="0" w:line="259" w:lineRule="auto"/>
              <w:ind w:left="24" w:firstLine="0"/>
              <w:jc w:val="left"/>
            </w:pPr>
            <w:r>
              <w:rPr>
                <w:rFonts w:ascii="Calibri" w:eastAsia="Calibri" w:hAnsi="Calibri" w:cs="Calibri"/>
                <w:sz w:val="24"/>
              </w:rPr>
              <w:t>1.</w:t>
            </w:r>
          </w:p>
        </w:tc>
        <w:tc>
          <w:tcPr>
            <w:tcW w:w="1983" w:type="dxa"/>
            <w:tcBorders>
              <w:top w:val="nil"/>
              <w:left w:val="nil"/>
              <w:bottom w:val="nil"/>
              <w:right w:val="nil"/>
            </w:tcBorders>
          </w:tcPr>
          <w:p w:rsidR="009B0718" w:rsidRDefault="003E5407">
            <w:pPr>
              <w:spacing w:after="0" w:line="259" w:lineRule="auto"/>
              <w:ind w:left="38" w:firstLine="0"/>
              <w:jc w:val="left"/>
            </w:pPr>
            <w:r>
              <w:t>Objednatel:</w:t>
            </w:r>
          </w:p>
        </w:tc>
        <w:tc>
          <w:tcPr>
            <w:tcW w:w="6588" w:type="dxa"/>
            <w:tcBorders>
              <w:top w:val="nil"/>
              <w:left w:val="nil"/>
              <w:bottom w:val="nil"/>
              <w:right w:val="nil"/>
            </w:tcBorders>
          </w:tcPr>
          <w:p w:rsidR="009B0718" w:rsidRDefault="003E5407">
            <w:pPr>
              <w:spacing w:after="0" w:line="259" w:lineRule="auto"/>
              <w:ind w:left="34" w:firstLine="0"/>
              <w:jc w:val="left"/>
            </w:pPr>
            <w:r>
              <w:t>Integrované centrum sociálních služeb Jihlava</w:t>
            </w:r>
          </w:p>
          <w:p w:rsidR="009B0718" w:rsidRDefault="003E5407">
            <w:pPr>
              <w:spacing w:after="0" w:line="259" w:lineRule="auto"/>
              <w:ind w:left="34" w:firstLine="0"/>
              <w:jc w:val="left"/>
            </w:pPr>
            <w:r>
              <w:rPr>
                <w:sz w:val="24"/>
              </w:rPr>
              <w:t>B</w:t>
            </w:r>
            <w:r w:rsidR="001D4B38">
              <w:rPr>
                <w:sz w:val="24"/>
              </w:rPr>
              <w:t>rt</w:t>
            </w:r>
            <w:r>
              <w:rPr>
                <w:sz w:val="24"/>
              </w:rPr>
              <w:t>nická 15</w:t>
            </w:r>
          </w:p>
          <w:p w:rsidR="009B0718" w:rsidRDefault="003E5407">
            <w:pPr>
              <w:spacing w:after="0" w:line="259" w:lineRule="auto"/>
              <w:ind w:left="24" w:firstLine="0"/>
              <w:jc w:val="left"/>
            </w:pPr>
            <w:r>
              <w:rPr>
                <w:sz w:val="24"/>
              </w:rPr>
              <w:t>586 28 Jihlava</w:t>
            </w:r>
          </w:p>
        </w:tc>
      </w:tr>
      <w:tr w:rsidR="009B0718">
        <w:trPr>
          <w:trHeight w:val="915"/>
        </w:trPr>
        <w:tc>
          <w:tcPr>
            <w:tcW w:w="538" w:type="dxa"/>
            <w:tcBorders>
              <w:top w:val="nil"/>
              <w:left w:val="nil"/>
              <w:bottom w:val="nil"/>
              <w:right w:val="nil"/>
            </w:tcBorders>
          </w:tcPr>
          <w:p w:rsidR="009B0718" w:rsidRDefault="009B0718">
            <w:pPr>
              <w:spacing w:after="160" w:line="259" w:lineRule="auto"/>
              <w:ind w:left="0" w:firstLine="0"/>
              <w:jc w:val="left"/>
            </w:pPr>
          </w:p>
        </w:tc>
        <w:tc>
          <w:tcPr>
            <w:tcW w:w="1983" w:type="dxa"/>
            <w:tcBorders>
              <w:top w:val="nil"/>
              <w:left w:val="nil"/>
              <w:bottom w:val="nil"/>
              <w:right w:val="nil"/>
            </w:tcBorders>
          </w:tcPr>
          <w:p w:rsidR="009B0718" w:rsidRDefault="003E5407">
            <w:pPr>
              <w:spacing w:after="0" w:line="259" w:lineRule="auto"/>
              <w:ind w:left="24" w:firstLine="0"/>
              <w:jc w:val="left"/>
            </w:pPr>
            <w:r>
              <w:t>zastoupený:</w:t>
            </w:r>
          </w:p>
        </w:tc>
        <w:tc>
          <w:tcPr>
            <w:tcW w:w="6588" w:type="dxa"/>
            <w:tcBorders>
              <w:top w:val="nil"/>
              <w:left w:val="nil"/>
              <w:bottom w:val="nil"/>
              <w:right w:val="nil"/>
            </w:tcBorders>
          </w:tcPr>
          <w:p w:rsidR="001D4B38" w:rsidRDefault="003E5407" w:rsidP="001D4B38">
            <w:pPr>
              <w:spacing w:after="0" w:line="256" w:lineRule="auto"/>
              <w:ind w:left="29" w:right="2742" w:firstLine="0"/>
              <w:jc w:val="left"/>
            </w:pPr>
            <w:r>
              <w:t xml:space="preserve">ředitelkou: </w:t>
            </w:r>
          </w:p>
          <w:p w:rsidR="009B0718" w:rsidRDefault="003E5407" w:rsidP="001D4B38">
            <w:pPr>
              <w:spacing w:after="0" w:line="256" w:lineRule="auto"/>
              <w:ind w:left="29" w:right="2742" w:firstLine="0"/>
              <w:jc w:val="left"/>
            </w:pPr>
            <w:r>
              <w:t>B</w:t>
            </w:r>
            <w:r>
              <w:t xml:space="preserve">ankovní spojení: KB, </w:t>
            </w:r>
            <w:proofErr w:type="spellStart"/>
            <w:proofErr w:type="gramStart"/>
            <w:r>
              <w:t>a.s.,pobočka</w:t>
            </w:r>
            <w:proofErr w:type="spellEnd"/>
            <w:proofErr w:type="gramEnd"/>
            <w:r>
              <w:t xml:space="preserve"> Jihlava, Palackého 46 číslo účtu: 26832681/0100</w:t>
            </w:r>
            <w:r>
              <w:tab/>
            </w:r>
            <w:r>
              <w:rPr>
                <w:noProof/>
              </w:rPr>
              <w:drawing>
                <wp:inline distT="0" distB="0" distL="0" distR="0">
                  <wp:extent cx="12197" cy="12192"/>
                  <wp:effectExtent l="0" t="0" r="0" b="0"/>
                  <wp:docPr id="1551" name="Picture 1551"/>
                  <wp:cNvGraphicFramePr/>
                  <a:graphic xmlns:a="http://schemas.openxmlformats.org/drawingml/2006/main">
                    <a:graphicData uri="http://schemas.openxmlformats.org/drawingml/2006/picture">
                      <pic:pic xmlns:pic="http://schemas.openxmlformats.org/drawingml/2006/picture">
                        <pic:nvPicPr>
                          <pic:cNvPr id="1551" name="Picture 1551"/>
                          <pic:cNvPicPr/>
                        </pic:nvPicPr>
                        <pic:blipFill>
                          <a:blip r:embed="rId7"/>
                          <a:stretch>
                            <a:fillRect/>
                          </a:stretch>
                        </pic:blipFill>
                        <pic:spPr>
                          <a:xfrm>
                            <a:off x="0" y="0"/>
                            <a:ext cx="12197" cy="12192"/>
                          </a:xfrm>
                          <a:prstGeom prst="rect">
                            <a:avLst/>
                          </a:prstGeom>
                        </pic:spPr>
                      </pic:pic>
                    </a:graphicData>
                  </a:graphic>
                </wp:inline>
              </w:drawing>
            </w:r>
          </w:p>
        </w:tc>
      </w:tr>
      <w:tr w:rsidR="009B0718">
        <w:trPr>
          <w:trHeight w:val="1354"/>
        </w:trPr>
        <w:tc>
          <w:tcPr>
            <w:tcW w:w="538" w:type="dxa"/>
            <w:tcBorders>
              <w:top w:val="nil"/>
              <w:left w:val="nil"/>
              <w:bottom w:val="nil"/>
              <w:right w:val="nil"/>
            </w:tcBorders>
          </w:tcPr>
          <w:p w:rsidR="009B0718" w:rsidRDefault="003E5407">
            <w:pPr>
              <w:spacing w:after="0" w:line="259" w:lineRule="auto"/>
              <w:ind w:left="0" w:firstLine="0"/>
              <w:jc w:val="left"/>
            </w:pPr>
            <w:r>
              <w:rPr>
                <w:rFonts w:ascii="Calibri" w:eastAsia="Calibri" w:hAnsi="Calibri" w:cs="Calibri"/>
                <w:sz w:val="24"/>
              </w:rPr>
              <w:t>2.</w:t>
            </w:r>
          </w:p>
        </w:tc>
        <w:tc>
          <w:tcPr>
            <w:tcW w:w="1983" w:type="dxa"/>
            <w:tcBorders>
              <w:top w:val="nil"/>
              <w:left w:val="nil"/>
              <w:bottom w:val="nil"/>
              <w:right w:val="nil"/>
            </w:tcBorders>
          </w:tcPr>
          <w:p w:rsidR="009B0718" w:rsidRDefault="003E5407">
            <w:pPr>
              <w:spacing w:after="0" w:line="259" w:lineRule="auto"/>
              <w:ind w:left="24" w:firstLine="0"/>
              <w:jc w:val="left"/>
            </w:pPr>
            <w:r>
              <w:t>Zhotovitel:</w:t>
            </w:r>
          </w:p>
        </w:tc>
        <w:tc>
          <w:tcPr>
            <w:tcW w:w="6588" w:type="dxa"/>
            <w:tcBorders>
              <w:top w:val="nil"/>
              <w:left w:val="nil"/>
              <w:bottom w:val="nil"/>
              <w:right w:val="nil"/>
            </w:tcBorders>
          </w:tcPr>
          <w:p w:rsidR="009B0718" w:rsidRDefault="003E5407">
            <w:pPr>
              <w:spacing w:after="0" w:line="259" w:lineRule="auto"/>
              <w:ind w:left="14" w:firstLine="0"/>
              <w:jc w:val="left"/>
            </w:pPr>
            <w:r>
              <w:rPr>
                <w:sz w:val="24"/>
              </w:rPr>
              <w:t xml:space="preserve">Aleš </w:t>
            </w:r>
            <w:proofErr w:type="spellStart"/>
            <w:proofErr w:type="gramStart"/>
            <w:r>
              <w:rPr>
                <w:sz w:val="24"/>
              </w:rPr>
              <w:t>Häusler</w:t>
            </w:r>
            <w:proofErr w:type="spellEnd"/>
            <w:r>
              <w:rPr>
                <w:sz w:val="24"/>
              </w:rPr>
              <w:t xml:space="preserve"> - LESK</w:t>
            </w:r>
            <w:proofErr w:type="gramEnd"/>
            <w:r>
              <w:rPr>
                <w:sz w:val="24"/>
              </w:rPr>
              <w:t xml:space="preserve"> SERVIS</w:t>
            </w:r>
          </w:p>
          <w:p w:rsidR="009B0718" w:rsidRDefault="003E5407">
            <w:pPr>
              <w:spacing w:after="0" w:line="259" w:lineRule="auto"/>
              <w:ind w:left="19" w:firstLine="0"/>
              <w:jc w:val="left"/>
            </w:pPr>
            <w:r>
              <w:t>Musilova 14, 586 01 Jihlava</w:t>
            </w:r>
          </w:p>
          <w:p w:rsidR="009B0718" w:rsidRDefault="003E5407">
            <w:pPr>
              <w:spacing w:after="3" w:line="259" w:lineRule="auto"/>
              <w:ind w:left="24" w:firstLine="0"/>
              <w:jc w:val="left"/>
            </w:pPr>
            <w:r>
              <w:rPr>
                <w:rFonts w:ascii="Calibri" w:eastAsia="Calibri" w:hAnsi="Calibri" w:cs="Calibri"/>
                <w:sz w:val="20"/>
              </w:rPr>
              <w:t>ICO: 40469212</w:t>
            </w:r>
          </w:p>
          <w:p w:rsidR="009B0718" w:rsidRDefault="003E5407">
            <w:pPr>
              <w:spacing w:after="0" w:line="259" w:lineRule="auto"/>
              <w:ind w:left="24" w:firstLine="0"/>
              <w:jc w:val="left"/>
            </w:pPr>
            <w:r>
              <w:t>DIC: CZ490708076</w:t>
            </w:r>
          </w:p>
          <w:p w:rsidR="009B0718" w:rsidRDefault="003E5407">
            <w:pPr>
              <w:spacing w:after="0" w:line="259" w:lineRule="auto"/>
              <w:ind w:left="14" w:right="3563" w:firstLine="5"/>
              <w:jc w:val="left"/>
            </w:pPr>
            <w:r>
              <w:t>Bankovní spojení: KB Jihlava číslo účtu: 416240-681/01 OO</w:t>
            </w:r>
          </w:p>
        </w:tc>
      </w:tr>
      <w:tr w:rsidR="009B0718">
        <w:trPr>
          <w:trHeight w:val="238"/>
        </w:trPr>
        <w:tc>
          <w:tcPr>
            <w:tcW w:w="538" w:type="dxa"/>
            <w:tcBorders>
              <w:top w:val="nil"/>
              <w:left w:val="nil"/>
              <w:bottom w:val="nil"/>
              <w:right w:val="nil"/>
            </w:tcBorders>
          </w:tcPr>
          <w:p w:rsidR="009B0718" w:rsidRDefault="009B0718">
            <w:pPr>
              <w:spacing w:after="160" w:line="259" w:lineRule="auto"/>
              <w:ind w:left="0" w:firstLine="0"/>
              <w:jc w:val="left"/>
            </w:pPr>
          </w:p>
        </w:tc>
        <w:tc>
          <w:tcPr>
            <w:tcW w:w="1983" w:type="dxa"/>
            <w:tcBorders>
              <w:top w:val="nil"/>
              <w:left w:val="nil"/>
              <w:bottom w:val="nil"/>
              <w:right w:val="nil"/>
            </w:tcBorders>
          </w:tcPr>
          <w:p w:rsidR="009B0718" w:rsidRDefault="003E5407">
            <w:pPr>
              <w:spacing w:after="0" w:line="259" w:lineRule="auto"/>
              <w:ind w:left="10" w:firstLine="0"/>
              <w:jc w:val="left"/>
            </w:pPr>
            <w:r>
              <w:t>zastoupený:</w:t>
            </w:r>
          </w:p>
        </w:tc>
        <w:tc>
          <w:tcPr>
            <w:tcW w:w="6588" w:type="dxa"/>
            <w:tcBorders>
              <w:top w:val="nil"/>
              <w:left w:val="nil"/>
              <w:bottom w:val="nil"/>
              <w:right w:val="nil"/>
            </w:tcBorders>
          </w:tcPr>
          <w:p w:rsidR="009B0718" w:rsidRDefault="003E5407">
            <w:pPr>
              <w:spacing w:after="0" w:line="259" w:lineRule="auto"/>
              <w:ind w:left="0" w:firstLine="0"/>
            </w:pPr>
            <w:r>
              <w:t xml:space="preserve">Alešem </w:t>
            </w:r>
            <w:proofErr w:type="spellStart"/>
            <w:r>
              <w:t>Häuslerem</w:t>
            </w:r>
            <w:proofErr w:type="spellEnd"/>
            <w:r>
              <w:t xml:space="preserve"> na základě živnostenského oprávnění č. 370701-25739</w:t>
            </w:r>
          </w:p>
        </w:tc>
      </w:tr>
    </w:tbl>
    <w:p w:rsidR="009B0718" w:rsidRDefault="003E5407">
      <w:pPr>
        <w:spacing w:after="0" w:line="259" w:lineRule="auto"/>
        <w:ind w:left="86" w:firstLine="0"/>
        <w:jc w:val="center"/>
      </w:pPr>
      <w:r>
        <w:rPr>
          <w:sz w:val="36"/>
        </w:rPr>
        <w:t>čl. 2.</w:t>
      </w:r>
    </w:p>
    <w:p w:rsidR="009B0718" w:rsidRDefault="003E5407">
      <w:pPr>
        <w:spacing w:after="294" w:line="265" w:lineRule="auto"/>
        <w:ind w:left="135" w:right="24"/>
        <w:jc w:val="center"/>
      </w:pPr>
      <w:r>
        <w:rPr>
          <w:sz w:val="26"/>
        </w:rPr>
        <w:t>Předmět smlouvy</w:t>
      </w:r>
    </w:p>
    <w:p w:rsidR="009B0718" w:rsidRDefault="003E5407">
      <w:pPr>
        <w:numPr>
          <w:ilvl w:val="0"/>
          <w:numId w:val="1"/>
        </w:numPr>
        <w:spacing w:after="87"/>
        <w:ind w:right="14" w:hanging="567"/>
      </w:pPr>
      <w:r>
        <w:t xml:space="preserve">Na základě této smlouvy se zhotovitel zavazuje na svůj náklad a na své nebezpečí k provedení těchto prací </w:t>
      </w:r>
      <w:proofErr w:type="gramStart"/>
      <w:r>
        <w:t>( dále</w:t>
      </w:r>
      <w:proofErr w:type="gramEnd"/>
      <w:r>
        <w:t xml:space="preserve"> jen dílo): zajištění úklidových prací v objektu na ulici Okružní Jihlava — Klub seniorů v objektu vývařovny o celkové ploše 94 m</w:t>
      </w:r>
      <w:r>
        <w:rPr>
          <w:vertAlign w:val="superscript"/>
        </w:rPr>
        <w:t xml:space="preserve">2 </w:t>
      </w:r>
      <w:r>
        <w:t xml:space="preserve">v pracovních </w:t>
      </w:r>
      <w:r>
        <w:t>den pondělí, středa a pátek v čase od 16.00 do 21.00 hod. nebo dle potřeby Klubu. Soupis úklidových ploch, rozsah a četnost úklidových prací je přílohou č.: 1. této smlouvy.</w:t>
      </w:r>
    </w:p>
    <w:p w:rsidR="009B0718" w:rsidRDefault="003E5407">
      <w:pPr>
        <w:numPr>
          <w:ilvl w:val="0"/>
          <w:numId w:val="1"/>
        </w:numPr>
        <w:spacing w:after="89"/>
        <w:ind w:right="14" w:hanging="567"/>
      </w:pPr>
      <w:r>
        <w:lastRenderedPageBreak/>
        <w:t>Objednatel se zavazuje předávat zhotoviteli informace potřebné k zajištění činnost</w:t>
      </w:r>
      <w:r>
        <w:t>i dle článku 1. této smlouvy, je povinen umožnit zhotoviteli přístup do svých prostor za účelem provedení díla a řádně provedené výsledky činnosti převzít.</w:t>
      </w:r>
    </w:p>
    <w:p w:rsidR="009B0718" w:rsidRDefault="003E5407">
      <w:pPr>
        <w:numPr>
          <w:ilvl w:val="0"/>
          <w:numId w:val="1"/>
        </w:numPr>
        <w:spacing w:after="0"/>
        <w:ind w:right="14" w:hanging="567"/>
      </w:pPr>
      <w:r>
        <w:t>Pokud dojde k rozšíření nebo redukci smluvených prací, souhlasí smluvní strany s uzavřením odpovídaj</w:t>
      </w:r>
      <w:r>
        <w:t>ícího dodatku k této smlouvě. Toto musí být řádně projednáno oběma stranami v dostatečném předstihu.</w:t>
      </w:r>
    </w:p>
    <w:p w:rsidR="009B0718" w:rsidRDefault="003E5407">
      <w:pPr>
        <w:ind w:left="81" w:right="14"/>
      </w:pPr>
      <w:r>
        <w:rPr>
          <w:noProof/>
        </w:rPr>
        <w:drawing>
          <wp:inline distT="0" distB="0" distL="0" distR="0">
            <wp:extent cx="100625" cy="106680"/>
            <wp:effectExtent l="0" t="0" r="0" b="0"/>
            <wp:docPr id="28660" name="Picture 28660"/>
            <wp:cNvGraphicFramePr/>
            <a:graphic xmlns:a="http://schemas.openxmlformats.org/drawingml/2006/main">
              <a:graphicData uri="http://schemas.openxmlformats.org/drawingml/2006/picture">
                <pic:pic xmlns:pic="http://schemas.openxmlformats.org/drawingml/2006/picture">
                  <pic:nvPicPr>
                    <pic:cNvPr id="28660" name="Picture 28660"/>
                    <pic:cNvPicPr/>
                  </pic:nvPicPr>
                  <pic:blipFill>
                    <a:blip r:embed="rId8"/>
                    <a:stretch>
                      <a:fillRect/>
                    </a:stretch>
                  </pic:blipFill>
                  <pic:spPr>
                    <a:xfrm>
                      <a:off x="0" y="0"/>
                      <a:ext cx="100625" cy="106680"/>
                    </a:xfrm>
                    <a:prstGeom prst="rect">
                      <a:avLst/>
                    </a:prstGeom>
                  </pic:spPr>
                </pic:pic>
              </a:graphicData>
            </a:graphic>
          </wp:inline>
        </w:drawing>
      </w:r>
      <w:r w:rsidR="001D4B38">
        <w:t xml:space="preserve">   </w:t>
      </w:r>
      <w:r>
        <w:t xml:space="preserve">Další vzájemné neupravené vztahy v této smlouvě se řídí S 536 a násl. Obch. zák. a S </w:t>
      </w:r>
      <w:proofErr w:type="gramStart"/>
      <w:r>
        <w:t>631 - 643</w:t>
      </w:r>
      <w:proofErr w:type="gramEnd"/>
      <w:r>
        <w:t xml:space="preserve"> </w:t>
      </w:r>
      <w:proofErr w:type="spellStart"/>
      <w:r>
        <w:t>Obč</w:t>
      </w:r>
      <w:proofErr w:type="spellEnd"/>
      <w:r>
        <w:t>. zák.</w:t>
      </w:r>
    </w:p>
    <w:p w:rsidR="009B0718" w:rsidRDefault="003E5407">
      <w:pPr>
        <w:pStyle w:val="Nadpis1"/>
        <w:ind w:left="130" w:right="120"/>
      </w:pPr>
      <w:r>
        <w:t>čl. 3</w:t>
      </w:r>
    </w:p>
    <w:p w:rsidR="009B0718" w:rsidRDefault="003E5407">
      <w:pPr>
        <w:spacing w:after="249" w:line="265" w:lineRule="auto"/>
        <w:ind w:left="135" w:right="115"/>
        <w:jc w:val="center"/>
      </w:pPr>
      <w:r>
        <w:rPr>
          <w:sz w:val="26"/>
        </w:rPr>
        <w:t>Doba plnění</w:t>
      </w:r>
    </w:p>
    <w:p w:rsidR="009B0718" w:rsidRDefault="003E5407">
      <w:pPr>
        <w:ind w:left="618" w:right="14" w:hanging="547"/>
      </w:pPr>
      <w:proofErr w:type="gramStart"/>
      <w:r>
        <w:rPr>
          <w:rFonts w:ascii="Calibri" w:eastAsia="Calibri" w:hAnsi="Calibri" w:cs="Calibri"/>
        </w:rPr>
        <w:t>1 .</w:t>
      </w:r>
      <w:proofErr w:type="gramEnd"/>
      <w:r>
        <w:rPr>
          <w:rFonts w:ascii="Calibri" w:eastAsia="Calibri" w:hAnsi="Calibri" w:cs="Calibri"/>
        </w:rPr>
        <w:t xml:space="preserve"> </w:t>
      </w:r>
      <w:r>
        <w:t xml:space="preserve">Tato smlouva nabývá účinnosti dne 1.7.2014 na dobu neurčitou a lze jí písemně vypovědět s tříměsíční výpovědní lhůtou, eventuálně při závažném porušení povinností lze jednostranné s okamžitou platností od smlouvy odstoupit </w:t>
      </w:r>
      <w:r>
        <w:t>Výpovědní lhůta začne běžet od p</w:t>
      </w:r>
      <w:r>
        <w:t>rvního dne měsíce následujícího po doručení písemné výpovědi druhé straně.</w:t>
      </w:r>
    </w:p>
    <w:p w:rsidR="009B0718" w:rsidRDefault="003E5407">
      <w:pPr>
        <w:spacing w:after="735"/>
        <w:ind w:left="638" w:right="14" w:hanging="567"/>
      </w:pPr>
      <w:r>
        <w:rPr>
          <w:rFonts w:ascii="Calibri" w:eastAsia="Calibri" w:hAnsi="Calibri" w:cs="Calibri"/>
        </w:rPr>
        <w:t xml:space="preserve">2. </w:t>
      </w:r>
      <w:r>
        <w:t>Zhotovitel považuje za závažné porušení povinností opakované prodlení placení oprávněně fakturované smluvní ceny.</w:t>
      </w:r>
    </w:p>
    <w:p w:rsidR="009B0718" w:rsidRDefault="003E5407">
      <w:pPr>
        <w:spacing w:after="433" w:line="265" w:lineRule="auto"/>
        <w:ind w:left="135" w:right="120"/>
        <w:jc w:val="center"/>
      </w:pPr>
      <w:r>
        <w:rPr>
          <w:sz w:val="26"/>
        </w:rPr>
        <w:t>Způsob a podmínky provedení díla</w:t>
      </w:r>
    </w:p>
    <w:p w:rsidR="009B0718" w:rsidRDefault="003E5407">
      <w:pPr>
        <w:spacing w:after="0"/>
        <w:ind w:left="623" w:right="14" w:hanging="552"/>
      </w:pPr>
      <w:proofErr w:type="gramStart"/>
      <w:r>
        <w:rPr>
          <w:rFonts w:ascii="Calibri" w:eastAsia="Calibri" w:hAnsi="Calibri" w:cs="Calibri"/>
        </w:rPr>
        <w:t>1 .</w:t>
      </w:r>
      <w:proofErr w:type="gramEnd"/>
      <w:r>
        <w:rPr>
          <w:rFonts w:ascii="Calibri" w:eastAsia="Calibri" w:hAnsi="Calibri" w:cs="Calibri"/>
        </w:rPr>
        <w:t xml:space="preserve"> </w:t>
      </w:r>
      <w:r>
        <w:t>Dílo bude provedeno v dohodnutém režimu. Za tím účelem objednatel zajistí zpřístupnění úklidových prostor</w:t>
      </w:r>
      <w:r>
        <w:t xml:space="preserve"> a zařízení, která jsou předmětem této smlouvy, zaměstnancům firmy Aleš </w:t>
      </w:r>
      <w:proofErr w:type="spellStart"/>
      <w:r>
        <w:t>Häusler</w:t>
      </w:r>
      <w:proofErr w:type="spellEnd"/>
      <w:r>
        <w:t xml:space="preserve"> v pracovních dnech od 16.00 - 21.00 hod. dnem uzavření této smlouvy.</w:t>
      </w:r>
    </w:p>
    <w:p w:rsidR="009B0718" w:rsidRDefault="003E5407">
      <w:pPr>
        <w:numPr>
          <w:ilvl w:val="0"/>
          <w:numId w:val="2"/>
        </w:numPr>
        <w:spacing w:after="0"/>
        <w:ind w:left="647" w:right="14" w:hanging="576"/>
      </w:pPr>
      <w:r>
        <w:t>Zhotovitel se zavazuje, že nebude zaměstnávat cizí státní příslušníky, zaručí bezúhonnost osob pověřených ú</w:t>
      </w:r>
      <w:r>
        <w:t>klidem a bude respektovat režimové vstupy do objektů objednavatele.</w:t>
      </w:r>
    </w:p>
    <w:p w:rsidR="009B0718" w:rsidRDefault="003E5407">
      <w:pPr>
        <w:numPr>
          <w:ilvl w:val="0"/>
          <w:numId w:val="2"/>
        </w:numPr>
        <w:ind w:left="647" w:right="14" w:hanging="576"/>
      </w:pPr>
      <w:r>
        <w:t>Objednatel umožní ve svých objektech zhotoviteli uložení čistících prostředků a nástrojů na uzamykatelném místě (úklidová komora) a dále poskytne místnosti pro převlékání personálu, event.</w:t>
      </w:r>
      <w:r>
        <w:t xml:space="preserve"> uzamykatelné skříňky pro zaměstnance. Objednatel poskytne příruční sklad na skladování úklidového materiálu (min. na jednu měsíční spotřebu).</w:t>
      </w:r>
    </w:p>
    <w:p w:rsidR="009B0718" w:rsidRDefault="003E5407">
      <w:pPr>
        <w:numPr>
          <w:ilvl w:val="0"/>
          <w:numId w:val="2"/>
        </w:numPr>
        <w:ind w:left="647" w:right="14" w:hanging="576"/>
      </w:pPr>
      <w:r>
        <w:t>Při provádění díla odpovídá zhotovitel objednateli za:</w:t>
      </w:r>
    </w:p>
    <w:p w:rsidR="009B0718" w:rsidRDefault="003E5407">
      <w:pPr>
        <w:numPr>
          <w:ilvl w:val="1"/>
          <w:numId w:val="2"/>
        </w:numPr>
        <w:ind w:right="14" w:hanging="283"/>
      </w:pPr>
      <w:r>
        <w:t>splnění dohodnutého rozsahu a termínu díla</w:t>
      </w:r>
    </w:p>
    <w:p w:rsidR="009B0718" w:rsidRDefault="003E5407">
      <w:pPr>
        <w:numPr>
          <w:ilvl w:val="1"/>
          <w:numId w:val="2"/>
        </w:numPr>
        <w:ind w:right="14" w:hanging="283"/>
      </w:pPr>
      <w:r>
        <w:t>kvalitu prací a</w:t>
      </w:r>
      <w:r>
        <w:t xml:space="preserve"> jejich odbornost</w:t>
      </w:r>
    </w:p>
    <w:p w:rsidR="009B0718" w:rsidRDefault="003E5407">
      <w:pPr>
        <w:numPr>
          <w:ilvl w:val="1"/>
          <w:numId w:val="2"/>
        </w:numPr>
        <w:spacing w:after="0"/>
        <w:ind w:right="14" w:hanging="283"/>
      </w:pPr>
      <w:r>
        <w:t>oznámení závad a škod zjištěných zhotovitelem při provádění díla pověřeným zaměstnancům způsobenou na majetku objednatele při zajišťování úklidových služeb a její odstranění na své náklady</w:t>
      </w:r>
    </w:p>
    <w:p w:rsidR="009B0718" w:rsidRDefault="003E5407">
      <w:pPr>
        <w:numPr>
          <w:ilvl w:val="1"/>
          <w:numId w:val="3"/>
        </w:numPr>
        <w:spacing w:after="0"/>
        <w:ind w:right="14" w:hanging="288"/>
      </w:pPr>
      <w:r>
        <w:t xml:space="preserve">dodržování platných organizačních a řídících norem vztahujících se </w:t>
      </w:r>
      <w:r>
        <w:t xml:space="preserve">při výkonu díla na zaměstnance </w:t>
      </w:r>
      <w:proofErr w:type="spellStart"/>
      <w:proofErr w:type="gramStart"/>
      <w:r>
        <w:t>zhotovitele.Pro</w:t>
      </w:r>
      <w:proofErr w:type="spellEnd"/>
      <w:proofErr w:type="gramEnd"/>
      <w:r>
        <w:t xml:space="preserve"> tento účel předá objednatel zhotoviteli potřebné podklady, příp. mu na požádání poskytne potřebné informace a konzultace.</w:t>
      </w:r>
    </w:p>
    <w:p w:rsidR="009B0718" w:rsidRDefault="003E5407">
      <w:pPr>
        <w:numPr>
          <w:ilvl w:val="1"/>
          <w:numId w:val="3"/>
        </w:numPr>
        <w:spacing w:after="56"/>
        <w:ind w:right="14" w:hanging="288"/>
      </w:pPr>
      <w:r>
        <w:t>veškerou škodu způsobenou objednavateli v souvislosti s plněním této smlouvy o dílo, ze</w:t>
      </w:r>
      <w:r>
        <w:t>jména škodu na majetku objednavatele</w:t>
      </w:r>
    </w:p>
    <w:p w:rsidR="009B0718" w:rsidRDefault="003E5407">
      <w:pPr>
        <w:numPr>
          <w:ilvl w:val="0"/>
          <w:numId w:val="2"/>
        </w:numPr>
        <w:spacing w:after="0"/>
        <w:ind w:left="647" w:right="14" w:hanging="576"/>
      </w:pPr>
      <w:r>
        <w:t xml:space="preserve">Zhotovitel se zavazuje, že bude dodržovat povinnosti vyplývající ze zák. ČNR č. 133/85 Sb. a provádění </w:t>
      </w:r>
      <w:proofErr w:type="spellStart"/>
      <w:r>
        <w:t>vyhl</w:t>
      </w:r>
      <w:proofErr w:type="spellEnd"/>
      <w:r>
        <w:t>. MV. ČR č. 21/96 Sb. o požární ochraně a obecné závazné právní předpisy o bezpečnosti a ochraně zdraví při prác</w:t>
      </w:r>
      <w:r>
        <w:t xml:space="preserve">i, </w:t>
      </w:r>
      <w:proofErr w:type="spellStart"/>
      <w:r>
        <w:t>vyhl</w:t>
      </w:r>
      <w:proofErr w:type="spellEnd"/>
      <w:r>
        <w:t xml:space="preserve">. ČUBP a CBIJ č. 110/75 Sb. a 274/90 Sb. o evidenci a registraci </w:t>
      </w:r>
      <w:r>
        <w:lastRenderedPageBreak/>
        <w:t xml:space="preserve">pracovních úrazů, </w:t>
      </w:r>
      <w:proofErr w:type="spellStart"/>
      <w:r>
        <w:t>vyhl</w:t>
      </w:r>
      <w:proofErr w:type="spellEnd"/>
      <w:r>
        <w:t xml:space="preserve">. č. 48/82 </w:t>
      </w:r>
      <w:proofErr w:type="spellStart"/>
      <w:r>
        <w:t>Sb</w:t>
      </w:r>
      <w:proofErr w:type="spellEnd"/>
      <w:r>
        <w:t xml:space="preserve"> a S 9 </w:t>
      </w:r>
      <w:proofErr w:type="spellStart"/>
      <w:r>
        <w:t>vyhl</w:t>
      </w:r>
      <w:proofErr w:type="spellEnd"/>
      <w:r>
        <w:t xml:space="preserve">. č. 207/92 </w:t>
      </w:r>
      <w:proofErr w:type="spellStart"/>
      <w:r>
        <w:t>Sb</w:t>
      </w:r>
      <w:proofErr w:type="spellEnd"/>
      <w:r>
        <w:t xml:space="preserve"> o hygienických požadavcích na provoz zdravotnických zařízení.</w:t>
      </w:r>
    </w:p>
    <w:p w:rsidR="009B0718" w:rsidRDefault="003E5407">
      <w:pPr>
        <w:numPr>
          <w:ilvl w:val="0"/>
          <w:numId w:val="2"/>
        </w:numPr>
        <w:spacing w:after="69"/>
        <w:ind w:left="647" w:right="14" w:hanging="576"/>
      </w:pPr>
      <w:r>
        <w:t>Zhotovitel zajistí, že jím pověřené osoby nebudou využívat ja</w:t>
      </w:r>
      <w:r>
        <w:t xml:space="preserve">kékoliv technické zařízení zhotovitele v uklízených prostorách </w:t>
      </w:r>
      <w:proofErr w:type="gramStart"/>
      <w:r>
        <w:t>( PC</w:t>
      </w:r>
      <w:proofErr w:type="gramEnd"/>
      <w:r>
        <w:t>, telefonní aparáty, rozmnožovací techniku) pro soukromou potřebu s výjimkou použití telefonu v případě ohrožení zdraví, života nebo majetku Pečovatelské služby, nebudou pořizovat kopie klí</w:t>
      </w:r>
      <w:r>
        <w:t>čů od svěřených prostor a nebudou vpouštět cizí osoby (včetně rodinných příslušníků úklidem pověřených osob) do prostor objednatele.</w:t>
      </w:r>
    </w:p>
    <w:p w:rsidR="009B0718" w:rsidRDefault="003E5407">
      <w:pPr>
        <w:numPr>
          <w:ilvl w:val="0"/>
          <w:numId w:val="2"/>
        </w:numPr>
        <w:ind w:left="647" w:right="14" w:hanging="576"/>
      </w:pPr>
      <w:r>
        <w:t xml:space="preserve">Zaměstnanci zhotovitele nejsou oprávněni číst dokumenty, odnášet dokumenty, zařízení nebo jiný majetek Pečovatelské služby </w:t>
      </w:r>
      <w:r>
        <w:t>s výjimkou obsahu košů na odpadky. Zaměstnanci zhotovitele nejsou oprávněni pořizovat jakékoliv kopie dokumentů, či jejich záznamy a přepisy, ani nejsou oprávněni pořizovat obrazové záznamy prostor objednavatele.</w:t>
      </w:r>
    </w:p>
    <w:p w:rsidR="009B0718" w:rsidRDefault="003E5407">
      <w:pPr>
        <w:numPr>
          <w:ilvl w:val="0"/>
          <w:numId w:val="2"/>
        </w:numPr>
        <w:spacing w:after="64"/>
        <w:ind w:left="647" w:right="14" w:hanging="576"/>
      </w:pPr>
      <w:r>
        <w:t xml:space="preserve">Klíče od úklidových prostor a místností má </w:t>
      </w:r>
      <w:r>
        <w:t>v držení úklidová firma a po provedení úklidu jsou zaměstnanci zhotovitele povinni jednotlivé prostory (</w:t>
      </w:r>
      <w:proofErr w:type="gramStart"/>
      <w:r>
        <w:t>místnosti )</w:t>
      </w:r>
      <w:proofErr w:type="gramEnd"/>
      <w:r>
        <w:t xml:space="preserve"> uzamknout a nesmí umožnit vstup jiným osobám ani půjčovat klíče po ukončení úklidu, v případě kódovacího zařízení vždy objekt před opuštěním</w:t>
      </w:r>
      <w:r>
        <w:t xml:space="preserve"> zakódovat. Zhotovitel bude provádět kontrolu úklidových prací nejméně 2 x za měsíc v nepravidelném čase, ale vždy při provádění úklidu pověřeným provozním pracovníkem zhotovitele.</w:t>
      </w:r>
    </w:p>
    <w:p w:rsidR="009B0718" w:rsidRDefault="003E5407">
      <w:pPr>
        <w:numPr>
          <w:ilvl w:val="0"/>
          <w:numId w:val="2"/>
        </w:numPr>
        <w:ind w:left="647" w:right="14" w:hanging="576"/>
      </w:pPr>
      <w:r>
        <w:t xml:space="preserve">V </w:t>
      </w:r>
      <w:proofErr w:type="spellStart"/>
      <w:r>
        <w:t>cené</w:t>
      </w:r>
      <w:proofErr w:type="spellEnd"/>
      <w:r>
        <w:t xml:space="preserve"> díla jsou zahrnuty veškeré náklady zhotovitele (úklidové přípravy a </w:t>
      </w:r>
      <w:r>
        <w:t>prostředky, jakož i režie a zisk firmy).</w:t>
      </w:r>
    </w:p>
    <w:p w:rsidR="009B0718" w:rsidRDefault="003E5407">
      <w:pPr>
        <w:numPr>
          <w:ilvl w:val="0"/>
          <w:numId w:val="2"/>
        </w:numPr>
        <w:spacing w:after="0"/>
        <w:ind w:left="647" w:right="14" w:hanging="576"/>
      </w:pPr>
      <w:r>
        <w:t>Zhotovitel se zavazuje, že prostory sloužící výhradně pro účely firmy (šatny, sklady na úklidovou techniku atd.) bude udržovat v řádném stavu a vždy zamčené.</w:t>
      </w:r>
    </w:p>
    <w:p w:rsidR="009B0718" w:rsidRDefault="003E5407">
      <w:pPr>
        <w:tabs>
          <w:tab w:val="center" w:pos="4703"/>
        </w:tabs>
        <w:ind w:left="0" w:firstLine="0"/>
        <w:jc w:val="left"/>
      </w:pPr>
      <w:r>
        <w:rPr>
          <w:rFonts w:ascii="Calibri" w:eastAsia="Calibri" w:hAnsi="Calibri" w:cs="Calibri"/>
        </w:rPr>
        <w:t xml:space="preserve">1 </w:t>
      </w:r>
      <w:proofErr w:type="gramStart"/>
      <w:r>
        <w:rPr>
          <w:rFonts w:ascii="Calibri" w:eastAsia="Calibri" w:hAnsi="Calibri" w:cs="Calibri"/>
        </w:rPr>
        <w:t>1 .</w:t>
      </w:r>
      <w:proofErr w:type="gramEnd"/>
      <w:r>
        <w:rPr>
          <w:rFonts w:ascii="Calibri" w:eastAsia="Calibri" w:hAnsi="Calibri" w:cs="Calibri"/>
        </w:rPr>
        <w:tab/>
      </w:r>
      <w:r>
        <w:t>Objednatel seznámí pracovníky zhotovitele s provozn</w:t>
      </w:r>
      <w:r>
        <w:t xml:space="preserve">ím řádem objektu Pečovatelské </w:t>
      </w:r>
      <w:proofErr w:type="gramStart"/>
      <w:r>
        <w:t>služby .</w:t>
      </w:r>
      <w:proofErr w:type="gramEnd"/>
    </w:p>
    <w:p w:rsidR="009B0718" w:rsidRDefault="003E5407">
      <w:pPr>
        <w:ind w:left="623" w:right="14" w:hanging="552"/>
      </w:pPr>
      <w:r>
        <w:rPr>
          <w:rFonts w:ascii="Calibri" w:eastAsia="Calibri" w:hAnsi="Calibri" w:cs="Calibri"/>
        </w:rPr>
        <w:t xml:space="preserve">12. </w:t>
      </w:r>
      <w:r>
        <w:t xml:space="preserve">Nad rámec úklidových prací bude firma Aleš </w:t>
      </w:r>
      <w:proofErr w:type="spellStart"/>
      <w:r>
        <w:t>Häusler</w:t>
      </w:r>
      <w:proofErr w:type="spellEnd"/>
      <w:r>
        <w:t>, bez zvýšení ceny za m</w:t>
      </w:r>
      <w:r>
        <w:rPr>
          <w:vertAlign w:val="superscript"/>
        </w:rPr>
        <w:t>2</w:t>
      </w:r>
      <w:r>
        <w:t>/měsíc, dodávat do odpadových košů mikrotenové vložky.</w:t>
      </w:r>
    </w:p>
    <w:p w:rsidR="009B0718" w:rsidRDefault="003E5407">
      <w:pPr>
        <w:spacing w:after="78"/>
        <w:ind w:left="628" w:right="14" w:hanging="557"/>
      </w:pPr>
      <w:r>
        <w:rPr>
          <w:rFonts w:ascii="Calibri" w:eastAsia="Calibri" w:hAnsi="Calibri" w:cs="Calibri"/>
        </w:rPr>
        <w:t xml:space="preserve">1 3. </w:t>
      </w:r>
      <w:r>
        <w:t>Úklid po malířích, větších stavebních úpravách, mytí stropních osvětlovacích těles, praní záclon a další práce dle přání objednatele atd. by byl řešen zvláštní objednávkou zadavatele, v hodinové sazbě 150,- Kč.</w:t>
      </w:r>
    </w:p>
    <w:p w:rsidR="009B0718" w:rsidRDefault="003E5407">
      <w:pPr>
        <w:numPr>
          <w:ilvl w:val="0"/>
          <w:numId w:val="4"/>
        </w:numPr>
        <w:ind w:right="14" w:hanging="557"/>
      </w:pPr>
      <w:r>
        <w:t>LESK SERVIS zajistí třídění odpadů dle požada</w:t>
      </w:r>
      <w:r>
        <w:t>vku objednatele a jeho ukládání na vyhrazená místa. Likvidaci odpadu zajistí objednatel sám.</w:t>
      </w:r>
    </w:p>
    <w:p w:rsidR="009B0718" w:rsidRDefault="003E5407">
      <w:pPr>
        <w:numPr>
          <w:ilvl w:val="0"/>
          <w:numId w:val="4"/>
        </w:numPr>
        <w:spacing w:after="57"/>
        <w:ind w:right="14" w:hanging="557"/>
      </w:pPr>
      <w:r>
        <w:t xml:space="preserve">Likvidace odpadu vzniklého při provádění úklidu (prázdné obaly od čistících prostředků a další odpadový materiál, který vznikne činností úklidových prací) zajistí </w:t>
      </w:r>
      <w:r>
        <w:t>objednavatel na jeho náklady.</w:t>
      </w:r>
    </w:p>
    <w:p w:rsidR="009B0718" w:rsidRDefault="003E5407">
      <w:pPr>
        <w:numPr>
          <w:ilvl w:val="0"/>
          <w:numId w:val="4"/>
        </w:numPr>
        <w:spacing w:after="0"/>
        <w:ind w:right="14" w:hanging="557"/>
      </w:pPr>
      <w:r>
        <w:t>Veškeré přípravky, které budou použity k úklidu budou dokladovány atesty nezávadnosti a testy hlavního hygienika ČR.</w:t>
      </w:r>
    </w:p>
    <w:p w:rsidR="009B0718" w:rsidRDefault="003E5407">
      <w:pPr>
        <w:numPr>
          <w:ilvl w:val="0"/>
          <w:numId w:val="4"/>
        </w:numPr>
        <w:ind w:right="14" w:hanging="557"/>
      </w:pPr>
      <w:r>
        <w:t>Objednavatel určí (ekologem) před zahájením úklidových prací místo kam se budou vypouštět odpadové vody vznik</w:t>
      </w:r>
      <w:r>
        <w:t>lé při provádění úklidu.</w:t>
      </w:r>
    </w:p>
    <w:p w:rsidR="009B0718" w:rsidRDefault="003E5407">
      <w:pPr>
        <w:ind w:left="644" w:right="14"/>
      </w:pPr>
      <w:r>
        <w:t>Odpadové vody z úklidu máme zatříděny do tří skupin:</w:t>
      </w:r>
    </w:p>
    <w:p w:rsidR="009B0718" w:rsidRDefault="003E5407">
      <w:pPr>
        <w:numPr>
          <w:ilvl w:val="1"/>
          <w:numId w:val="4"/>
        </w:numPr>
        <w:ind w:right="14" w:hanging="365"/>
      </w:pPr>
      <w:r>
        <w:t>skupina — běžný úklid (kanceláře, schodiště, vestibuly, chodby atd.)</w:t>
      </w:r>
    </w:p>
    <w:p w:rsidR="009B0718" w:rsidRDefault="003E5407">
      <w:pPr>
        <w:numPr>
          <w:ilvl w:val="1"/>
          <w:numId w:val="4"/>
        </w:numPr>
        <w:ind w:right="14" w:hanging="365"/>
      </w:pPr>
      <w:r>
        <w:t>skupina — úklid soc. zařízení s použitím dezinfekčních přípravků</w:t>
      </w:r>
    </w:p>
    <w:p w:rsidR="009B0718" w:rsidRDefault="003E5407">
      <w:pPr>
        <w:numPr>
          <w:ilvl w:val="1"/>
          <w:numId w:val="4"/>
        </w:numPr>
        <w:ind w:right="14" w:hanging="365"/>
      </w:pPr>
      <w:r>
        <w:t>skupina — úklid výrobních hal a silně znečiš</w:t>
      </w:r>
      <w:r>
        <w:t>těných provozů ropnými látkami.</w:t>
      </w:r>
    </w:p>
    <w:p w:rsidR="009B0718" w:rsidRDefault="003E5407">
      <w:pPr>
        <w:numPr>
          <w:ilvl w:val="0"/>
          <w:numId w:val="4"/>
        </w:numPr>
        <w:spacing w:after="742"/>
        <w:ind w:right="14" w:hanging="557"/>
      </w:pPr>
      <w:r>
        <w:t>Objednavatel umožní zhotoviteli vjezd do areálu na nezbytně nutnou dobu pro zásobování pracovišť.</w:t>
      </w:r>
    </w:p>
    <w:p w:rsidR="009B0718" w:rsidRDefault="003E5407">
      <w:pPr>
        <w:pStyle w:val="Nadpis1"/>
        <w:ind w:left="130"/>
      </w:pPr>
      <w:r>
        <w:lastRenderedPageBreak/>
        <w:t>čl. 5</w:t>
      </w:r>
    </w:p>
    <w:p w:rsidR="009B0718" w:rsidRDefault="003E5407">
      <w:pPr>
        <w:spacing w:after="142" w:line="265" w:lineRule="auto"/>
        <w:ind w:left="135"/>
        <w:jc w:val="center"/>
      </w:pPr>
      <w:r>
        <w:rPr>
          <w:sz w:val="26"/>
        </w:rPr>
        <w:t>Cena plnění a platební podmínky</w:t>
      </w:r>
    </w:p>
    <w:tbl>
      <w:tblPr>
        <w:tblStyle w:val="TableGrid"/>
        <w:tblW w:w="9465" w:type="dxa"/>
        <w:tblInd w:w="77" w:type="dxa"/>
        <w:tblCellMar>
          <w:top w:w="0" w:type="dxa"/>
          <w:left w:w="0" w:type="dxa"/>
          <w:bottom w:w="0" w:type="dxa"/>
          <w:right w:w="0" w:type="dxa"/>
        </w:tblCellMar>
        <w:tblLook w:val="04A0" w:firstRow="1" w:lastRow="0" w:firstColumn="1" w:lastColumn="0" w:noHBand="0" w:noVBand="1"/>
      </w:tblPr>
      <w:tblGrid>
        <w:gridCol w:w="519"/>
        <w:gridCol w:w="6339"/>
        <w:gridCol w:w="2607"/>
      </w:tblGrid>
      <w:tr w:rsidR="009B0718">
        <w:trPr>
          <w:trHeight w:val="266"/>
        </w:trPr>
        <w:tc>
          <w:tcPr>
            <w:tcW w:w="519" w:type="dxa"/>
            <w:tcBorders>
              <w:top w:val="nil"/>
              <w:left w:val="nil"/>
              <w:bottom w:val="nil"/>
              <w:right w:val="nil"/>
            </w:tcBorders>
          </w:tcPr>
          <w:p w:rsidR="009B0718" w:rsidRDefault="003E5407">
            <w:pPr>
              <w:spacing w:after="0" w:line="259" w:lineRule="auto"/>
              <w:ind w:left="19" w:firstLine="0"/>
              <w:jc w:val="left"/>
            </w:pPr>
            <w:proofErr w:type="gramStart"/>
            <w:r>
              <w:rPr>
                <w:rFonts w:ascii="Calibri" w:eastAsia="Calibri" w:hAnsi="Calibri" w:cs="Calibri"/>
                <w:sz w:val="24"/>
              </w:rPr>
              <w:t>1 .</w:t>
            </w:r>
            <w:proofErr w:type="gramEnd"/>
          </w:p>
        </w:tc>
        <w:tc>
          <w:tcPr>
            <w:tcW w:w="6339" w:type="dxa"/>
            <w:tcBorders>
              <w:top w:val="nil"/>
              <w:left w:val="nil"/>
              <w:bottom w:val="nil"/>
              <w:right w:val="nil"/>
            </w:tcBorders>
          </w:tcPr>
          <w:p w:rsidR="009B0718" w:rsidRDefault="003E5407">
            <w:pPr>
              <w:spacing w:after="0" w:line="259" w:lineRule="auto"/>
              <w:ind w:left="48" w:firstLine="0"/>
              <w:jc w:val="left"/>
            </w:pPr>
            <w:r>
              <w:t>Cena je stanovena dohodou podle zák. č. 526/90 Sb. o cenách.</w:t>
            </w:r>
          </w:p>
        </w:tc>
        <w:tc>
          <w:tcPr>
            <w:tcW w:w="2607" w:type="dxa"/>
            <w:tcBorders>
              <w:top w:val="nil"/>
              <w:left w:val="nil"/>
              <w:bottom w:val="nil"/>
              <w:right w:val="nil"/>
            </w:tcBorders>
          </w:tcPr>
          <w:p w:rsidR="009B0718" w:rsidRDefault="009B0718">
            <w:pPr>
              <w:spacing w:after="160" w:line="259" w:lineRule="auto"/>
              <w:ind w:left="0" w:firstLine="0"/>
              <w:jc w:val="left"/>
            </w:pPr>
          </w:p>
        </w:tc>
      </w:tr>
      <w:tr w:rsidR="009B0718">
        <w:trPr>
          <w:trHeight w:val="245"/>
        </w:trPr>
        <w:tc>
          <w:tcPr>
            <w:tcW w:w="519" w:type="dxa"/>
            <w:tcBorders>
              <w:top w:val="nil"/>
              <w:left w:val="nil"/>
              <w:bottom w:val="nil"/>
              <w:right w:val="nil"/>
            </w:tcBorders>
          </w:tcPr>
          <w:p w:rsidR="009B0718" w:rsidRDefault="003E5407">
            <w:pPr>
              <w:spacing w:after="0" w:line="259" w:lineRule="auto"/>
              <w:ind w:left="0" w:firstLine="0"/>
              <w:jc w:val="left"/>
            </w:pPr>
            <w:r>
              <w:rPr>
                <w:rFonts w:ascii="Calibri" w:eastAsia="Calibri" w:hAnsi="Calibri" w:cs="Calibri"/>
              </w:rPr>
              <w:t>2.</w:t>
            </w:r>
          </w:p>
        </w:tc>
        <w:tc>
          <w:tcPr>
            <w:tcW w:w="6339" w:type="dxa"/>
            <w:tcBorders>
              <w:top w:val="nil"/>
              <w:left w:val="nil"/>
              <w:bottom w:val="nil"/>
              <w:right w:val="nil"/>
            </w:tcBorders>
          </w:tcPr>
          <w:p w:rsidR="009B0718" w:rsidRDefault="003E5407">
            <w:pPr>
              <w:spacing w:after="0" w:line="259" w:lineRule="auto"/>
              <w:ind w:left="48" w:firstLine="0"/>
              <w:jc w:val="left"/>
            </w:pPr>
            <w:r>
              <w:t>Cena díla je stanovena mezi smluvními stranami dohodou a činí</w:t>
            </w:r>
          </w:p>
        </w:tc>
        <w:tc>
          <w:tcPr>
            <w:tcW w:w="2607" w:type="dxa"/>
            <w:tcBorders>
              <w:top w:val="nil"/>
              <w:left w:val="nil"/>
              <w:bottom w:val="nil"/>
              <w:right w:val="nil"/>
            </w:tcBorders>
          </w:tcPr>
          <w:p w:rsidR="009B0718" w:rsidRDefault="003E5407">
            <w:pPr>
              <w:spacing w:after="0" w:line="259" w:lineRule="auto"/>
              <w:ind w:left="0" w:right="110" w:firstLine="0"/>
              <w:jc w:val="center"/>
            </w:pPr>
            <w:r>
              <w:t>2052,00 Kč</w:t>
            </w:r>
          </w:p>
        </w:tc>
      </w:tr>
      <w:tr w:rsidR="009B0718">
        <w:trPr>
          <w:trHeight w:val="208"/>
        </w:trPr>
        <w:tc>
          <w:tcPr>
            <w:tcW w:w="519" w:type="dxa"/>
            <w:tcBorders>
              <w:top w:val="nil"/>
              <w:left w:val="nil"/>
              <w:bottom w:val="nil"/>
              <w:right w:val="nil"/>
            </w:tcBorders>
          </w:tcPr>
          <w:p w:rsidR="009B0718" w:rsidRDefault="009B0718">
            <w:pPr>
              <w:spacing w:after="160" w:line="259" w:lineRule="auto"/>
              <w:ind w:left="0" w:firstLine="0"/>
              <w:jc w:val="left"/>
            </w:pPr>
          </w:p>
        </w:tc>
        <w:tc>
          <w:tcPr>
            <w:tcW w:w="6339" w:type="dxa"/>
            <w:tcBorders>
              <w:top w:val="nil"/>
              <w:left w:val="nil"/>
              <w:bottom w:val="nil"/>
              <w:right w:val="nil"/>
            </w:tcBorders>
          </w:tcPr>
          <w:p w:rsidR="009B0718" w:rsidRDefault="003E5407">
            <w:pPr>
              <w:spacing w:after="0" w:line="259" w:lineRule="auto"/>
              <w:ind w:left="53" w:firstLine="0"/>
              <w:jc w:val="left"/>
            </w:pPr>
            <w:r>
              <w:rPr>
                <w:sz w:val="26"/>
              </w:rPr>
              <w:t xml:space="preserve">DPH </w:t>
            </w:r>
            <w:proofErr w:type="gramStart"/>
            <w:r>
              <w:rPr>
                <w:sz w:val="26"/>
              </w:rPr>
              <w:t>21%</w:t>
            </w:r>
            <w:proofErr w:type="gramEnd"/>
          </w:p>
        </w:tc>
        <w:tc>
          <w:tcPr>
            <w:tcW w:w="2607" w:type="dxa"/>
            <w:tcBorders>
              <w:top w:val="nil"/>
              <w:left w:val="nil"/>
              <w:bottom w:val="nil"/>
              <w:right w:val="nil"/>
            </w:tcBorders>
          </w:tcPr>
          <w:p w:rsidR="009B0718" w:rsidRDefault="003E5407">
            <w:pPr>
              <w:spacing w:after="0" w:line="259" w:lineRule="auto"/>
              <w:ind w:left="5" w:firstLine="0"/>
              <w:jc w:val="center"/>
            </w:pPr>
            <w:r>
              <w:rPr>
                <w:sz w:val="20"/>
                <w:u w:val="single" w:color="000000"/>
              </w:rPr>
              <w:t>431 OO Kč</w:t>
            </w:r>
          </w:p>
        </w:tc>
      </w:tr>
      <w:tr w:rsidR="009B0718">
        <w:trPr>
          <w:trHeight w:val="207"/>
        </w:trPr>
        <w:tc>
          <w:tcPr>
            <w:tcW w:w="519" w:type="dxa"/>
            <w:tcBorders>
              <w:top w:val="nil"/>
              <w:left w:val="nil"/>
              <w:bottom w:val="nil"/>
              <w:right w:val="nil"/>
            </w:tcBorders>
          </w:tcPr>
          <w:p w:rsidR="009B0718" w:rsidRDefault="009B0718">
            <w:pPr>
              <w:spacing w:after="160" w:line="259" w:lineRule="auto"/>
              <w:ind w:left="0" w:firstLine="0"/>
              <w:jc w:val="left"/>
            </w:pPr>
          </w:p>
        </w:tc>
        <w:tc>
          <w:tcPr>
            <w:tcW w:w="6339" w:type="dxa"/>
            <w:tcBorders>
              <w:top w:val="nil"/>
              <w:left w:val="nil"/>
              <w:bottom w:val="nil"/>
              <w:right w:val="nil"/>
            </w:tcBorders>
          </w:tcPr>
          <w:p w:rsidR="009B0718" w:rsidRDefault="003E5407">
            <w:pPr>
              <w:spacing w:after="0" w:line="259" w:lineRule="auto"/>
              <w:ind w:left="48" w:firstLine="0"/>
              <w:jc w:val="left"/>
            </w:pPr>
            <w:r>
              <w:rPr>
                <w:sz w:val="24"/>
              </w:rPr>
              <w:t>Celková cena za měsíc</w:t>
            </w:r>
          </w:p>
        </w:tc>
        <w:tc>
          <w:tcPr>
            <w:tcW w:w="2607" w:type="dxa"/>
            <w:tcBorders>
              <w:top w:val="nil"/>
              <w:left w:val="nil"/>
              <w:bottom w:val="nil"/>
              <w:right w:val="nil"/>
            </w:tcBorders>
          </w:tcPr>
          <w:p w:rsidR="009B0718" w:rsidRDefault="003E5407">
            <w:pPr>
              <w:spacing w:after="0" w:line="259" w:lineRule="auto"/>
              <w:ind w:left="0" w:firstLine="0"/>
              <w:jc w:val="right"/>
            </w:pPr>
            <w:r>
              <w:t>2483,00 Kč měsíčně</w:t>
            </w:r>
          </w:p>
        </w:tc>
      </w:tr>
    </w:tbl>
    <w:p w:rsidR="009B0718" w:rsidRDefault="003E5407">
      <w:pPr>
        <w:numPr>
          <w:ilvl w:val="0"/>
          <w:numId w:val="5"/>
        </w:numPr>
        <w:spacing w:after="70"/>
        <w:ind w:right="14" w:hanging="567"/>
      </w:pPr>
      <w:r>
        <w:t>Úhrady ceny díla provádí objednatel na základě řádného daňového dokladu zhotovitele. Lhůta splatnosti daňového dokladu je 21 dnů po jejím doručení bezhotovostní platbou na účet zhotovitele. Variabilním symbolem platby je číslo faktury. Objednavatel provádí</w:t>
      </w:r>
      <w:r>
        <w:t xml:space="preserve"> úhrady vždy za měsíční období, jehož poslední den je dnem zdanitelného plnění, přičemž zhotovitel vystavuje faktury vždy po jeho uplynutí.</w:t>
      </w:r>
    </w:p>
    <w:p w:rsidR="009B0718" w:rsidRDefault="003E5407">
      <w:pPr>
        <w:numPr>
          <w:ilvl w:val="0"/>
          <w:numId w:val="5"/>
        </w:numPr>
        <w:spacing w:after="0"/>
        <w:ind w:right="14" w:hanging="567"/>
      </w:pPr>
      <w:r>
        <w:t xml:space="preserve">Pro případ prodlení objednatele s úhradou faktury byl dohodnut úrok z prodlení ve výši </w:t>
      </w:r>
      <w:proofErr w:type="gramStart"/>
      <w:r>
        <w:t>0,05%</w:t>
      </w:r>
      <w:proofErr w:type="gramEnd"/>
      <w:r>
        <w:t xml:space="preserve"> z dlužné částky za každ</w:t>
      </w:r>
      <w:r>
        <w:t>ý den prodlení.</w:t>
      </w:r>
    </w:p>
    <w:p w:rsidR="009B0718" w:rsidRDefault="003E5407">
      <w:pPr>
        <w:numPr>
          <w:ilvl w:val="0"/>
          <w:numId w:val="5"/>
        </w:numPr>
        <w:ind w:right="14" w:hanging="567"/>
      </w:pPr>
      <w:r>
        <w:t>Vzhledem k uzavření této smlouvy na dobu neurčitou se obé smluvní strany dohodli, že na počátku kalendářního roku může být cena díla zvýšena na základě ověřeného vzestupu inflace (výkaz Českého statistického ústavu pro index cen, nebo cen m</w:t>
      </w:r>
      <w:r>
        <w:t>ateriálů). Tato nově sjednaná cena by platila pro veškeré úklidové práce vykázané zhotovitelem od 1.1. dalšího kalendářního roku.</w:t>
      </w:r>
    </w:p>
    <w:p w:rsidR="009B0718" w:rsidRDefault="003E5407">
      <w:pPr>
        <w:numPr>
          <w:ilvl w:val="0"/>
          <w:numId w:val="5"/>
        </w:numPr>
        <w:ind w:right="14" w:hanging="567"/>
      </w:pPr>
      <w:r>
        <w:t>Objednatel je oprávněn před uplynutím lhůty splatnosti vrátit bez zaplacení fakturu, která neobsahuje náležitosti stanovené zá</w:t>
      </w:r>
      <w:r>
        <w:t>k. č. 563/91 Sb., o účetnictví ve znění pozdějších předpisů nebo má jiné závady v obsahu podle této smlouvy nebo příslušných právních předpisů. Lhůta splatnosti začíná běžet ode dne vystavení nové faktury.</w:t>
      </w:r>
    </w:p>
    <w:p w:rsidR="009B0718" w:rsidRDefault="003E5407">
      <w:pPr>
        <w:spacing w:after="327" w:line="260" w:lineRule="auto"/>
        <w:ind w:left="130" w:right="38"/>
        <w:jc w:val="center"/>
      </w:pPr>
      <w:r>
        <w:rPr>
          <w:sz w:val="34"/>
        </w:rPr>
        <w:t>čl. 6.</w:t>
      </w:r>
    </w:p>
    <w:p w:rsidR="009B0718" w:rsidRDefault="003E5407">
      <w:pPr>
        <w:spacing w:after="572" w:line="265" w:lineRule="auto"/>
        <w:ind w:left="135" w:right="48"/>
        <w:jc w:val="center"/>
      </w:pPr>
      <w:r>
        <w:rPr>
          <w:sz w:val="26"/>
        </w:rPr>
        <w:t>Závěrečná ustanovení</w:t>
      </w:r>
    </w:p>
    <w:p w:rsidR="009B0718" w:rsidRDefault="003E5407">
      <w:pPr>
        <w:spacing w:after="70"/>
        <w:ind w:left="614" w:right="14" w:hanging="543"/>
      </w:pPr>
      <w:proofErr w:type="gramStart"/>
      <w:r>
        <w:rPr>
          <w:rFonts w:ascii="Calibri" w:eastAsia="Calibri" w:hAnsi="Calibri" w:cs="Calibri"/>
        </w:rPr>
        <w:t>1 .</w:t>
      </w:r>
      <w:proofErr w:type="gramEnd"/>
      <w:r>
        <w:rPr>
          <w:rFonts w:ascii="Calibri" w:eastAsia="Calibri" w:hAnsi="Calibri" w:cs="Calibri"/>
        </w:rPr>
        <w:t xml:space="preserve"> </w:t>
      </w:r>
      <w:r>
        <w:t>Změny nebo doplňky</w:t>
      </w:r>
      <w:r>
        <w:t xml:space="preserve"> této smlouvy lze provádět pouze na základě vzájemné dohody smluvních stran ve formě písemných dodatků ke smlouvě.</w:t>
      </w:r>
    </w:p>
    <w:p w:rsidR="009B0718" w:rsidRDefault="003E5407">
      <w:pPr>
        <w:numPr>
          <w:ilvl w:val="0"/>
          <w:numId w:val="6"/>
        </w:numPr>
        <w:ind w:right="14" w:hanging="567"/>
      </w:pPr>
      <w:r>
        <w:t>Stížnosti vyplývající z neplnění úklidových prací budou obě stany řešit do 24 hod. po oznámení druhé straně.</w:t>
      </w:r>
    </w:p>
    <w:p w:rsidR="009B0718" w:rsidRDefault="003E5407">
      <w:pPr>
        <w:numPr>
          <w:ilvl w:val="0"/>
          <w:numId w:val="6"/>
        </w:numPr>
        <w:spacing w:after="4"/>
        <w:ind w:right="14" w:hanging="567"/>
      </w:pPr>
      <w:r>
        <w:t xml:space="preserve">Zhotovitel se zavazuje udržovat </w:t>
      </w:r>
      <w:r>
        <w:t>veškeré informace, zjištěné při plnění této smlouvy, v tajnosti, nezveřejňovat je ve vztahu ke třetím osobám. V tomto směru budou poučeni i zaměstnanci zhotovitele.</w:t>
      </w:r>
    </w:p>
    <w:p w:rsidR="009B0718" w:rsidRDefault="003E5407">
      <w:pPr>
        <w:numPr>
          <w:ilvl w:val="0"/>
          <w:numId w:val="6"/>
        </w:numPr>
        <w:spacing w:after="98"/>
        <w:ind w:right="14" w:hanging="567"/>
      </w:pPr>
      <w:r>
        <w:t>Objednatel zabezpečí proškolení zaměstnanců zhotovitele s kódováním a obsluhou zabezpečovac</w:t>
      </w:r>
      <w:r>
        <w:t>ího zařízení. Budova bude zakódována vždy po skončení úklidu.</w:t>
      </w:r>
    </w:p>
    <w:p w:rsidR="009B0718" w:rsidRDefault="003E5407">
      <w:pPr>
        <w:numPr>
          <w:ilvl w:val="0"/>
          <w:numId w:val="6"/>
        </w:numPr>
        <w:ind w:right="14" w:hanging="567"/>
      </w:pPr>
      <w:r>
        <w:t>Nebude-li zhotovitel z jakýchkoliv důvodů schopen výkonů sjednaných činností zajistit, je povinen okamžité informovat objednatele a projednat s ním další postup.</w:t>
      </w:r>
    </w:p>
    <w:p w:rsidR="009B0718" w:rsidRDefault="003E5407">
      <w:pPr>
        <w:numPr>
          <w:ilvl w:val="0"/>
          <w:numId w:val="6"/>
        </w:numPr>
        <w:spacing w:after="66"/>
        <w:ind w:right="14" w:hanging="567"/>
      </w:pPr>
      <w:r>
        <w:t xml:space="preserve">Objednatel je povinen na své náklady dodávat k úklidovým </w:t>
      </w:r>
      <w:proofErr w:type="spellStart"/>
      <w:r>
        <w:t>pracem</w:t>
      </w:r>
      <w:proofErr w:type="spellEnd"/>
      <w:r>
        <w:t xml:space="preserve"> elektrickou energii a teplou vodu potřebnou k sjednaným činnostem, </w:t>
      </w:r>
      <w:proofErr w:type="spellStart"/>
      <w:r>
        <w:t>popřípadé</w:t>
      </w:r>
      <w:proofErr w:type="spellEnd"/>
      <w:r>
        <w:t xml:space="preserve"> zajistit její ohřev.</w:t>
      </w:r>
    </w:p>
    <w:p w:rsidR="009B0718" w:rsidRDefault="003E5407">
      <w:pPr>
        <w:numPr>
          <w:ilvl w:val="0"/>
          <w:numId w:val="6"/>
        </w:numPr>
        <w:ind w:right="14" w:hanging="567"/>
      </w:pPr>
      <w:r>
        <w:lastRenderedPageBreak/>
        <w:t xml:space="preserve">Firma Aleš </w:t>
      </w:r>
      <w:proofErr w:type="spellStart"/>
      <w:r>
        <w:t>Häusler</w:t>
      </w:r>
      <w:proofErr w:type="spellEnd"/>
      <w:r>
        <w:t xml:space="preserve"> LESK SERVIS má certifikaci systému řízení dle normy ČSN EN ISO 9001 :2001 a</w:t>
      </w:r>
      <w:r>
        <w:t xml:space="preserve"> 14001.</w:t>
      </w:r>
    </w:p>
    <w:p w:rsidR="009B0718" w:rsidRDefault="003E5407">
      <w:pPr>
        <w:numPr>
          <w:ilvl w:val="0"/>
          <w:numId w:val="6"/>
        </w:numPr>
        <w:spacing w:after="84"/>
        <w:ind w:right="14" w:hanging="567"/>
      </w:pPr>
      <w:r>
        <w:t xml:space="preserve">Firma Aleš </w:t>
      </w:r>
      <w:proofErr w:type="spellStart"/>
      <w:r>
        <w:t>Häusler</w:t>
      </w:r>
      <w:proofErr w:type="spellEnd"/>
      <w:r>
        <w:t xml:space="preserve"> je pojištěna u Moravskoslezské pojišťovny Kooperativa na částku 10 mil. Kč vůči třetím osobám a na poškození cizího majetku.</w:t>
      </w:r>
    </w:p>
    <w:p w:rsidR="009B0718" w:rsidRDefault="003E5407">
      <w:pPr>
        <w:numPr>
          <w:ilvl w:val="0"/>
          <w:numId w:val="6"/>
        </w:numPr>
        <w:ind w:right="14" w:hanging="567"/>
      </w:pPr>
      <w:r>
        <w:t>Účastníci této smlouvy po jejím přečtení prohlašují, že souhlasí s jejím obsahem, že tato byla sepsána n</w:t>
      </w:r>
      <w:r>
        <w:t>a základě pravdivých údajů, jejich pravé a svobodné vůle a nebyla sjednána v tísni ani za jinak jednostranné nevýhodných podmínek. Na důkaz toho připojují obě strany své podpisy.</w:t>
      </w:r>
    </w:p>
    <w:p w:rsidR="009B0718" w:rsidRDefault="003E5407">
      <w:pPr>
        <w:numPr>
          <w:ilvl w:val="0"/>
          <w:numId w:val="6"/>
        </w:numPr>
        <w:ind w:right="14" w:hanging="567"/>
      </w:pPr>
      <w:r>
        <w:t>Tato smlouva je vypracována ve dvou vyhotoveních, přičemž mají obě platnost o</w:t>
      </w:r>
      <w:r>
        <w:t>riginálu.</w:t>
      </w:r>
    </w:p>
    <w:p w:rsidR="009B0718" w:rsidRDefault="003E5407">
      <w:pPr>
        <w:numPr>
          <w:ilvl w:val="0"/>
          <w:numId w:val="6"/>
        </w:numPr>
        <w:ind w:right="14" w:hanging="567"/>
      </w:pPr>
      <w:r>
        <w:t>Tato smlouva nabývá platnosti a dnem podpisu smlouvy oběma stranami.</w:t>
      </w:r>
    </w:p>
    <w:p w:rsidR="009B0718" w:rsidRDefault="003E5407">
      <w:pPr>
        <w:numPr>
          <w:ilvl w:val="0"/>
          <w:numId w:val="6"/>
        </w:numPr>
        <w:ind w:right="14" w:hanging="567"/>
      </w:pPr>
      <w:r>
        <w:t>Pokud není uvedeno ve smlo</w:t>
      </w:r>
      <w:r>
        <w:t>uvě jinak, řídí se příslušnými ustanoveními obchodního zákoníku</w:t>
      </w:r>
    </w:p>
    <w:p w:rsidR="009B0718" w:rsidRDefault="009B0718">
      <w:pPr>
        <w:sectPr w:rsidR="009B0718">
          <w:headerReference w:type="even" r:id="rId9"/>
          <w:headerReference w:type="default" r:id="rId10"/>
          <w:headerReference w:type="first" r:id="rId11"/>
          <w:pgSz w:w="11894" w:h="16344"/>
          <w:pgMar w:top="752" w:right="288" w:bottom="1700" w:left="1397" w:header="722" w:footer="708" w:gutter="0"/>
          <w:cols w:space="708"/>
        </w:sectPr>
      </w:pPr>
    </w:p>
    <w:p w:rsidR="009B0718" w:rsidRDefault="003E5407">
      <w:pPr>
        <w:spacing w:after="483"/>
        <w:ind w:left="10" w:right="14"/>
      </w:pPr>
      <w:r>
        <w:t xml:space="preserve">V </w:t>
      </w:r>
      <w:proofErr w:type="gramStart"/>
      <w:r>
        <w:t xml:space="preserve">Jihlavě </w:t>
      </w:r>
      <w:r w:rsidR="001D4B38">
        <w:t xml:space="preserve"> </w:t>
      </w:r>
      <w:r>
        <w:t>dne</w:t>
      </w:r>
      <w:proofErr w:type="gramEnd"/>
      <w:r>
        <w:t>:.27.6.2014</w:t>
      </w:r>
    </w:p>
    <w:p w:rsidR="009B0718" w:rsidRDefault="003E5407">
      <w:pPr>
        <w:spacing w:after="333" w:line="259" w:lineRule="auto"/>
        <w:ind w:left="10" w:right="91"/>
        <w:jc w:val="center"/>
      </w:pPr>
      <w:r>
        <w:t>za objednatele</w:t>
      </w:r>
    </w:p>
    <w:p w:rsidR="009B0718" w:rsidRDefault="003E5407" w:rsidP="001D4B38">
      <w:pPr>
        <w:spacing w:after="698" w:line="259" w:lineRule="auto"/>
        <w:ind w:left="0" w:right="34" w:firstLine="0"/>
      </w:pPr>
      <w:r>
        <w:t xml:space="preserve">V Jihlavě </w:t>
      </w:r>
      <w:proofErr w:type="gramStart"/>
      <w:r>
        <w:t>dne:.</w:t>
      </w:r>
      <w:proofErr w:type="gramEnd"/>
      <w:r>
        <w:t xml:space="preserve"> </w:t>
      </w:r>
    </w:p>
    <w:p w:rsidR="009B0718" w:rsidRDefault="003E5407" w:rsidP="001D4B38">
      <w:pPr>
        <w:ind w:left="1517" w:right="14" w:firstLine="0"/>
      </w:pPr>
      <w:r>
        <w:rPr>
          <w:noProof/>
        </w:rPr>
        <mc:AlternateContent>
          <mc:Choice Requires="wpg">
            <w:drawing>
              <wp:anchor distT="0" distB="0" distL="114300" distR="114300" simplePos="0" relativeHeight="251659264" behindDoc="0" locked="0" layoutInCell="1" allowOverlap="1">
                <wp:simplePos x="0" y="0"/>
                <wp:positionH relativeFrom="column">
                  <wp:posOffset>237840</wp:posOffset>
                </wp:positionH>
                <wp:positionV relativeFrom="paragraph">
                  <wp:posOffset>111590</wp:posOffset>
                </wp:positionV>
                <wp:extent cx="2155806" cy="15245"/>
                <wp:effectExtent l="0" t="0" r="0" b="0"/>
                <wp:wrapSquare wrapText="bothSides"/>
                <wp:docPr id="28667" name="Group 28667"/>
                <wp:cNvGraphicFramePr/>
                <a:graphic xmlns:a="http://schemas.openxmlformats.org/drawingml/2006/main">
                  <a:graphicData uri="http://schemas.microsoft.com/office/word/2010/wordprocessingGroup">
                    <wpg:wgp>
                      <wpg:cNvGrpSpPr/>
                      <wpg:grpSpPr>
                        <a:xfrm>
                          <a:off x="0" y="0"/>
                          <a:ext cx="2155806" cy="15245"/>
                          <a:chOff x="0" y="0"/>
                          <a:chExt cx="2155806" cy="15245"/>
                        </a:xfrm>
                      </wpg:grpSpPr>
                      <wps:wsp>
                        <wps:cNvPr id="28666" name="Shape 28666"/>
                        <wps:cNvSpPr/>
                        <wps:spPr>
                          <a:xfrm>
                            <a:off x="0" y="0"/>
                            <a:ext cx="2155806" cy="15245"/>
                          </a:xfrm>
                          <a:custGeom>
                            <a:avLst/>
                            <a:gdLst/>
                            <a:ahLst/>
                            <a:cxnLst/>
                            <a:rect l="0" t="0" r="0" b="0"/>
                            <a:pathLst>
                              <a:path w="2155806" h="15245">
                                <a:moveTo>
                                  <a:pt x="0" y="7622"/>
                                </a:moveTo>
                                <a:lnTo>
                                  <a:pt x="2155806"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A7158CE" id="Group 28667" o:spid="_x0000_s1026" style="position:absolute;margin-left:18.75pt;margin-top:8.8pt;width:169.75pt;height:1.2pt;z-index:251659264" coordsize="2155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">
                <v:shape id="Shape 28666" o:spid="_x0000_s1027" style="position:absolute;width:21558;height:152;visibility:visible;mso-wrap-style:square;v-text-anchor:top" coordsize="2155806,1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" path="m,7622r2155806,e" filled="f" strokeweight=".42347mm">
                  <v:stroke miterlimit="1" joinstyle="miter"/>
                  <v:path arrowok="t" textboxrect="0,0,2155806,15245"/>
                </v:shape>
                <w10:wrap type="square"/>
              </v:group>
            </w:pict>
          </mc:Fallback>
        </mc:AlternateContent>
      </w:r>
      <w:r w:rsidR="001D4B38">
        <w:t xml:space="preserve">Za </w:t>
      </w:r>
      <w:proofErr w:type="spellStart"/>
      <w:r w:rsidR="001D4B38">
        <w:t>z</w:t>
      </w:r>
      <w:r>
        <w:t>hotovite</w:t>
      </w:r>
      <w:r>
        <w:t>e</w:t>
      </w:r>
      <w:proofErr w:type="spellEnd"/>
    </w:p>
    <w:p w:rsidR="009B0718" w:rsidRDefault="001D4B38">
      <w:pPr>
        <w:sectPr w:rsidR="009B0718">
          <w:type w:val="continuous"/>
          <w:pgSz w:w="11894" w:h="16344"/>
          <w:pgMar w:top="1440" w:right="2555" w:bottom="1440" w:left="2550" w:header="708" w:footer="708" w:gutter="0"/>
          <w:cols w:num="2" w:space="708" w:equalWidth="0">
            <w:col w:w="2872" w:space="1191"/>
            <w:col w:w="2728"/>
          </w:cols>
        </w:sectPr>
      </w:pPr>
      <w:r>
        <w:t xml:space="preserve"> </w:t>
      </w:r>
    </w:p>
    <w:p w:rsidR="009B0718" w:rsidRDefault="003E5407">
      <w:pPr>
        <w:tabs>
          <w:tab w:val="center" w:pos="1791"/>
          <w:tab w:val="right" w:pos="10382"/>
        </w:tabs>
        <w:spacing w:after="382" w:line="309" w:lineRule="auto"/>
        <w:ind w:left="0" w:firstLine="0"/>
        <w:jc w:val="left"/>
      </w:pPr>
      <w:r>
        <w:rPr>
          <w:sz w:val="18"/>
        </w:rPr>
        <w:lastRenderedPageBreak/>
        <w:tab/>
        <w:t xml:space="preserve">Smlouva Lesk </w:t>
      </w:r>
      <w:proofErr w:type="gramStart"/>
      <w:r>
        <w:rPr>
          <w:sz w:val="18"/>
        </w:rPr>
        <w:t>servis - Pečovatelská</w:t>
      </w:r>
      <w:proofErr w:type="gramEnd"/>
      <w:r>
        <w:rPr>
          <w:sz w:val="18"/>
        </w:rPr>
        <w:t xml:space="preserve"> služba</w:t>
      </w:r>
      <w:r>
        <w:rPr>
          <w:sz w:val="18"/>
        </w:rPr>
        <w:tab/>
        <w:t>1</w:t>
      </w:r>
    </w:p>
    <w:p w:rsidR="009B0718" w:rsidRDefault="003E5407">
      <w:pPr>
        <w:spacing w:after="161" w:line="259" w:lineRule="auto"/>
        <w:ind w:left="985"/>
        <w:jc w:val="left"/>
      </w:pPr>
      <w:r>
        <w:rPr>
          <w:sz w:val="28"/>
        </w:rPr>
        <w:t>Příloha č: 1</w:t>
      </w:r>
    </w:p>
    <w:p w:rsidR="009B0718" w:rsidRDefault="003E5407">
      <w:pPr>
        <w:spacing w:after="0" w:line="259" w:lineRule="auto"/>
        <w:ind w:left="317"/>
        <w:jc w:val="center"/>
      </w:pPr>
      <w:r>
        <w:rPr>
          <w:sz w:val="28"/>
        </w:rPr>
        <w:t>Rozsah a četnost prací:</w:t>
      </w:r>
    </w:p>
    <w:p w:rsidR="009B0718" w:rsidRDefault="003E5407">
      <w:pPr>
        <w:spacing w:after="0" w:line="259" w:lineRule="auto"/>
        <w:ind w:left="831" w:firstLine="0"/>
        <w:jc w:val="left"/>
      </w:pPr>
      <w:r>
        <w:rPr>
          <w:sz w:val="26"/>
          <w:u w:val="single" w:color="000000"/>
        </w:rPr>
        <w:t>Všeobecně:</w:t>
      </w:r>
    </w:p>
    <w:p w:rsidR="009B0718" w:rsidRDefault="003E5407">
      <w:pPr>
        <w:ind w:left="846" w:right="14"/>
      </w:pPr>
      <w:r>
        <w:t>Cena díla zahrnuje náklady, mzdy, režijní náklady, zisk firmy, dále náklady na čistící prostředky a doplňování hygienických potřeb.</w:t>
      </w:r>
    </w:p>
    <w:tbl>
      <w:tblPr>
        <w:tblStyle w:val="TableGrid"/>
        <w:tblW w:w="7616" w:type="dxa"/>
        <w:tblInd w:w="834" w:type="dxa"/>
        <w:tblCellMar>
          <w:top w:w="24" w:type="dxa"/>
          <w:left w:w="72" w:type="dxa"/>
          <w:bottom w:w="0" w:type="dxa"/>
          <w:right w:w="92" w:type="dxa"/>
        </w:tblCellMar>
        <w:tblLook w:val="04A0" w:firstRow="1" w:lastRow="0" w:firstColumn="1" w:lastColumn="0" w:noHBand="0" w:noVBand="1"/>
      </w:tblPr>
      <w:tblGrid>
        <w:gridCol w:w="1952"/>
        <w:gridCol w:w="2289"/>
        <w:gridCol w:w="1553"/>
        <w:gridCol w:w="1822"/>
      </w:tblGrid>
      <w:tr w:rsidR="009B0718">
        <w:trPr>
          <w:trHeight w:val="269"/>
        </w:trPr>
        <w:tc>
          <w:tcPr>
            <w:tcW w:w="5794" w:type="dxa"/>
            <w:gridSpan w:val="3"/>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10" w:firstLine="0"/>
              <w:jc w:val="left"/>
            </w:pPr>
            <w:r>
              <w:rPr>
                <w:sz w:val="24"/>
              </w:rPr>
              <w:t xml:space="preserve">Pa </w:t>
            </w:r>
            <w:proofErr w:type="spellStart"/>
            <w:r>
              <w:rPr>
                <w:sz w:val="24"/>
              </w:rPr>
              <w:t>írové</w:t>
            </w:r>
            <w:proofErr w:type="spellEnd"/>
            <w:r>
              <w:rPr>
                <w:sz w:val="24"/>
              </w:rPr>
              <w:t xml:space="preserve"> ručník bílé— karton 3200 kusů</w:t>
            </w:r>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424" w:firstLine="0"/>
              <w:jc w:val="left"/>
            </w:pPr>
            <w:r>
              <w:rPr>
                <w:sz w:val="24"/>
              </w:rPr>
              <w:t>590,00 Kč</w:t>
            </w:r>
          </w:p>
        </w:tc>
      </w:tr>
      <w:tr w:rsidR="009B0718">
        <w:trPr>
          <w:trHeight w:val="269"/>
        </w:trPr>
        <w:tc>
          <w:tcPr>
            <w:tcW w:w="5794" w:type="dxa"/>
            <w:gridSpan w:val="3"/>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5" w:firstLine="0"/>
              <w:jc w:val="left"/>
            </w:pPr>
            <w:r>
              <w:rPr>
                <w:sz w:val="24"/>
              </w:rPr>
              <w:t>Tekuté m '</w:t>
            </w:r>
            <w:proofErr w:type="spellStart"/>
            <w:r>
              <w:rPr>
                <w:sz w:val="24"/>
              </w:rPr>
              <w:t>dlo</w:t>
            </w:r>
            <w:proofErr w:type="spellEnd"/>
            <w:r>
              <w:rPr>
                <w:sz w:val="24"/>
              </w:rPr>
              <w:t xml:space="preserve"> I l</w:t>
            </w:r>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463" w:firstLine="0"/>
              <w:jc w:val="left"/>
            </w:pPr>
            <w:r>
              <w:rPr>
                <w:sz w:val="24"/>
              </w:rPr>
              <w:t>30,00 Kč</w:t>
            </w:r>
          </w:p>
        </w:tc>
      </w:tr>
      <w:tr w:rsidR="009B0718">
        <w:trPr>
          <w:trHeight w:val="269"/>
        </w:trPr>
        <w:tc>
          <w:tcPr>
            <w:tcW w:w="5794" w:type="dxa"/>
            <w:gridSpan w:val="3"/>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firstLine="0"/>
              <w:jc w:val="left"/>
            </w:pPr>
            <w:r>
              <w:rPr>
                <w:sz w:val="24"/>
              </w:rPr>
              <w:t xml:space="preserve">Toaletní a </w:t>
            </w:r>
            <w:proofErr w:type="spellStart"/>
            <w:r>
              <w:rPr>
                <w:sz w:val="24"/>
              </w:rPr>
              <w:t>ír</w:t>
            </w:r>
            <w:proofErr w:type="spellEnd"/>
            <w:r>
              <w:rPr>
                <w:sz w:val="24"/>
              </w:rPr>
              <w:t xml:space="preserve"> 1 role —400 útržků</w:t>
            </w:r>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578" w:firstLine="0"/>
              <w:jc w:val="left"/>
            </w:pPr>
            <w:r>
              <w:rPr>
                <w:sz w:val="24"/>
              </w:rPr>
              <w:t>4,20 Kč</w:t>
            </w:r>
          </w:p>
        </w:tc>
      </w:tr>
      <w:tr w:rsidR="009B0718">
        <w:trPr>
          <w:trHeight w:val="266"/>
        </w:trPr>
        <w:tc>
          <w:tcPr>
            <w:tcW w:w="5794" w:type="dxa"/>
            <w:gridSpan w:val="3"/>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5" w:firstLine="0"/>
              <w:jc w:val="left"/>
            </w:pPr>
            <w:r>
              <w:rPr>
                <w:sz w:val="24"/>
              </w:rPr>
              <w:t xml:space="preserve">Toaletní a </w:t>
            </w:r>
            <w:proofErr w:type="spellStart"/>
            <w:r>
              <w:rPr>
                <w:sz w:val="24"/>
              </w:rPr>
              <w:t>ír</w:t>
            </w:r>
            <w:proofErr w:type="spellEnd"/>
            <w:r>
              <w:rPr>
                <w:sz w:val="24"/>
              </w:rPr>
              <w:t xml:space="preserve"> 1 role — JAMBO — 700 útržků</w:t>
            </w:r>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463" w:firstLine="0"/>
              <w:jc w:val="left"/>
            </w:pPr>
            <w:r>
              <w:rPr>
                <w:sz w:val="24"/>
              </w:rPr>
              <w:t>24,00 Kč</w:t>
            </w:r>
          </w:p>
        </w:tc>
      </w:tr>
      <w:tr w:rsidR="009B0718">
        <w:trPr>
          <w:trHeight w:val="267"/>
        </w:trPr>
        <w:tc>
          <w:tcPr>
            <w:tcW w:w="5794" w:type="dxa"/>
            <w:gridSpan w:val="3"/>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14" w:firstLine="0"/>
              <w:jc w:val="left"/>
            </w:pPr>
            <w:r>
              <w:rPr>
                <w:sz w:val="24"/>
              </w:rPr>
              <w:t xml:space="preserve">P el od </w:t>
            </w:r>
            <w:proofErr w:type="spellStart"/>
            <w:r>
              <w:rPr>
                <w:sz w:val="24"/>
              </w:rPr>
              <w:t>adní</w:t>
            </w:r>
            <w:proofErr w:type="spellEnd"/>
            <w:r>
              <w:rPr>
                <w:sz w:val="24"/>
              </w:rPr>
              <w:t xml:space="preserve"> 1 ks</w:t>
            </w:r>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583" w:firstLine="0"/>
              <w:jc w:val="left"/>
            </w:pPr>
            <w:r>
              <w:rPr>
                <w:sz w:val="26"/>
              </w:rPr>
              <w:t>6,00 Kč</w:t>
            </w:r>
          </w:p>
        </w:tc>
      </w:tr>
      <w:tr w:rsidR="009B0718">
        <w:trPr>
          <w:trHeight w:val="515"/>
        </w:trPr>
        <w:tc>
          <w:tcPr>
            <w:tcW w:w="1952" w:type="dxa"/>
            <w:tcBorders>
              <w:top w:val="single" w:sz="2" w:space="0" w:color="000000"/>
              <w:left w:val="single" w:sz="2" w:space="0" w:color="000000"/>
              <w:bottom w:val="single" w:sz="2" w:space="0" w:color="000000"/>
              <w:right w:val="nil"/>
            </w:tcBorders>
            <w:vAlign w:val="center"/>
          </w:tcPr>
          <w:p w:rsidR="009B0718" w:rsidRDefault="003E5407">
            <w:pPr>
              <w:spacing w:after="0" w:line="259" w:lineRule="auto"/>
              <w:ind w:left="10" w:firstLine="0"/>
              <w:jc w:val="left"/>
            </w:pPr>
            <w:r>
              <w:rPr>
                <w:sz w:val="28"/>
              </w:rPr>
              <w:t>Uklízená plocha</w:t>
            </w:r>
          </w:p>
        </w:tc>
        <w:tc>
          <w:tcPr>
            <w:tcW w:w="2289" w:type="dxa"/>
            <w:tcBorders>
              <w:top w:val="single" w:sz="2" w:space="0" w:color="000000"/>
              <w:left w:val="nil"/>
              <w:bottom w:val="single" w:sz="2" w:space="0" w:color="000000"/>
              <w:right w:val="single" w:sz="2" w:space="0" w:color="000000"/>
            </w:tcBorders>
          </w:tcPr>
          <w:p w:rsidR="009B0718" w:rsidRDefault="009B0718">
            <w:pPr>
              <w:spacing w:after="160" w:line="259" w:lineRule="auto"/>
              <w:ind w:left="0" w:firstLine="0"/>
              <w:jc w:val="left"/>
            </w:pPr>
          </w:p>
        </w:tc>
        <w:tc>
          <w:tcPr>
            <w:tcW w:w="1553"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33" w:firstLine="0"/>
              <w:jc w:val="center"/>
            </w:pPr>
            <w:r>
              <w:rPr>
                <w:sz w:val="28"/>
              </w:rPr>
              <w:t>Plocha</w:t>
            </w:r>
          </w:p>
          <w:p w:rsidR="009B0718" w:rsidRDefault="003E5407">
            <w:pPr>
              <w:spacing w:after="0" w:line="259" w:lineRule="auto"/>
              <w:ind w:left="164" w:firstLine="0"/>
              <w:jc w:val="center"/>
            </w:pPr>
            <w:r>
              <w:rPr>
                <w:rFonts w:ascii="Calibri" w:eastAsia="Calibri" w:hAnsi="Calibri" w:cs="Calibri"/>
                <w:sz w:val="16"/>
              </w:rPr>
              <w:t>2</w:t>
            </w:r>
          </w:p>
          <w:p w:rsidR="009B0718" w:rsidRDefault="003E5407">
            <w:pPr>
              <w:spacing w:after="0" w:line="259" w:lineRule="auto"/>
              <w:ind w:left="0" w:right="110" w:firstLine="0"/>
              <w:jc w:val="center"/>
            </w:pPr>
            <w:r>
              <w:rPr>
                <w:sz w:val="28"/>
              </w:rPr>
              <w:t>m</w:t>
            </w:r>
          </w:p>
        </w:tc>
        <w:tc>
          <w:tcPr>
            <w:tcW w:w="1822" w:type="dxa"/>
            <w:tcBorders>
              <w:top w:val="single" w:sz="2" w:space="0" w:color="000000"/>
              <w:left w:val="single" w:sz="2" w:space="0" w:color="000000"/>
              <w:bottom w:val="single" w:sz="2" w:space="0" w:color="000000"/>
              <w:right w:val="single" w:sz="2" w:space="0" w:color="000000"/>
            </w:tcBorders>
            <w:vAlign w:val="center"/>
          </w:tcPr>
          <w:p w:rsidR="009B0718" w:rsidRDefault="003E5407">
            <w:pPr>
              <w:spacing w:after="0" w:line="259" w:lineRule="auto"/>
              <w:ind w:left="0" w:right="34" w:firstLine="0"/>
              <w:jc w:val="center"/>
            </w:pPr>
            <w:r>
              <w:rPr>
                <w:sz w:val="26"/>
              </w:rPr>
              <w:t>Četnost</w:t>
            </w:r>
          </w:p>
        </w:tc>
      </w:tr>
      <w:tr w:rsidR="009B0718">
        <w:trPr>
          <w:trHeight w:val="259"/>
        </w:trPr>
        <w:tc>
          <w:tcPr>
            <w:tcW w:w="1952" w:type="dxa"/>
            <w:tcBorders>
              <w:top w:val="single" w:sz="2" w:space="0" w:color="000000"/>
              <w:left w:val="single" w:sz="2" w:space="0" w:color="000000"/>
              <w:bottom w:val="single" w:sz="2" w:space="0" w:color="000000"/>
              <w:right w:val="nil"/>
            </w:tcBorders>
          </w:tcPr>
          <w:p w:rsidR="009B0718" w:rsidRDefault="003E5407">
            <w:pPr>
              <w:spacing w:after="0" w:line="259" w:lineRule="auto"/>
              <w:ind w:left="5" w:firstLine="0"/>
              <w:jc w:val="left"/>
            </w:pPr>
            <w:proofErr w:type="spellStart"/>
            <w:r>
              <w:rPr>
                <w:sz w:val="26"/>
              </w:rPr>
              <w:t>choba</w:t>
            </w:r>
            <w:proofErr w:type="spellEnd"/>
          </w:p>
        </w:tc>
        <w:tc>
          <w:tcPr>
            <w:tcW w:w="2289" w:type="dxa"/>
            <w:tcBorders>
              <w:top w:val="single" w:sz="2" w:space="0" w:color="000000"/>
              <w:left w:val="nil"/>
              <w:bottom w:val="single" w:sz="2" w:space="0" w:color="000000"/>
              <w:right w:val="single" w:sz="2" w:space="0" w:color="000000"/>
            </w:tcBorders>
          </w:tcPr>
          <w:p w:rsidR="009B0718" w:rsidRDefault="009B0718">
            <w:pPr>
              <w:spacing w:after="160" w:line="259" w:lineRule="auto"/>
              <w:ind w:left="0" w:firstLine="0"/>
              <w:jc w:val="left"/>
            </w:pPr>
          </w:p>
        </w:tc>
        <w:tc>
          <w:tcPr>
            <w:tcW w:w="1553"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23" w:firstLine="0"/>
              <w:jc w:val="center"/>
            </w:pPr>
            <w:r>
              <w:rPr>
                <w:rFonts w:ascii="Calibri" w:eastAsia="Calibri" w:hAnsi="Calibri" w:cs="Calibri"/>
              </w:rPr>
              <w:t xml:space="preserve">18 </w:t>
            </w:r>
            <w:proofErr w:type="spellStart"/>
            <w:r>
              <w:rPr>
                <w:rFonts w:ascii="Calibri" w:eastAsia="Calibri" w:hAnsi="Calibri" w:cs="Calibri"/>
              </w:rPr>
              <w:t>oo</w:t>
            </w:r>
            <w:proofErr w:type="spellEnd"/>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44" w:firstLine="0"/>
              <w:jc w:val="center"/>
            </w:pPr>
            <w:r>
              <w:rPr>
                <w:rFonts w:ascii="Calibri" w:eastAsia="Calibri" w:hAnsi="Calibri" w:cs="Calibri"/>
                <w:sz w:val="30"/>
              </w:rPr>
              <w:t>3</w:t>
            </w:r>
          </w:p>
        </w:tc>
      </w:tr>
      <w:tr w:rsidR="009B0718">
        <w:trPr>
          <w:trHeight w:val="259"/>
        </w:trPr>
        <w:tc>
          <w:tcPr>
            <w:tcW w:w="1952" w:type="dxa"/>
            <w:tcBorders>
              <w:top w:val="single" w:sz="2" w:space="0" w:color="000000"/>
              <w:left w:val="single" w:sz="2" w:space="0" w:color="000000"/>
              <w:bottom w:val="single" w:sz="2" w:space="0" w:color="000000"/>
              <w:right w:val="nil"/>
            </w:tcBorders>
          </w:tcPr>
          <w:p w:rsidR="009B0718" w:rsidRDefault="003E5407">
            <w:pPr>
              <w:spacing w:after="0" w:line="259" w:lineRule="auto"/>
              <w:ind w:left="0" w:firstLine="0"/>
            </w:pPr>
            <w:r>
              <w:rPr>
                <w:sz w:val="26"/>
              </w:rPr>
              <w:t>WC muži + žen +</w:t>
            </w:r>
          </w:p>
        </w:tc>
        <w:tc>
          <w:tcPr>
            <w:tcW w:w="2289" w:type="dxa"/>
            <w:tcBorders>
              <w:top w:val="single" w:sz="2" w:space="0" w:color="000000"/>
              <w:left w:val="nil"/>
              <w:bottom w:val="single" w:sz="2" w:space="0" w:color="000000"/>
              <w:right w:val="single" w:sz="2" w:space="0" w:color="000000"/>
            </w:tcBorders>
          </w:tcPr>
          <w:p w:rsidR="009B0718" w:rsidRDefault="003E5407">
            <w:pPr>
              <w:spacing w:after="0" w:line="259" w:lineRule="auto"/>
              <w:ind w:left="33" w:firstLine="0"/>
              <w:jc w:val="left"/>
            </w:pPr>
            <w:proofErr w:type="spellStart"/>
            <w:r>
              <w:rPr>
                <w:sz w:val="24"/>
              </w:rPr>
              <w:t>ostižení</w:t>
            </w:r>
            <w:proofErr w:type="spellEnd"/>
          </w:p>
        </w:tc>
        <w:tc>
          <w:tcPr>
            <w:tcW w:w="1553"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23" w:firstLine="0"/>
              <w:jc w:val="center"/>
            </w:pPr>
            <w:r>
              <w:rPr>
                <w:rFonts w:ascii="Calibri" w:eastAsia="Calibri" w:hAnsi="Calibri" w:cs="Calibri"/>
                <w:sz w:val="24"/>
              </w:rPr>
              <w:t>15,00</w:t>
            </w:r>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39" w:firstLine="0"/>
              <w:jc w:val="center"/>
            </w:pPr>
            <w:r>
              <w:rPr>
                <w:rFonts w:ascii="Calibri" w:eastAsia="Calibri" w:hAnsi="Calibri" w:cs="Calibri"/>
                <w:sz w:val="28"/>
              </w:rPr>
              <w:t>3</w:t>
            </w:r>
          </w:p>
        </w:tc>
      </w:tr>
      <w:tr w:rsidR="009B0718">
        <w:trPr>
          <w:trHeight w:val="259"/>
        </w:trPr>
        <w:tc>
          <w:tcPr>
            <w:tcW w:w="1952" w:type="dxa"/>
            <w:tcBorders>
              <w:top w:val="single" w:sz="2" w:space="0" w:color="000000"/>
              <w:left w:val="single" w:sz="2" w:space="0" w:color="000000"/>
              <w:bottom w:val="single" w:sz="2" w:space="0" w:color="000000"/>
              <w:right w:val="nil"/>
            </w:tcBorders>
          </w:tcPr>
          <w:p w:rsidR="009B0718" w:rsidRDefault="003E5407">
            <w:pPr>
              <w:spacing w:after="0" w:line="259" w:lineRule="auto"/>
              <w:ind w:left="10" w:firstLine="0"/>
              <w:jc w:val="left"/>
            </w:pPr>
            <w:r>
              <w:rPr>
                <w:sz w:val="24"/>
              </w:rPr>
              <w:t>Klub seniorů</w:t>
            </w:r>
          </w:p>
        </w:tc>
        <w:tc>
          <w:tcPr>
            <w:tcW w:w="2289" w:type="dxa"/>
            <w:tcBorders>
              <w:top w:val="single" w:sz="2" w:space="0" w:color="000000"/>
              <w:left w:val="nil"/>
              <w:bottom w:val="single" w:sz="2" w:space="0" w:color="000000"/>
              <w:right w:val="single" w:sz="2" w:space="0" w:color="000000"/>
            </w:tcBorders>
          </w:tcPr>
          <w:p w:rsidR="009B0718" w:rsidRDefault="009B0718">
            <w:pPr>
              <w:spacing w:after="160" w:line="259" w:lineRule="auto"/>
              <w:ind w:left="0" w:firstLine="0"/>
              <w:jc w:val="left"/>
            </w:pPr>
          </w:p>
        </w:tc>
        <w:tc>
          <w:tcPr>
            <w:tcW w:w="1553"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43" w:firstLine="0"/>
              <w:jc w:val="center"/>
            </w:pPr>
            <w:r>
              <w:rPr>
                <w:rFonts w:ascii="Calibri" w:eastAsia="Calibri" w:hAnsi="Calibri" w:cs="Calibri"/>
                <w:sz w:val="24"/>
              </w:rPr>
              <w:t>40,00</w:t>
            </w:r>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39" w:firstLine="0"/>
              <w:jc w:val="center"/>
            </w:pPr>
            <w:r>
              <w:rPr>
                <w:rFonts w:ascii="Calibri" w:eastAsia="Calibri" w:hAnsi="Calibri" w:cs="Calibri"/>
                <w:sz w:val="28"/>
              </w:rPr>
              <w:t>3</w:t>
            </w:r>
          </w:p>
        </w:tc>
      </w:tr>
      <w:tr w:rsidR="009B0718">
        <w:trPr>
          <w:trHeight w:val="254"/>
        </w:trPr>
        <w:tc>
          <w:tcPr>
            <w:tcW w:w="1952" w:type="dxa"/>
            <w:tcBorders>
              <w:top w:val="single" w:sz="2" w:space="0" w:color="000000"/>
              <w:left w:val="single" w:sz="2" w:space="0" w:color="000000"/>
              <w:bottom w:val="single" w:sz="2" w:space="0" w:color="000000"/>
              <w:right w:val="nil"/>
            </w:tcBorders>
          </w:tcPr>
          <w:p w:rsidR="009B0718" w:rsidRDefault="003E5407">
            <w:pPr>
              <w:spacing w:after="0" w:line="259" w:lineRule="auto"/>
              <w:ind w:left="5" w:firstLine="0"/>
              <w:jc w:val="left"/>
            </w:pPr>
            <w:proofErr w:type="spellStart"/>
            <w:r>
              <w:rPr>
                <w:sz w:val="26"/>
              </w:rPr>
              <w:t>kuch</w:t>
            </w:r>
            <w:proofErr w:type="spellEnd"/>
            <w:r>
              <w:rPr>
                <w:sz w:val="26"/>
              </w:rPr>
              <w:t xml:space="preserve"> </w:t>
            </w:r>
            <w:proofErr w:type="spellStart"/>
            <w:r>
              <w:rPr>
                <w:sz w:val="26"/>
              </w:rPr>
              <w:t>ňka</w:t>
            </w:r>
            <w:proofErr w:type="spellEnd"/>
          </w:p>
        </w:tc>
        <w:tc>
          <w:tcPr>
            <w:tcW w:w="2289" w:type="dxa"/>
            <w:tcBorders>
              <w:top w:val="single" w:sz="2" w:space="0" w:color="000000"/>
              <w:left w:val="nil"/>
              <w:bottom w:val="single" w:sz="2" w:space="0" w:color="000000"/>
              <w:right w:val="single" w:sz="2" w:space="0" w:color="000000"/>
            </w:tcBorders>
          </w:tcPr>
          <w:p w:rsidR="009B0718" w:rsidRDefault="009B0718">
            <w:pPr>
              <w:spacing w:after="160" w:line="259" w:lineRule="auto"/>
              <w:ind w:left="0" w:firstLine="0"/>
              <w:jc w:val="left"/>
            </w:pPr>
          </w:p>
        </w:tc>
        <w:tc>
          <w:tcPr>
            <w:tcW w:w="1553"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23" w:firstLine="0"/>
              <w:jc w:val="center"/>
            </w:pPr>
            <w:r>
              <w:rPr>
                <w:rFonts w:ascii="Calibri" w:eastAsia="Calibri" w:hAnsi="Calibri" w:cs="Calibri"/>
                <w:sz w:val="24"/>
              </w:rPr>
              <w:t>15,00</w:t>
            </w:r>
          </w:p>
        </w:tc>
        <w:tc>
          <w:tcPr>
            <w:tcW w:w="1822"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44" w:firstLine="0"/>
              <w:jc w:val="center"/>
            </w:pPr>
            <w:r>
              <w:rPr>
                <w:rFonts w:ascii="Calibri" w:eastAsia="Calibri" w:hAnsi="Calibri" w:cs="Calibri"/>
                <w:sz w:val="28"/>
              </w:rPr>
              <w:t>3</w:t>
            </w:r>
          </w:p>
        </w:tc>
      </w:tr>
      <w:tr w:rsidR="009B0718">
        <w:trPr>
          <w:trHeight w:val="259"/>
        </w:trPr>
        <w:tc>
          <w:tcPr>
            <w:tcW w:w="1952" w:type="dxa"/>
            <w:tcBorders>
              <w:top w:val="single" w:sz="2" w:space="0" w:color="000000"/>
              <w:left w:val="single" w:sz="2" w:space="0" w:color="000000"/>
              <w:bottom w:val="single" w:sz="2" w:space="0" w:color="000000"/>
              <w:right w:val="nil"/>
            </w:tcBorders>
          </w:tcPr>
          <w:p w:rsidR="009B0718" w:rsidRDefault="003E5407">
            <w:pPr>
              <w:spacing w:after="0" w:line="259" w:lineRule="auto"/>
              <w:ind w:left="5" w:firstLine="0"/>
              <w:jc w:val="left"/>
            </w:pPr>
            <w:r>
              <w:rPr>
                <w:sz w:val="26"/>
              </w:rPr>
              <w:t>Celkem m2</w:t>
            </w:r>
          </w:p>
        </w:tc>
        <w:tc>
          <w:tcPr>
            <w:tcW w:w="2289" w:type="dxa"/>
            <w:tcBorders>
              <w:top w:val="single" w:sz="2" w:space="0" w:color="000000"/>
              <w:left w:val="nil"/>
              <w:bottom w:val="single" w:sz="2" w:space="0" w:color="000000"/>
              <w:right w:val="single" w:sz="2" w:space="0" w:color="000000"/>
            </w:tcBorders>
          </w:tcPr>
          <w:p w:rsidR="009B0718" w:rsidRDefault="009B0718">
            <w:pPr>
              <w:spacing w:after="160" w:line="259" w:lineRule="auto"/>
              <w:ind w:left="0" w:firstLine="0"/>
              <w:jc w:val="left"/>
            </w:pPr>
          </w:p>
        </w:tc>
        <w:tc>
          <w:tcPr>
            <w:tcW w:w="1553" w:type="dxa"/>
            <w:tcBorders>
              <w:top w:val="single" w:sz="2" w:space="0" w:color="000000"/>
              <w:left w:val="single" w:sz="2" w:space="0" w:color="000000"/>
              <w:bottom w:val="single" w:sz="2" w:space="0" w:color="000000"/>
              <w:right w:val="single" w:sz="2" w:space="0" w:color="000000"/>
            </w:tcBorders>
          </w:tcPr>
          <w:p w:rsidR="009B0718" w:rsidRDefault="003E5407">
            <w:pPr>
              <w:spacing w:after="0" w:line="259" w:lineRule="auto"/>
              <w:ind w:left="0" w:right="38" w:firstLine="0"/>
              <w:jc w:val="center"/>
            </w:pPr>
            <w:r>
              <w:rPr>
                <w:rFonts w:ascii="Calibri" w:eastAsia="Calibri" w:hAnsi="Calibri" w:cs="Calibri"/>
                <w:sz w:val="24"/>
              </w:rPr>
              <w:t>94,00</w:t>
            </w:r>
          </w:p>
        </w:tc>
        <w:tc>
          <w:tcPr>
            <w:tcW w:w="1822" w:type="dxa"/>
            <w:tcBorders>
              <w:top w:val="single" w:sz="2" w:space="0" w:color="000000"/>
              <w:left w:val="single" w:sz="2" w:space="0" w:color="000000"/>
              <w:bottom w:val="single" w:sz="2" w:space="0" w:color="000000"/>
              <w:right w:val="single" w:sz="2" w:space="0" w:color="000000"/>
            </w:tcBorders>
          </w:tcPr>
          <w:p w:rsidR="009B0718" w:rsidRDefault="009B0718">
            <w:pPr>
              <w:spacing w:after="160" w:line="259" w:lineRule="auto"/>
              <w:ind w:left="0" w:firstLine="0"/>
              <w:jc w:val="left"/>
            </w:pPr>
          </w:p>
        </w:tc>
      </w:tr>
    </w:tbl>
    <w:p w:rsidR="009B0718" w:rsidRDefault="003E5407">
      <w:pPr>
        <w:spacing w:after="369"/>
        <w:ind w:left="850" w:right="14"/>
      </w:pPr>
      <w:r>
        <w:t>Dodání toaletního papíru a tekutého mýdla bude fakturováno každý měsíc dle spotřeby</w:t>
      </w:r>
      <w:proofErr w:type="gramStart"/>
      <w:r>
        <w:t>. ,</w:t>
      </w:r>
      <w:proofErr w:type="gramEnd"/>
      <w:r>
        <w:t xml:space="preserve"> desinfekce</w:t>
      </w:r>
    </w:p>
    <w:p w:rsidR="009B0718" w:rsidRDefault="003E5407">
      <w:pPr>
        <w:spacing w:after="0" w:line="259" w:lineRule="auto"/>
        <w:ind w:left="846" w:right="7981"/>
        <w:jc w:val="left"/>
      </w:pPr>
      <w:r>
        <w:rPr>
          <w:sz w:val="26"/>
        </w:rPr>
        <w:t>3x v týdnu:</w:t>
      </w:r>
    </w:p>
    <w:p w:rsidR="009B0718" w:rsidRDefault="003E5407">
      <w:pPr>
        <w:numPr>
          <w:ilvl w:val="0"/>
          <w:numId w:val="7"/>
        </w:numPr>
        <w:ind w:right="14" w:hanging="355"/>
      </w:pPr>
      <w:r>
        <w:t>vysypání a čištění, desinfekce odpadových košů</w:t>
      </w:r>
    </w:p>
    <w:p w:rsidR="009B0718" w:rsidRDefault="003E5407">
      <w:pPr>
        <w:numPr>
          <w:ilvl w:val="0"/>
          <w:numId w:val="7"/>
        </w:numPr>
        <w:ind w:right="14" w:hanging="355"/>
      </w:pPr>
      <w:r>
        <w:t>vysávání kobercových ploch vysavačem</w:t>
      </w:r>
    </w:p>
    <w:p w:rsidR="009B0718" w:rsidRDefault="003E5407">
      <w:pPr>
        <w:numPr>
          <w:ilvl w:val="0"/>
          <w:numId w:val="7"/>
        </w:numPr>
        <w:spacing w:after="93"/>
        <w:ind w:right="14" w:hanging="355"/>
      </w:pPr>
      <w:r>
        <w:t xml:space="preserve">setření prachu na nábytku, suchou nebo mokrou cestou </w:t>
      </w:r>
      <w:r>
        <w:rPr>
          <w:noProof/>
        </w:rPr>
        <w:drawing>
          <wp:inline distT="0" distB="0" distL="0" distR="0">
            <wp:extent cx="48788" cy="51816"/>
            <wp:effectExtent l="0" t="0" r="0" b="0"/>
            <wp:docPr id="13308" name="Picture 13308"/>
            <wp:cNvGraphicFramePr/>
            <a:graphic xmlns:a="http://schemas.openxmlformats.org/drawingml/2006/main">
              <a:graphicData uri="http://schemas.openxmlformats.org/drawingml/2006/picture">
                <pic:pic xmlns:pic="http://schemas.openxmlformats.org/drawingml/2006/picture">
                  <pic:nvPicPr>
                    <pic:cNvPr id="13308" name="Picture 13308"/>
                    <pic:cNvPicPr/>
                  </pic:nvPicPr>
                  <pic:blipFill>
                    <a:blip r:embed="rId12"/>
                    <a:stretch>
                      <a:fillRect/>
                    </a:stretch>
                  </pic:blipFill>
                  <pic:spPr>
                    <a:xfrm>
                      <a:off x="0" y="0"/>
                      <a:ext cx="48788" cy="51816"/>
                    </a:xfrm>
                    <a:prstGeom prst="rect">
                      <a:avLst/>
                    </a:prstGeom>
                  </pic:spPr>
                </pic:pic>
              </a:graphicData>
            </a:graphic>
          </wp:inline>
        </w:drawing>
      </w:r>
      <w:r>
        <w:t xml:space="preserve"> setření prachu na pracovních a konferenčních stolech (pouze na sklizených stolech), parapetech, obrazových rámech, čištění prosklení v nábytku</w:t>
      </w:r>
    </w:p>
    <w:p w:rsidR="009B0718" w:rsidRDefault="003E5407">
      <w:pPr>
        <w:numPr>
          <w:ilvl w:val="0"/>
          <w:numId w:val="7"/>
        </w:numPr>
        <w:spacing w:after="204" w:line="218" w:lineRule="auto"/>
        <w:ind w:right="14" w:hanging="355"/>
      </w:pPr>
      <w:r>
        <w:t xml:space="preserve">čištění rohoží </w:t>
      </w:r>
      <w:r>
        <w:rPr>
          <w:noProof/>
        </w:rPr>
        <w:drawing>
          <wp:inline distT="0" distB="0" distL="0" distR="0">
            <wp:extent cx="48788" cy="51817"/>
            <wp:effectExtent l="0" t="0" r="0" b="0"/>
            <wp:docPr id="13309" name="Picture 13309"/>
            <wp:cNvGraphicFramePr/>
            <a:graphic xmlns:a="http://schemas.openxmlformats.org/drawingml/2006/main">
              <a:graphicData uri="http://schemas.openxmlformats.org/drawingml/2006/picture">
                <pic:pic xmlns:pic="http://schemas.openxmlformats.org/drawingml/2006/picture">
                  <pic:nvPicPr>
                    <pic:cNvPr id="13309" name="Picture 13309"/>
                    <pic:cNvPicPr/>
                  </pic:nvPicPr>
                  <pic:blipFill>
                    <a:blip r:embed="rId13"/>
                    <a:stretch>
                      <a:fillRect/>
                    </a:stretch>
                  </pic:blipFill>
                  <pic:spPr>
                    <a:xfrm>
                      <a:off x="0" y="0"/>
                      <a:ext cx="48788" cy="51817"/>
                    </a:xfrm>
                    <a:prstGeom prst="rect">
                      <a:avLst/>
                    </a:prstGeom>
                  </pic:spPr>
                </pic:pic>
              </a:graphicData>
            </a:graphic>
          </wp:inline>
        </w:drawing>
      </w:r>
      <w:r>
        <w:tab/>
        <w:t xml:space="preserve">čištění vstupních dveří </w:t>
      </w:r>
      <w:r>
        <w:rPr>
          <w:noProof/>
        </w:rPr>
        <w:drawing>
          <wp:inline distT="0" distB="0" distL="0" distR="0">
            <wp:extent cx="48788" cy="51816"/>
            <wp:effectExtent l="0" t="0" r="0" b="0"/>
            <wp:docPr id="13310" name="Picture 13310"/>
            <wp:cNvGraphicFramePr/>
            <a:graphic xmlns:a="http://schemas.openxmlformats.org/drawingml/2006/main">
              <a:graphicData uri="http://schemas.openxmlformats.org/drawingml/2006/picture">
                <pic:pic xmlns:pic="http://schemas.openxmlformats.org/drawingml/2006/picture">
                  <pic:nvPicPr>
                    <pic:cNvPr id="13310" name="Picture 13310"/>
                    <pic:cNvPicPr/>
                  </pic:nvPicPr>
                  <pic:blipFill>
                    <a:blip r:embed="rId14"/>
                    <a:stretch>
                      <a:fillRect/>
                    </a:stretch>
                  </pic:blipFill>
                  <pic:spPr>
                    <a:xfrm>
                      <a:off x="0" y="0"/>
                      <a:ext cx="48788" cy="51816"/>
                    </a:xfrm>
                    <a:prstGeom prst="rect">
                      <a:avLst/>
                    </a:prstGeom>
                  </pic:spPr>
                </pic:pic>
              </a:graphicData>
            </a:graphic>
          </wp:inline>
        </w:drawing>
      </w:r>
      <w:r>
        <w:tab/>
        <w:t xml:space="preserve">setření prachu na podnožích židlí </w:t>
      </w:r>
      <w:r>
        <w:rPr>
          <w:noProof/>
        </w:rPr>
        <w:drawing>
          <wp:inline distT="0" distB="0" distL="0" distR="0">
            <wp:extent cx="48788" cy="51816"/>
            <wp:effectExtent l="0" t="0" r="0" b="0"/>
            <wp:docPr id="13311" name="Picture 13311"/>
            <wp:cNvGraphicFramePr/>
            <a:graphic xmlns:a="http://schemas.openxmlformats.org/drawingml/2006/main">
              <a:graphicData uri="http://schemas.openxmlformats.org/drawingml/2006/picture">
                <pic:pic xmlns:pic="http://schemas.openxmlformats.org/drawingml/2006/picture">
                  <pic:nvPicPr>
                    <pic:cNvPr id="13311" name="Picture 13311"/>
                    <pic:cNvPicPr/>
                  </pic:nvPicPr>
                  <pic:blipFill>
                    <a:blip r:embed="rId15"/>
                    <a:stretch>
                      <a:fillRect/>
                    </a:stretch>
                  </pic:blipFill>
                  <pic:spPr>
                    <a:xfrm>
                      <a:off x="0" y="0"/>
                      <a:ext cx="48788" cy="51816"/>
                    </a:xfrm>
                    <a:prstGeom prst="rect">
                      <a:avLst/>
                    </a:prstGeom>
                  </pic:spPr>
                </pic:pic>
              </a:graphicData>
            </a:graphic>
          </wp:inline>
        </w:drawing>
      </w:r>
      <w:r>
        <w:tab/>
        <w:t xml:space="preserve">čištění dveří včetně rámů, klik a madel rámů </w:t>
      </w:r>
      <w:r>
        <w:rPr>
          <w:noProof/>
        </w:rPr>
        <w:drawing>
          <wp:inline distT="0" distB="0" distL="0" distR="0">
            <wp:extent cx="48788" cy="54864"/>
            <wp:effectExtent l="0" t="0" r="0" b="0"/>
            <wp:docPr id="13312" name="Picture 13312"/>
            <wp:cNvGraphicFramePr/>
            <a:graphic xmlns:a="http://schemas.openxmlformats.org/drawingml/2006/main">
              <a:graphicData uri="http://schemas.openxmlformats.org/drawingml/2006/picture">
                <pic:pic xmlns:pic="http://schemas.openxmlformats.org/drawingml/2006/picture">
                  <pic:nvPicPr>
                    <pic:cNvPr id="13312" name="Picture 13312"/>
                    <pic:cNvPicPr/>
                  </pic:nvPicPr>
                  <pic:blipFill>
                    <a:blip r:embed="rId16"/>
                    <a:stretch>
                      <a:fillRect/>
                    </a:stretch>
                  </pic:blipFill>
                  <pic:spPr>
                    <a:xfrm>
                      <a:off x="0" y="0"/>
                      <a:ext cx="48788" cy="54864"/>
                    </a:xfrm>
                    <a:prstGeom prst="rect">
                      <a:avLst/>
                    </a:prstGeom>
                  </pic:spPr>
                </pic:pic>
              </a:graphicData>
            </a:graphic>
          </wp:inline>
        </w:drawing>
      </w:r>
      <w:r>
        <w:tab/>
        <w:t>otření stolních osvětlovacích těles a vypínačů</w:t>
      </w:r>
    </w:p>
    <w:p w:rsidR="009B0718" w:rsidRDefault="003E5407">
      <w:pPr>
        <w:spacing w:after="0" w:line="259" w:lineRule="auto"/>
        <w:ind w:left="831"/>
        <w:jc w:val="left"/>
      </w:pPr>
      <w:r>
        <w:rPr>
          <w:rFonts w:ascii="Calibri" w:eastAsia="Calibri" w:hAnsi="Calibri" w:cs="Calibri"/>
          <w:sz w:val="26"/>
        </w:rPr>
        <w:t>1x za měsíc:</w:t>
      </w:r>
    </w:p>
    <w:p w:rsidR="009B0718" w:rsidRDefault="003E5407">
      <w:pPr>
        <w:numPr>
          <w:ilvl w:val="0"/>
          <w:numId w:val="7"/>
        </w:numPr>
        <w:spacing w:after="176"/>
        <w:ind w:right="14" w:hanging="355"/>
      </w:pPr>
      <w:r>
        <w:t>čištění nábytku</w:t>
      </w:r>
    </w:p>
    <w:p w:rsidR="009B0718" w:rsidRDefault="003E5407">
      <w:pPr>
        <w:spacing w:after="355"/>
        <w:ind w:left="822" w:right="7885"/>
      </w:pPr>
      <w:r>
        <w:rPr>
          <w:rFonts w:ascii="Calibri" w:eastAsia="Calibri" w:hAnsi="Calibri" w:cs="Calibri"/>
        </w:rPr>
        <w:t xml:space="preserve">1x ročně: </w:t>
      </w:r>
      <w:r>
        <w:rPr>
          <w:noProof/>
        </w:rPr>
        <w:drawing>
          <wp:inline distT="0" distB="0" distL="0" distR="0">
            <wp:extent cx="48788" cy="51816"/>
            <wp:effectExtent l="0" t="0" r="0" b="0"/>
            <wp:docPr id="13313" name="Picture 13313"/>
            <wp:cNvGraphicFramePr/>
            <a:graphic xmlns:a="http://schemas.openxmlformats.org/drawingml/2006/main">
              <a:graphicData uri="http://schemas.openxmlformats.org/drawingml/2006/picture">
                <pic:pic xmlns:pic="http://schemas.openxmlformats.org/drawingml/2006/picture">
                  <pic:nvPicPr>
                    <pic:cNvPr id="13313" name="Picture 13313"/>
                    <pic:cNvPicPr/>
                  </pic:nvPicPr>
                  <pic:blipFill>
                    <a:blip r:embed="rId17"/>
                    <a:stretch>
                      <a:fillRect/>
                    </a:stretch>
                  </pic:blipFill>
                  <pic:spPr>
                    <a:xfrm>
                      <a:off x="0" y="0"/>
                      <a:ext cx="48788" cy="51816"/>
                    </a:xfrm>
                    <a:prstGeom prst="rect">
                      <a:avLst/>
                    </a:prstGeom>
                  </pic:spPr>
                </pic:pic>
              </a:graphicData>
            </a:graphic>
          </wp:inline>
        </w:drawing>
      </w:r>
      <w:r>
        <w:t xml:space="preserve"> leštění nábytku</w:t>
      </w:r>
    </w:p>
    <w:p w:rsidR="009B0718" w:rsidRDefault="003E5407">
      <w:pPr>
        <w:spacing w:after="0" w:line="259" w:lineRule="auto"/>
        <w:ind w:left="831"/>
        <w:jc w:val="left"/>
      </w:pPr>
      <w:r>
        <w:rPr>
          <w:rFonts w:ascii="Calibri" w:eastAsia="Calibri" w:hAnsi="Calibri" w:cs="Calibri"/>
          <w:sz w:val="26"/>
        </w:rPr>
        <w:t>2x ročně:</w:t>
      </w:r>
    </w:p>
    <w:p w:rsidR="009B0718" w:rsidRDefault="003E5407">
      <w:pPr>
        <w:numPr>
          <w:ilvl w:val="0"/>
          <w:numId w:val="7"/>
        </w:numPr>
        <w:spacing w:after="184"/>
        <w:ind w:right="14" w:hanging="355"/>
      </w:pPr>
      <w:r>
        <w:t>čištění přístupn</w:t>
      </w:r>
      <w:r>
        <w:t>ých radiátorových těles, ev. radiátorových krytů</w:t>
      </w:r>
    </w:p>
    <w:p w:rsidR="009B0718" w:rsidRDefault="003E5407">
      <w:pPr>
        <w:spacing w:after="0" w:line="259" w:lineRule="auto"/>
        <w:ind w:left="817"/>
        <w:jc w:val="left"/>
      </w:pPr>
      <w:r>
        <w:rPr>
          <w:sz w:val="28"/>
          <w:u w:val="single" w:color="000000"/>
        </w:rPr>
        <w:lastRenderedPageBreak/>
        <w:t>Kuchyňka</w:t>
      </w:r>
    </w:p>
    <w:p w:rsidR="009B0718" w:rsidRDefault="003E5407">
      <w:pPr>
        <w:spacing w:after="0" w:line="259" w:lineRule="auto"/>
        <w:ind w:left="812" w:right="7981"/>
        <w:jc w:val="left"/>
      </w:pPr>
      <w:r>
        <w:rPr>
          <w:sz w:val="26"/>
        </w:rPr>
        <w:t>3x v týdnu:</w:t>
      </w:r>
    </w:p>
    <w:p w:rsidR="009B0718" w:rsidRDefault="003E5407">
      <w:pPr>
        <w:numPr>
          <w:ilvl w:val="0"/>
          <w:numId w:val="7"/>
        </w:numPr>
        <w:ind w:right="14" w:hanging="355"/>
      </w:pPr>
      <w:r>
        <w:t>vytírání a zametání všech podlahových prostor s tvrdou pochůzkovou plochou,</w:t>
      </w:r>
    </w:p>
    <w:p w:rsidR="009B0718" w:rsidRDefault="003E5407">
      <w:pPr>
        <w:numPr>
          <w:ilvl w:val="0"/>
          <w:numId w:val="7"/>
        </w:numPr>
        <w:spacing w:after="259"/>
        <w:ind w:right="14" w:hanging="355"/>
      </w:pPr>
      <w:r>
        <w:t>setření prachu na nábytku suchou nebo mokrou cestou, mytí dřezů a odkládacích desek na kuchyňských linkách</w:t>
      </w:r>
    </w:p>
    <w:p w:rsidR="009B0718" w:rsidRDefault="003E5407">
      <w:pPr>
        <w:spacing w:after="0" w:line="259" w:lineRule="auto"/>
        <w:ind w:left="817"/>
        <w:jc w:val="left"/>
      </w:pPr>
      <w:r>
        <w:rPr>
          <w:sz w:val="28"/>
        </w:rPr>
        <w:t xml:space="preserve">1x </w:t>
      </w:r>
      <w:r>
        <w:rPr>
          <w:sz w:val="28"/>
        </w:rPr>
        <w:t>za měsíc:</w:t>
      </w:r>
    </w:p>
    <w:p w:rsidR="009B0718" w:rsidRDefault="003E5407">
      <w:pPr>
        <w:ind w:left="802" w:right="14"/>
      </w:pPr>
      <w:r>
        <w:t>čištění nábytku</w:t>
      </w:r>
    </w:p>
    <w:p w:rsidR="009B0718" w:rsidRDefault="003E5407">
      <w:pPr>
        <w:spacing w:after="521" w:line="259" w:lineRule="auto"/>
        <w:ind w:left="0" w:right="768" w:firstLine="0"/>
        <w:jc w:val="right"/>
      </w:pPr>
      <w:r>
        <w:rPr>
          <w:sz w:val="24"/>
        </w:rPr>
        <w:t>č. 2</w:t>
      </w:r>
    </w:p>
    <w:p w:rsidR="009B0718" w:rsidRDefault="003E5407">
      <w:pPr>
        <w:spacing w:after="0" w:line="259" w:lineRule="auto"/>
        <w:ind w:left="557"/>
        <w:jc w:val="left"/>
      </w:pPr>
      <w:r>
        <w:rPr>
          <w:sz w:val="28"/>
        </w:rPr>
        <w:t>Chodba</w:t>
      </w:r>
    </w:p>
    <w:p w:rsidR="009B0718" w:rsidRDefault="003E5407">
      <w:pPr>
        <w:spacing w:after="159" w:line="259" w:lineRule="auto"/>
        <w:ind w:left="562" w:right="7981"/>
        <w:jc w:val="left"/>
      </w:pPr>
      <w:r>
        <w:rPr>
          <w:sz w:val="26"/>
        </w:rPr>
        <w:t>3x týdnu:</w:t>
      </w:r>
    </w:p>
    <w:p w:rsidR="009B0718" w:rsidRDefault="003E5407">
      <w:pPr>
        <w:numPr>
          <w:ilvl w:val="0"/>
          <w:numId w:val="7"/>
        </w:numPr>
        <w:ind w:right="14" w:hanging="355"/>
      </w:pPr>
      <w:r>
        <w:t>vytírání nebo zametání všech podlahových prostor s tvrdou pochůzkovou plochou,</w:t>
      </w:r>
    </w:p>
    <w:p w:rsidR="009B0718" w:rsidRDefault="003E5407">
      <w:pPr>
        <w:numPr>
          <w:ilvl w:val="0"/>
          <w:numId w:val="7"/>
        </w:numPr>
        <w:ind w:right="14" w:hanging="355"/>
      </w:pPr>
      <w:r>
        <w:t>čištění rohoží,</w:t>
      </w:r>
    </w:p>
    <w:p w:rsidR="009B0718" w:rsidRDefault="003E5407">
      <w:pPr>
        <w:numPr>
          <w:ilvl w:val="0"/>
          <w:numId w:val="7"/>
        </w:numPr>
        <w:spacing w:after="698"/>
        <w:ind w:right="14" w:hanging="355"/>
      </w:pPr>
      <w:r>
        <w:t>setření prachu na parapetech</w:t>
      </w:r>
    </w:p>
    <w:p w:rsidR="009B0718" w:rsidRDefault="003E5407">
      <w:pPr>
        <w:spacing w:after="0" w:line="259" w:lineRule="auto"/>
        <w:ind w:left="562" w:right="7981"/>
        <w:jc w:val="left"/>
      </w:pPr>
      <w:r>
        <w:rPr>
          <w:sz w:val="26"/>
        </w:rPr>
        <w:t>3x týdnu:</w:t>
      </w:r>
    </w:p>
    <w:p w:rsidR="009B0718" w:rsidRDefault="003E5407">
      <w:pPr>
        <w:numPr>
          <w:ilvl w:val="0"/>
          <w:numId w:val="7"/>
        </w:numPr>
        <w:ind w:right="14" w:hanging="355"/>
      </w:pPr>
      <w:r>
        <w:t>vytírání nebo zametání všech podlahových prostor s tvrdou pochůzkovou plochou</w:t>
      </w:r>
    </w:p>
    <w:p w:rsidR="009B0718" w:rsidRDefault="003E5407">
      <w:pPr>
        <w:numPr>
          <w:ilvl w:val="0"/>
          <w:numId w:val="7"/>
        </w:numPr>
        <w:spacing w:after="0"/>
        <w:ind w:right="14" w:hanging="355"/>
      </w:pPr>
      <w:r>
        <w:t xml:space="preserve">čištění a dezinfekce záchodových mís včetně prkének, pisoárů, vodovodních baterií, </w:t>
      </w:r>
      <w:proofErr w:type="gramStart"/>
      <w:r>
        <w:t>umývadel„ čištění</w:t>
      </w:r>
      <w:proofErr w:type="gramEnd"/>
      <w:r>
        <w:t xml:space="preserve"> zrcadel a doplnění veškerých </w:t>
      </w:r>
      <w:proofErr w:type="spellStart"/>
      <w:r>
        <w:t>toal</w:t>
      </w:r>
      <w:proofErr w:type="spellEnd"/>
      <w:r>
        <w:t>. potřeb (</w:t>
      </w:r>
      <w:proofErr w:type="spellStart"/>
      <w:r>
        <w:t>toal</w:t>
      </w:r>
      <w:proofErr w:type="spellEnd"/>
      <w:r>
        <w:t>. papír, papírové ručníky, tek</w:t>
      </w:r>
      <w:r>
        <w:t>utá mýdla</w:t>
      </w:r>
    </w:p>
    <w:p w:rsidR="009B0718" w:rsidRDefault="003E5407">
      <w:pPr>
        <w:numPr>
          <w:ilvl w:val="0"/>
          <w:numId w:val="7"/>
        </w:numPr>
        <w:spacing w:after="0"/>
        <w:ind w:right="14" w:hanging="355"/>
      </w:pPr>
      <w:r>
        <w:t xml:space="preserve">vysypání, čištění a desinfekce odpadových košů (na WC — ženy musí být zajištěny kontejnery na použité </w:t>
      </w:r>
      <w:proofErr w:type="spellStart"/>
      <w:r>
        <w:t>hyg</w:t>
      </w:r>
      <w:proofErr w:type="spellEnd"/>
      <w:r>
        <w:t>. potřeby)</w:t>
      </w:r>
    </w:p>
    <w:p w:rsidR="009B0718" w:rsidRDefault="003E5407">
      <w:pPr>
        <w:numPr>
          <w:ilvl w:val="0"/>
          <w:numId w:val="7"/>
        </w:numPr>
        <w:spacing w:after="0" w:line="280" w:lineRule="auto"/>
        <w:ind w:right="14" w:hanging="355"/>
      </w:pPr>
      <w:r>
        <w:t xml:space="preserve">čištění keramických obkladů a dlaždic </w:t>
      </w:r>
      <w:r>
        <w:t>1x za týden:</w:t>
      </w:r>
    </w:p>
    <w:p w:rsidR="009B0718" w:rsidRDefault="003E5407">
      <w:pPr>
        <w:numPr>
          <w:ilvl w:val="0"/>
          <w:numId w:val="7"/>
        </w:numPr>
        <w:ind w:right="14" w:hanging="355"/>
      </w:pPr>
      <w:r>
        <w:t>čištění dveří včetně rámů, klik a madel rámů</w:t>
      </w:r>
    </w:p>
    <w:p w:rsidR="009B0718" w:rsidRDefault="003E5407">
      <w:pPr>
        <w:numPr>
          <w:ilvl w:val="0"/>
          <w:numId w:val="7"/>
        </w:numPr>
        <w:ind w:right="14" w:hanging="355"/>
      </w:pPr>
      <w:r>
        <w:t xml:space="preserve">čištění mezistěn </w:t>
      </w:r>
      <w:r>
        <w:t>1x za měsíc:</w:t>
      </w:r>
    </w:p>
    <w:p w:rsidR="009B0718" w:rsidRDefault="003E5407">
      <w:pPr>
        <w:numPr>
          <w:ilvl w:val="0"/>
          <w:numId w:val="7"/>
        </w:numPr>
        <w:spacing w:after="266"/>
        <w:ind w:right="14" w:hanging="355"/>
      </w:pPr>
      <w:r>
        <w:t>omytí venkovního povrchu splachovačů</w:t>
      </w:r>
    </w:p>
    <w:p w:rsidR="009B0718" w:rsidRDefault="003E5407">
      <w:pPr>
        <w:spacing w:after="0" w:line="259" w:lineRule="auto"/>
        <w:ind w:left="557"/>
        <w:jc w:val="left"/>
      </w:pPr>
      <w:r>
        <w:rPr>
          <w:sz w:val="28"/>
          <w:u w:val="single" w:color="000000"/>
        </w:rPr>
        <w:t>Na zvláštní objednávku:</w:t>
      </w:r>
    </w:p>
    <w:p w:rsidR="009B0718" w:rsidRDefault="003E5407">
      <w:pPr>
        <w:spacing w:after="507"/>
        <w:ind w:left="547" w:right="274" w:hanging="547"/>
      </w:pPr>
      <w:r>
        <w:t xml:space="preserve">13. </w:t>
      </w:r>
      <w:r>
        <w:t>Úklid po malířích, větších stavebních úpravách, mytí stropních osvětlovacích těles, a další práce dle přání objednatele atd. by byl řešen zvláštní objednávkou zadavatele, v hodinov</w:t>
      </w:r>
      <w:r>
        <w:t xml:space="preserve">é sazbě 150,- Kč. čištění koberců cena za </w:t>
      </w:r>
      <w:proofErr w:type="gramStart"/>
      <w:r>
        <w:t>1m</w:t>
      </w:r>
      <w:r>
        <w:rPr>
          <w:vertAlign w:val="superscript"/>
        </w:rPr>
        <w:t>2</w:t>
      </w:r>
      <w:proofErr w:type="gramEnd"/>
      <w:r>
        <w:rPr>
          <w:vertAlign w:val="superscript"/>
        </w:rPr>
        <w:t xml:space="preserve"> </w:t>
      </w:r>
      <w:r>
        <w:t>= 13,- Kč mytí vnitřků vozidel = 660,- Kč Ceny jsou uvedeny bez DPH</w:t>
      </w:r>
    </w:p>
    <w:p w:rsidR="009B0718" w:rsidRDefault="003E5407">
      <w:pPr>
        <w:spacing w:after="333" w:line="259" w:lineRule="auto"/>
        <w:ind w:left="2526"/>
        <w:jc w:val="center"/>
      </w:pPr>
      <w:proofErr w:type="spellStart"/>
      <w:proofErr w:type="gramStart"/>
      <w:r>
        <w:t>Häusle</w:t>
      </w:r>
      <w:r w:rsidR="001D4B38">
        <w:t>r</w:t>
      </w:r>
      <w:proofErr w:type="spellEnd"/>
      <w:r>
        <w:t xml:space="preserve"> - LESK</w:t>
      </w:r>
      <w:proofErr w:type="gramEnd"/>
    </w:p>
    <w:p w:rsidR="009B0718" w:rsidRDefault="009B0718">
      <w:pPr>
        <w:sectPr w:rsidR="009B0718">
          <w:headerReference w:type="even" r:id="rId18"/>
          <w:headerReference w:type="default" r:id="rId19"/>
          <w:headerReference w:type="first" r:id="rId20"/>
          <w:pgSz w:w="11894" w:h="16344"/>
          <w:pgMar w:top="451" w:right="514" w:bottom="1272" w:left="999" w:header="451" w:footer="708" w:gutter="0"/>
          <w:cols w:space="708"/>
        </w:sectPr>
      </w:pPr>
    </w:p>
    <w:p w:rsidR="009B0718" w:rsidRDefault="003E5407">
      <w:pPr>
        <w:spacing w:after="0" w:line="216" w:lineRule="auto"/>
        <w:ind w:left="5801" w:right="182" w:hanging="557"/>
        <w:jc w:val="left"/>
      </w:pPr>
      <w:r>
        <w:rPr>
          <w:sz w:val="20"/>
        </w:rPr>
        <w:t xml:space="preserve">Musilova 14, 506 </w:t>
      </w:r>
      <w:r>
        <w:rPr>
          <w:sz w:val="20"/>
        </w:rPr>
        <w:t>č: 40469212</w:t>
      </w:r>
    </w:p>
    <w:p w:rsidR="009B0718" w:rsidRDefault="003E5407">
      <w:pPr>
        <w:tabs>
          <w:tab w:val="center" w:pos="5964"/>
          <w:tab w:val="center" w:pos="6797"/>
        </w:tabs>
        <w:spacing w:after="609" w:line="259" w:lineRule="auto"/>
        <w:ind w:left="0" w:firstLine="0"/>
        <w:jc w:val="left"/>
      </w:pPr>
      <w:r>
        <w:rPr>
          <w:sz w:val="18"/>
        </w:rPr>
        <w:tab/>
      </w:r>
      <w:proofErr w:type="gramStart"/>
      <w:r>
        <w:rPr>
          <w:sz w:val="18"/>
        </w:rPr>
        <w:t>tel :</w:t>
      </w:r>
      <w:proofErr w:type="gramEnd"/>
      <w:r>
        <w:rPr>
          <w:sz w:val="18"/>
        </w:rPr>
        <w:t xml:space="preserve"> 567 </w:t>
      </w:r>
      <w:r>
        <w:rPr>
          <w:sz w:val="18"/>
        </w:rPr>
        <w:tab/>
        <w:t xml:space="preserve">237 </w:t>
      </w:r>
    </w:p>
    <w:p w:rsidR="009B0718" w:rsidRDefault="003E5407">
      <w:pPr>
        <w:tabs>
          <w:tab w:val="right" w:pos="7899"/>
        </w:tabs>
        <w:ind w:left="0" w:firstLine="0"/>
        <w:jc w:val="left"/>
      </w:pPr>
      <w:r>
        <w:t>V Jihlavě</w:t>
      </w:r>
      <w:proofErr w:type="gramStart"/>
      <w:r>
        <w:t xml:space="preserve">, </w:t>
      </w:r>
      <w:r>
        <w:t>.</w:t>
      </w:r>
      <w:proofErr w:type="gramEnd"/>
      <w:r>
        <w:t>27.6.2014</w:t>
      </w:r>
      <w:r>
        <w:tab/>
      </w:r>
      <w:proofErr w:type="spellStart"/>
      <w:r>
        <w:t>Häusler</w:t>
      </w:r>
      <w:proofErr w:type="spellEnd"/>
      <w:r>
        <w:t xml:space="preserve"> Aleš majitel </w:t>
      </w:r>
      <w:proofErr w:type="spellStart"/>
      <w:r>
        <w:t>firm</w:t>
      </w:r>
      <w:proofErr w:type="spellEnd"/>
    </w:p>
    <w:sectPr w:rsidR="009B0718">
      <w:type w:val="continuous"/>
      <w:pgSz w:w="11894" w:h="16344"/>
      <w:pgMar w:top="451" w:right="2473" w:bottom="5668" w:left="152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407" w:rsidRDefault="003E5407">
      <w:pPr>
        <w:spacing w:after="0" w:line="240" w:lineRule="auto"/>
      </w:pPr>
      <w:r>
        <w:separator/>
      </w:r>
    </w:p>
  </w:endnote>
  <w:endnote w:type="continuationSeparator" w:id="0">
    <w:p w:rsidR="003E5407" w:rsidRDefault="003E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407" w:rsidRDefault="003E5407">
      <w:pPr>
        <w:spacing w:after="0" w:line="240" w:lineRule="auto"/>
      </w:pPr>
      <w:r>
        <w:separator/>
      </w:r>
    </w:p>
  </w:footnote>
  <w:footnote w:type="continuationSeparator" w:id="0">
    <w:p w:rsidR="003E5407" w:rsidRDefault="003E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18" w:rsidRDefault="003E5407">
    <w:pPr>
      <w:spacing w:after="0" w:line="259" w:lineRule="auto"/>
      <w:ind w:left="0" w:right="163" w:firstLine="0"/>
      <w:jc w:val="right"/>
    </w:pPr>
    <w:r>
      <w:t xml:space="preserve">list </w:t>
    </w:r>
    <w:r>
      <w:rPr>
        <w:sz w:val="28"/>
      </w:rPr>
      <w:t xml:space="preserve">č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18" w:rsidRDefault="003E5407">
    <w:pPr>
      <w:spacing w:after="0" w:line="259" w:lineRule="auto"/>
      <w:ind w:left="0" w:right="163" w:firstLine="0"/>
      <w:jc w:val="right"/>
    </w:pPr>
    <w:r>
      <w:t xml:space="preserve">list </w:t>
    </w:r>
    <w:r>
      <w:rPr>
        <w:sz w:val="28"/>
      </w:rPr>
      <w:t xml:space="preserve">č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18" w:rsidRDefault="003E5407">
    <w:pPr>
      <w:spacing w:after="0" w:line="259" w:lineRule="auto"/>
      <w:ind w:left="0" w:right="163" w:firstLine="0"/>
      <w:jc w:val="right"/>
    </w:pPr>
    <w:r>
      <w:t xml:space="preserve">list </w:t>
    </w:r>
    <w:r>
      <w:rPr>
        <w:sz w:val="28"/>
      </w:rPr>
      <w:t xml:space="preserve">č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18" w:rsidRDefault="003E5407">
    <w:pPr>
      <w:spacing w:after="0" w:line="259" w:lineRule="auto"/>
      <w:ind w:left="0" w:right="1124" w:firstLine="0"/>
      <w:jc w:val="right"/>
    </w:pPr>
    <w:r>
      <w:t xml:space="preserve">list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18" w:rsidRDefault="003E5407">
    <w:pPr>
      <w:spacing w:after="0" w:line="259" w:lineRule="auto"/>
      <w:ind w:left="0" w:right="298" w:firstLine="0"/>
      <w:jc w:val="right"/>
    </w:pPr>
    <w:r>
      <w:t xml:space="preserve">list </w:t>
    </w:r>
    <w:r>
      <w:rPr>
        <w:sz w:val="26"/>
      </w:rPr>
      <w:t xml:space="preserve">č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18" w:rsidRDefault="003E5407">
    <w:pPr>
      <w:spacing w:after="0" w:line="259" w:lineRule="auto"/>
      <w:ind w:left="0" w:right="298" w:firstLine="0"/>
      <w:jc w:val="right"/>
    </w:pPr>
    <w:r>
      <w:t xml:space="preserve">list </w:t>
    </w:r>
    <w:r>
      <w:rPr>
        <w:sz w:val="26"/>
      </w:rPr>
      <w:t xml:space="preserve">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5.4pt;height:6pt" coordsize="" o:spt="100" o:bullet="t" adj="0,,0" path="" stroked="f">
        <v:stroke joinstyle="miter"/>
        <v:imagedata r:id="rId1" o:title="image19"/>
        <v:formulas/>
        <v:path o:connecttype="segments"/>
      </v:shape>
    </w:pict>
  </w:numPicBullet>
  <w:abstractNum w:abstractNumId="0" w15:restartNumberingAfterBreak="0">
    <w:nsid w:val="001E2F53"/>
    <w:multiLevelType w:val="hybridMultilevel"/>
    <w:tmpl w:val="70A01CF8"/>
    <w:lvl w:ilvl="0" w:tplc="A8F4234E">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D2E2E378">
      <w:start w:val="5"/>
      <w:numFmt w:val="lowerLetter"/>
      <w:lvlText w:val="%2)"/>
      <w:lvlJc w:val="left"/>
      <w:pPr>
        <w:ind w:left="87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05365886">
      <w:start w:val="1"/>
      <w:numFmt w:val="lowerRoman"/>
      <w:lvlText w:val="%3"/>
      <w:lvlJc w:val="left"/>
      <w:pPr>
        <w:ind w:left="166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8BBAFAE4">
      <w:start w:val="1"/>
      <w:numFmt w:val="decimal"/>
      <w:lvlText w:val="%4"/>
      <w:lvlJc w:val="left"/>
      <w:pPr>
        <w:ind w:left="23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F18C24A">
      <w:start w:val="1"/>
      <w:numFmt w:val="lowerLetter"/>
      <w:lvlText w:val="%5"/>
      <w:lvlJc w:val="left"/>
      <w:pPr>
        <w:ind w:left="310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4314C59E">
      <w:start w:val="1"/>
      <w:numFmt w:val="lowerRoman"/>
      <w:lvlText w:val="%6"/>
      <w:lvlJc w:val="left"/>
      <w:pPr>
        <w:ind w:left="382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D3A61400">
      <w:start w:val="1"/>
      <w:numFmt w:val="decimal"/>
      <w:lvlText w:val="%7"/>
      <w:lvlJc w:val="left"/>
      <w:pPr>
        <w:ind w:left="4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85103494">
      <w:start w:val="1"/>
      <w:numFmt w:val="lowerLetter"/>
      <w:lvlText w:val="%8"/>
      <w:lvlJc w:val="left"/>
      <w:pPr>
        <w:ind w:left="526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7262B75E">
      <w:start w:val="1"/>
      <w:numFmt w:val="lowerRoman"/>
      <w:lvlText w:val="%9"/>
      <w:lvlJc w:val="left"/>
      <w:pPr>
        <w:ind w:left="598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51467A8"/>
    <w:multiLevelType w:val="hybridMultilevel"/>
    <w:tmpl w:val="BDC853F4"/>
    <w:lvl w:ilvl="0" w:tplc="46769D58">
      <w:start w:val="14"/>
      <w:numFmt w:val="decimal"/>
      <w:lvlText w:val="%1."/>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D87118">
      <w:start w:val="1"/>
      <w:numFmt w:val="decimal"/>
      <w:lvlText w:val="%2."/>
      <w:lvlJc w:val="left"/>
      <w:pPr>
        <w:ind w:left="10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FDA3F4E">
      <w:start w:val="1"/>
      <w:numFmt w:val="lowerRoman"/>
      <w:lvlText w:val="%3"/>
      <w:lvlJc w:val="left"/>
      <w:pPr>
        <w:ind w:left="16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2945AF6">
      <w:start w:val="1"/>
      <w:numFmt w:val="decimal"/>
      <w:lvlText w:val="%4"/>
      <w:lvlJc w:val="left"/>
      <w:pPr>
        <w:ind w:left="23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9EA3AAA">
      <w:start w:val="1"/>
      <w:numFmt w:val="lowerLetter"/>
      <w:lvlText w:val="%5"/>
      <w:lvlJc w:val="left"/>
      <w:pPr>
        <w:ind w:left="3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B1EA0C8">
      <w:start w:val="1"/>
      <w:numFmt w:val="lowerRoman"/>
      <w:lvlText w:val="%6"/>
      <w:lvlJc w:val="left"/>
      <w:pPr>
        <w:ind w:left="3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F4C2DE8">
      <w:start w:val="1"/>
      <w:numFmt w:val="decimal"/>
      <w:lvlText w:val="%7"/>
      <w:lvlJc w:val="left"/>
      <w:pPr>
        <w:ind w:left="45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67CCFA8">
      <w:start w:val="1"/>
      <w:numFmt w:val="lowerLetter"/>
      <w:lvlText w:val="%8"/>
      <w:lvlJc w:val="left"/>
      <w:pPr>
        <w:ind w:left="5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0D8A1AA">
      <w:start w:val="1"/>
      <w:numFmt w:val="lowerRoman"/>
      <w:lvlText w:val="%9"/>
      <w:lvlJc w:val="left"/>
      <w:pPr>
        <w:ind w:left="5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161204"/>
    <w:multiLevelType w:val="hybridMultilevel"/>
    <w:tmpl w:val="D3642C2C"/>
    <w:lvl w:ilvl="0" w:tplc="EA66F3CE">
      <w:start w:val="2"/>
      <w:numFmt w:val="decimal"/>
      <w:lvlText w:val="%1."/>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CCFA96">
      <w:start w:val="1"/>
      <w:numFmt w:val="lowerLetter"/>
      <w:lvlText w:val="%2)"/>
      <w:lvlJc w:val="left"/>
      <w:pPr>
        <w:ind w:left="874"/>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D8CA563E">
      <w:start w:val="1"/>
      <w:numFmt w:val="lowerRoman"/>
      <w:lvlText w:val="%3"/>
      <w:lvlJc w:val="left"/>
      <w:pPr>
        <w:ind w:left="16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13D08CF0">
      <w:start w:val="1"/>
      <w:numFmt w:val="decimal"/>
      <w:lvlText w:val="%4"/>
      <w:lvlJc w:val="left"/>
      <w:pPr>
        <w:ind w:left="23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4882F39C">
      <w:start w:val="1"/>
      <w:numFmt w:val="lowerLetter"/>
      <w:lvlText w:val="%5"/>
      <w:lvlJc w:val="left"/>
      <w:pPr>
        <w:ind w:left="311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BD4E594">
      <w:start w:val="1"/>
      <w:numFmt w:val="lowerRoman"/>
      <w:lvlText w:val="%6"/>
      <w:lvlJc w:val="left"/>
      <w:pPr>
        <w:ind w:left="383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E14CCA24">
      <w:start w:val="1"/>
      <w:numFmt w:val="decimal"/>
      <w:lvlText w:val="%7"/>
      <w:lvlJc w:val="left"/>
      <w:pPr>
        <w:ind w:left="45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5B82DFCE">
      <w:start w:val="1"/>
      <w:numFmt w:val="lowerLetter"/>
      <w:lvlText w:val="%8"/>
      <w:lvlJc w:val="left"/>
      <w:pPr>
        <w:ind w:left="52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76DA1132">
      <w:start w:val="1"/>
      <w:numFmt w:val="lowerRoman"/>
      <w:lvlText w:val="%9"/>
      <w:lvlJc w:val="left"/>
      <w:pPr>
        <w:ind w:left="59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6310C1B"/>
    <w:multiLevelType w:val="hybridMultilevel"/>
    <w:tmpl w:val="3E6AFA22"/>
    <w:lvl w:ilvl="0" w:tplc="80CCAAD0">
      <w:start w:val="1"/>
      <w:numFmt w:val="bullet"/>
      <w:lvlText w:val="•"/>
      <w:lvlPicBulletId w:val="0"/>
      <w:lvlJc w:val="left"/>
      <w:pPr>
        <w:ind w:left="9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0A8F62E">
      <w:start w:val="1"/>
      <w:numFmt w:val="bullet"/>
      <w:lvlText w:val="o"/>
      <w:lvlJc w:val="left"/>
      <w:pPr>
        <w:ind w:left="16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8305AB8">
      <w:start w:val="1"/>
      <w:numFmt w:val="bullet"/>
      <w:lvlText w:val="▪"/>
      <w:lvlJc w:val="left"/>
      <w:pPr>
        <w:ind w:left="24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608F134">
      <w:start w:val="1"/>
      <w:numFmt w:val="bullet"/>
      <w:lvlText w:val="•"/>
      <w:lvlJc w:val="left"/>
      <w:pPr>
        <w:ind w:left="31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5EE58EE">
      <w:start w:val="1"/>
      <w:numFmt w:val="bullet"/>
      <w:lvlText w:val="o"/>
      <w:lvlJc w:val="left"/>
      <w:pPr>
        <w:ind w:left="38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4FEC59A">
      <w:start w:val="1"/>
      <w:numFmt w:val="bullet"/>
      <w:lvlText w:val="▪"/>
      <w:lvlJc w:val="left"/>
      <w:pPr>
        <w:ind w:left="45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7B2D82C">
      <w:start w:val="1"/>
      <w:numFmt w:val="bullet"/>
      <w:lvlText w:val="•"/>
      <w:lvlJc w:val="left"/>
      <w:pPr>
        <w:ind w:left="52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F5AE030">
      <w:start w:val="1"/>
      <w:numFmt w:val="bullet"/>
      <w:lvlText w:val="o"/>
      <w:lvlJc w:val="left"/>
      <w:pPr>
        <w:ind w:left="60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404B9E6">
      <w:start w:val="1"/>
      <w:numFmt w:val="bullet"/>
      <w:lvlText w:val="▪"/>
      <w:lvlJc w:val="left"/>
      <w:pPr>
        <w:ind w:left="67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491FE8"/>
    <w:multiLevelType w:val="hybridMultilevel"/>
    <w:tmpl w:val="8BCA577A"/>
    <w:lvl w:ilvl="0" w:tplc="445879F6">
      <w:start w:val="1"/>
      <w:numFmt w:val="decimal"/>
      <w:lvlText w:val="%1."/>
      <w:lvlJc w:val="left"/>
      <w:pPr>
        <w:ind w:left="6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E4A90E">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64C9F2">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E82110">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3E9642">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92CF4C">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E03162">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88277C">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58CCCC">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1E262C"/>
    <w:multiLevelType w:val="hybridMultilevel"/>
    <w:tmpl w:val="56CC3C02"/>
    <w:lvl w:ilvl="0" w:tplc="9A44BF60">
      <w:start w:val="3"/>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C6F5F6">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0E46A6">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87E1E">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BE3B78">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B28A54">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1A3B0E">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B8A90C">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3A8EE8">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8D0FF4"/>
    <w:multiLevelType w:val="hybridMultilevel"/>
    <w:tmpl w:val="78C0001A"/>
    <w:lvl w:ilvl="0" w:tplc="5BEE347C">
      <w:start w:val="2"/>
      <w:numFmt w:val="decimal"/>
      <w:lvlText w:val="%1."/>
      <w:lvlJc w:val="left"/>
      <w:pPr>
        <w:ind w:left="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AEBD3A">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AC5D54">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C20048">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D62C1C">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BA69B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E0F23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E0EEE2">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2A73E2">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18"/>
    <w:rsid w:val="001D4B38"/>
    <w:rsid w:val="003E5407"/>
    <w:rsid w:val="00523AAF"/>
    <w:rsid w:val="009B0718"/>
    <w:rsid w:val="00AF58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8EC4"/>
  <w15:docId w15:val="{5A24F0F2-AC06-4533-BD25-4424D1B2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4" w:line="224" w:lineRule="auto"/>
      <w:ind w:left="125" w:hanging="10"/>
      <w:jc w:val="both"/>
    </w:pPr>
    <w:rPr>
      <w:rFonts w:ascii="Courier New" w:eastAsia="Courier New" w:hAnsi="Courier New" w:cs="Courier New"/>
      <w:color w:val="000000"/>
    </w:rPr>
  </w:style>
  <w:style w:type="paragraph" w:styleId="Nadpis1">
    <w:name w:val="heading 1"/>
    <w:next w:val="Normln"/>
    <w:link w:val="Nadpis1Char"/>
    <w:uiPriority w:val="9"/>
    <w:qFormat/>
    <w:pPr>
      <w:keepNext/>
      <w:keepLines/>
      <w:spacing w:after="0" w:line="260" w:lineRule="auto"/>
      <w:ind w:left="10" w:hanging="10"/>
      <w:jc w:val="center"/>
      <w:outlineLvl w:val="0"/>
    </w:pPr>
    <w:rPr>
      <w:rFonts w:ascii="Courier New" w:eastAsia="Courier New" w:hAnsi="Courier New" w:cs="Courier New"/>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ourier New" w:eastAsia="Courier New" w:hAnsi="Courier New" w:cs="Courier New"/>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1865</Words>
  <Characters>11004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Sobotková</dc:creator>
  <cp:keywords/>
  <cp:lastModifiedBy>Daniela Sobotková</cp:lastModifiedBy>
  <cp:revision>4</cp:revision>
  <dcterms:created xsi:type="dcterms:W3CDTF">2019-01-04T09:27:00Z</dcterms:created>
  <dcterms:modified xsi:type="dcterms:W3CDTF">2019-01-04T09:29:00Z</dcterms:modified>
</cp:coreProperties>
</file>