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8F" w:rsidRDefault="00D96E7B">
      <w:pPr>
        <w:spacing w:after="0"/>
        <w:ind w:left="0" w:right="29"/>
        <w:jc w:val="center"/>
      </w:pPr>
      <w:r>
        <w:rPr>
          <w:sz w:val="36"/>
          <w:u w:val="single" w:color="000000"/>
        </w:rPr>
        <w:t>DODATEK č. 201901</w:t>
      </w:r>
    </w:p>
    <w:p w:rsidR="0029678F" w:rsidRDefault="00D96E7B">
      <w:pPr>
        <w:spacing w:after="0"/>
        <w:ind w:left="82" w:right="82"/>
        <w:jc w:val="center"/>
      </w:pPr>
      <w:r>
        <w:rPr>
          <w:sz w:val="24"/>
        </w:rPr>
        <w:t>ke smlouvě č. 1792006 0 dodávce tepelné energie podle S76 odst. 3 zákona č. 458/2000 Sb., energetického zákona a o dodávce vody podle zákona č. 274/2001 Sb. o vodovodech a kanalizacích v platném znění uzavřená mezi</w:t>
      </w:r>
    </w:p>
    <w:tbl>
      <w:tblPr>
        <w:tblStyle w:val="TableGrid"/>
        <w:tblW w:w="5319" w:type="dxa"/>
        <w:tblInd w:w="125" w:type="dxa"/>
        <w:tblLook w:val="04A0" w:firstRow="1" w:lastRow="0" w:firstColumn="1" w:lastColumn="0" w:noHBand="0" w:noVBand="1"/>
      </w:tblPr>
      <w:tblGrid>
        <w:gridCol w:w="1973"/>
        <w:gridCol w:w="3346"/>
      </w:tblGrid>
      <w:tr w:rsidR="0029678F">
        <w:trPr>
          <w:trHeight w:val="261"/>
        </w:trPr>
        <w:tc>
          <w:tcPr>
            <w:tcW w:w="1973" w:type="dxa"/>
            <w:tcBorders>
              <w:top w:val="nil"/>
              <w:left w:val="nil"/>
              <w:bottom w:val="nil"/>
              <w:right w:val="nil"/>
            </w:tcBorders>
          </w:tcPr>
          <w:p w:rsidR="0029678F" w:rsidRDefault="00D96E7B">
            <w:pPr>
              <w:spacing w:after="0"/>
              <w:ind w:left="0" w:right="10"/>
              <w:jc w:val="center"/>
            </w:pPr>
            <w:r>
              <w:rPr>
                <w:sz w:val="26"/>
              </w:rPr>
              <w:t>Dodavatelem:</w:t>
            </w:r>
          </w:p>
        </w:tc>
        <w:tc>
          <w:tcPr>
            <w:tcW w:w="3346" w:type="dxa"/>
            <w:tcBorders>
              <w:top w:val="nil"/>
              <w:left w:val="nil"/>
              <w:bottom w:val="nil"/>
              <w:right w:val="nil"/>
            </w:tcBorders>
          </w:tcPr>
          <w:p w:rsidR="0029678F" w:rsidRDefault="00D96E7B">
            <w:pPr>
              <w:spacing w:after="0"/>
              <w:ind w:left="10"/>
              <w:jc w:val="left"/>
            </w:pPr>
            <w:r>
              <w:rPr>
                <w:noProof/>
              </w:rPr>
              <w:drawing>
                <wp:inline distT="0" distB="0" distL="0" distR="0">
                  <wp:extent cx="3048" cy="3048"/>
                  <wp:effectExtent l="0" t="0" r="0" b="0"/>
                  <wp:docPr id="2065" name="Picture 2065"/>
                  <wp:cNvGraphicFramePr/>
                  <a:graphic xmlns:a="http://schemas.openxmlformats.org/drawingml/2006/main">
                    <a:graphicData uri="http://schemas.openxmlformats.org/drawingml/2006/picture">
                      <pic:pic xmlns:pic="http://schemas.openxmlformats.org/drawingml/2006/picture">
                        <pic:nvPicPr>
                          <pic:cNvPr id="2065" name="Picture 2065"/>
                          <pic:cNvPicPr/>
                        </pic:nvPicPr>
                        <pic:blipFill>
                          <a:blip r:embed="rId6"/>
                          <a:stretch>
                            <a:fillRect/>
                          </a:stretch>
                        </pic:blipFill>
                        <pic:spPr>
                          <a:xfrm>
                            <a:off x="0" y="0"/>
                            <a:ext cx="3048" cy="3048"/>
                          </a:xfrm>
                          <a:prstGeom prst="rect">
                            <a:avLst/>
                          </a:prstGeom>
                        </pic:spPr>
                      </pic:pic>
                    </a:graphicData>
                  </a:graphic>
                </wp:inline>
              </w:drawing>
            </w:r>
            <w:r>
              <w:rPr>
                <w:sz w:val="30"/>
              </w:rPr>
              <w:t>DISTEP a.s.</w:t>
            </w:r>
          </w:p>
        </w:tc>
      </w:tr>
      <w:tr w:rsidR="0029678F">
        <w:trPr>
          <w:trHeight w:val="651"/>
        </w:trPr>
        <w:tc>
          <w:tcPr>
            <w:tcW w:w="1973" w:type="dxa"/>
            <w:tcBorders>
              <w:top w:val="nil"/>
              <w:left w:val="nil"/>
              <w:bottom w:val="nil"/>
              <w:right w:val="nil"/>
            </w:tcBorders>
          </w:tcPr>
          <w:p w:rsidR="0029678F" w:rsidRDefault="00D96E7B">
            <w:pPr>
              <w:spacing w:after="0"/>
              <w:ind w:left="792"/>
              <w:jc w:val="left"/>
            </w:pPr>
            <w:r>
              <w:t>se sídlem:</w:t>
            </w:r>
          </w:p>
        </w:tc>
        <w:tc>
          <w:tcPr>
            <w:tcW w:w="3346" w:type="dxa"/>
            <w:tcBorders>
              <w:top w:val="nil"/>
              <w:left w:val="nil"/>
              <w:bottom w:val="nil"/>
              <w:right w:val="nil"/>
            </w:tcBorders>
          </w:tcPr>
          <w:p w:rsidR="0029678F" w:rsidRDefault="00D96E7B">
            <w:pPr>
              <w:spacing w:after="0"/>
              <w:ind w:left="38"/>
              <w:jc w:val="left"/>
            </w:pPr>
            <w:r>
              <w:t>Ostravská 961, Místek</w:t>
            </w:r>
          </w:p>
          <w:p w:rsidR="0029678F" w:rsidRDefault="00D96E7B">
            <w:pPr>
              <w:spacing w:after="0"/>
              <w:ind w:left="43"/>
              <w:jc w:val="left"/>
            </w:pPr>
            <w:r>
              <w:t>Frýdek-Místek</w:t>
            </w:r>
          </w:p>
          <w:p w:rsidR="0029678F" w:rsidRDefault="00D96E7B">
            <w:pPr>
              <w:spacing w:after="0"/>
              <w:ind w:left="38"/>
              <w:jc w:val="left"/>
            </w:pPr>
            <w:r>
              <w:rPr>
                <w:rFonts w:ascii="Times New Roman" w:eastAsia="Times New Roman" w:hAnsi="Times New Roman" w:cs="Times New Roman"/>
              </w:rPr>
              <w:t>738 01</w:t>
            </w:r>
          </w:p>
        </w:tc>
      </w:tr>
      <w:tr w:rsidR="0029678F">
        <w:trPr>
          <w:trHeight w:val="460"/>
        </w:trPr>
        <w:tc>
          <w:tcPr>
            <w:tcW w:w="1973" w:type="dxa"/>
            <w:tcBorders>
              <w:top w:val="nil"/>
              <w:left w:val="nil"/>
              <w:bottom w:val="nil"/>
              <w:right w:val="nil"/>
            </w:tcBorders>
          </w:tcPr>
          <w:p w:rsidR="0029678F" w:rsidRDefault="00D96E7B">
            <w:pPr>
              <w:spacing w:after="0"/>
              <w:ind w:left="710"/>
              <w:jc w:val="left"/>
            </w:pPr>
            <w:r>
              <w:t>zastoupen:</w:t>
            </w:r>
          </w:p>
        </w:tc>
        <w:tc>
          <w:tcPr>
            <w:tcW w:w="3346" w:type="dxa"/>
            <w:tcBorders>
              <w:top w:val="nil"/>
              <w:left w:val="nil"/>
              <w:bottom w:val="nil"/>
              <w:right w:val="nil"/>
            </w:tcBorders>
          </w:tcPr>
          <w:p w:rsidR="0029678F" w:rsidRDefault="00D96E7B">
            <w:pPr>
              <w:spacing w:after="0"/>
              <w:ind w:left="38" w:right="106" w:firstLine="10"/>
              <w:jc w:val="left"/>
            </w:pPr>
            <w:r>
              <w:t xml:space="preserve">Ing. Stanislava </w:t>
            </w:r>
            <w:proofErr w:type="spellStart"/>
            <w:r>
              <w:t>Ciahotná</w:t>
            </w:r>
            <w:proofErr w:type="spellEnd"/>
            <w:r>
              <w:t xml:space="preserve"> ekonomická náměstkyně</w:t>
            </w:r>
          </w:p>
        </w:tc>
      </w:tr>
      <w:tr w:rsidR="0029678F">
        <w:trPr>
          <w:trHeight w:val="202"/>
        </w:trPr>
        <w:tc>
          <w:tcPr>
            <w:tcW w:w="1973" w:type="dxa"/>
            <w:tcBorders>
              <w:top w:val="nil"/>
              <w:left w:val="nil"/>
              <w:bottom w:val="nil"/>
              <w:right w:val="nil"/>
            </w:tcBorders>
          </w:tcPr>
          <w:p w:rsidR="0029678F" w:rsidRDefault="00D96E7B">
            <w:pPr>
              <w:spacing w:after="0"/>
              <w:ind w:left="1301"/>
              <w:jc w:val="left"/>
            </w:pPr>
            <w:r>
              <w:rPr>
                <w:sz w:val="24"/>
              </w:rPr>
              <w:t>IČO:</w:t>
            </w:r>
          </w:p>
        </w:tc>
        <w:tc>
          <w:tcPr>
            <w:tcW w:w="3346" w:type="dxa"/>
            <w:tcBorders>
              <w:top w:val="nil"/>
              <w:left w:val="nil"/>
              <w:bottom w:val="nil"/>
              <w:right w:val="nil"/>
            </w:tcBorders>
          </w:tcPr>
          <w:p w:rsidR="0029678F" w:rsidRDefault="00D96E7B">
            <w:pPr>
              <w:spacing w:after="0"/>
              <w:ind w:left="0"/>
              <w:jc w:val="left"/>
            </w:pPr>
            <w:r>
              <w:rPr>
                <w:rFonts w:ascii="Times New Roman" w:eastAsia="Times New Roman" w:hAnsi="Times New Roman" w:cs="Times New Roman"/>
              </w:rPr>
              <w:t>65138091</w:t>
            </w:r>
          </w:p>
        </w:tc>
      </w:tr>
      <w:tr w:rsidR="0029678F">
        <w:trPr>
          <w:trHeight w:val="226"/>
        </w:trPr>
        <w:tc>
          <w:tcPr>
            <w:tcW w:w="1973" w:type="dxa"/>
            <w:tcBorders>
              <w:top w:val="nil"/>
              <w:left w:val="nil"/>
              <w:bottom w:val="nil"/>
              <w:right w:val="nil"/>
            </w:tcBorders>
          </w:tcPr>
          <w:p w:rsidR="0029678F" w:rsidRDefault="00D96E7B">
            <w:pPr>
              <w:spacing w:after="0"/>
              <w:ind w:left="1320"/>
              <w:jc w:val="left"/>
            </w:pPr>
            <w:r>
              <w:rPr>
                <w:sz w:val="26"/>
              </w:rPr>
              <w:t>DIČ:</w:t>
            </w:r>
          </w:p>
        </w:tc>
        <w:tc>
          <w:tcPr>
            <w:tcW w:w="3346" w:type="dxa"/>
            <w:tcBorders>
              <w:top w:val="nil"/>
              <w:left w:val="nil"/>
              <w:bottom w:val="nil"/>
              <w:right w:val="nil"/>
            </w:tcBorders>
          </w:tcPr>
          <w:p w:rsidR="0029678F" w:rsidRDefault="00D96E7B">
            <w:pPr>
              <w:spacing w:after="0"/>
              <w:ind w:left="38"/>
              <w:jc w:val="left"/>
            </w:pPr>
            <w:r>
              <w:t>CZ65138091</w:t>
            </w:r>
          </w:p>
        </w:tc>
      </w:tr>
      <w:tr w:rsidR="0029678F">
        <w:trPr>
          <w:trHeight w:val="233"/>
        </w:trPr>
        <w:tc>
          <w:tcPr>
            <w:tcW w:w="1973" w:type="dxa"/>
            <w:tcBorders>
              <w:top w:val="nil"/>
              <w:left w:val="nil"/>
              <w:bottom w:val="nil"/>
              <w:right w:val="nil"/>
            </w:tcBorders>
          </w:tcPr>
          <w:p w:rsidR="0029678F" w:rsidRDefault="00D96E7B">
            <w:pPr>
              <w:spacing w:after="0"/>
              <w:ind w:left="178"/>
              <w:jc w:val="left"/>
            </w:pPr>
            <w:r>
              <w:t>bankovní spojení:</w:t>
            </w:r>
          </w:p>
        </w:tc>
        <w:tc>
          <w:tcPr>
            <w:tcW w:w="3346" w:type="dxa"/>
            <w:tcBorders>
              <w:top w:val="nil"/>
              <w:left w:val="nil"/>
              <w:bottom w:val="nil"/>
              <w:right w:val="nil"/>
            </w:tcBorders>
          </w:tcPr>
          <w:p w:rsidR="0029678F" w:rsidRDefault="00D96E7B">
            <w:pPr>
              <w:spacing w:after="0"/>
              <w:ind w:left="0"/>
            </w:pPr>
            <w:r>
              <w:rPr>
                <w:sz w:val="24"/>
              </w:rPr>
              <w:t>Československá obchodní banka, a.s.</w:t>
            </w:r>
          </w:p>
        </w:tc>
      </w:tr>
      <w:tr w:rsidR="0029678F">
        <w:trPr>
          <w:trHeight w:val="213"/>
        </w:trPr>
        <w:tc>
          <w:tcPr>
            <w:tcW w:w="1973" w:type="dxa"/>
            <w:tcBorders>
              <w:top w:val="nil"/>
              <w:left w:val="nil"/>
              <w:bottom w:val="nil"/>
              <w:right w:val="nil"/>
            </w:tcBorders>
          </w:tcPr>
          <w:p w:rsidR="0029678F" w:rsidRDefault="00D96E7B">
            <w:pPr>
              <w:spacing w:after="0"/>
              <w:ind w:left="807"/>
              <w:jc w:val="left"/>
            </w:pPr>
            <w:r>
              <w:t xml:space="preserve">číslo účtu: </w:t>
            </w:r>
            <w:r>
              <w:rPr>
                <w:noProof/>
              </w:rPr>
              <w:drawing>
                <wp:inline distT="0" distB="0" distL="0" distR="0">
                  <wp:extent cx="15242" cy="12193"/>
                  <wp:effectExtent l="0" t="0" r="0" b="0"/>
                  <wp:docPr id="2066" name="Picture 2066"/>
                  <wp:cNvGraphicFramePr/>
                  <a:graphic xmlns:a="http://schemas.openxmlformats.org/drawingml/2006/main">
                    <a:graphicData uri="http://schemas.openxmlformats.org/drawingml/2006/picture">
                      <pic:pic xmlns:pic="http://schemas.openxmlformats.org/drawingml/2006/picture">
                        <pic:nvPicPr>
                          <pic:cNvPr id="2066" name="Picture 2066"/>
                          <pic:cNvPicPr/>
                        </pic:nvPicPr>
                        <pic:blipFill>
                          <a:blip r:embed="rId7"/>
                          <a:stretch>
                            <a:fillRect/>
                          </a:stretch>
                        </pic:blipFill>
                        <pic:spPr>
                          <a:xfrm>
                            <a:off x="0" y="0"/>
                            <a:ext cx="15242" cy="12193"/>
                          </a:xfrm>
                          <a:prstGeom prst="rect">
                            <a:avLst/>
                          </a:prstGeom>
                        </pic:spPr>
                      </pic:pic>
                    </a:graphicData>
                  </a:graphic>
                </wp:inline>
              </w:drawing>
            </w:r>
          </w:p>
        </w:tc>
        <w:tc>
          <w:tcPr>
            <w:tcW w:w="3346" w:type="dxa"/>
            <w:tcBorders>
              <w:top w:val="nil"/>
              <w:left w:val="nil"/>
              <w:bottom w:val="nil"/>
              <w:right w:val="nil"/>
            </w:tcBorders>
          </w:tcPr>
          <w:p w:rsidR="0029678F" w:rsidRDefault="00D96E7B">
            <w:pPr>
              <w:spacing w:after="0"/>
              <w:ind w:left="29"/>
              <w:jc w:val="left"/>
            </w:pPr>
            <w:r>
              <w:rPr>
                <w:rFonts w:ascii="Times New Roman" w:eastAsia="Times New Roman" w:hAnsi="Times New Roman" w:cs="Times New Roman"/>
              </w:rPr>
              <w:t>107599180/0300</w:t>
            </w:r>
          </w:p>
        </w:tc>
      </w:tr>
      <w:tr w:rsidR="0029678F">
        <w:trPr>
          <w:trHeight w:val="226"/>
        </w:trPr>
        <w:tc>
          <w:tcPr>
            <w:tcW w:w="1973" w:type="dxa"/>
            <w:tcBorders>
              <w:top w:val="nil"/>
              <w:left w:val="nil"/>
              <w:bottom w:val="nil"/>
              <w:right w:val="nil"/>
            </w:tcBorders>
          </w:tcPr>
          <w:p w:rsidR="0029678F" w:rsidRDefault="00D96E7B">
            <w:pPr>
              <w:spacing w:after="0"/>
              <w:ind w:left="0"/>
              <w:jc w:val="left"/>
            </w:pPr>
            <w:r>
              <w:t>internetové stránky:</w:t>
            </w:r>
          </w:p>
        </w:tc>
        <w:tc>
          <w:tcPr>
            <w:tcW w:w="3346" w:type="dxa"/>
            <w:tcBorders>
              <w:top w:val="nil"/>
              <w:left w:val="nil"/>
              <w:bottom w:val="nil"/>
              <w:right w:val="nil"/>
            </w:tcBorders>
          </w:tcPr>
          <w:p w:rsidR="0029678F" w:rsidRDefault="00D96E7B">
            <w:pPr>
              <w:spacing w:after="0"/>
              <w:ind w:left="10"/>
              <w:jc w:val="left"/>
            </w:pPr>
            <w:r>
              <w:rPr>
                <w:sz w:val="20"/>
              </w:rPr>
              <w:t>'Www.distep.cz</w:t>
            </w:r>
          </w:p>
        </w:tc>
      </w:tr>
    </w:tbl>
    <w:p w:rsidR="0029678F" w:rsidRDefault="00D96E7B">
      <w:pPr>
        <w:ind w:right="14"/>
      </w:pPr>
      <w:r>
        <w:t>Zapsána v obchodním rejstříku, vedeného Krajským soudem v Ostravě oddíl B, vložka 1205</w:t>
      </w:r>
    </w:p>
    <w:p w:rsidR="0029678F" w:rsidRDefault="00D96E7B">
      <w:pPr>
        <w:spacing w:after="0"/>
        <w:ind w:left="0" w:right="5"/>
        <w:jc w:val="center"/>
      </w:pPr>
      <w:r>
        <w:rPr>
          <w:sz w:val="34"/>
        </w:rPr>
        <w:t>a</w:t>
      </w:r>
    </w:p>
    <w:tbl>
      <w:tblPr>
        <w:tblStyle w:val="TableGrid"/>
        <w:tblW w:w="7359" w:type="dxa"/>
        <w:tblInd w:w="110" w:type="dxa"/>
        <w:tblCellMar>
          <w:top w:w="14" w:type="dxa"/>
        </w:tblCellMar>
        <w:tblLook w:val="04A0" w:firstRow="1" w:lastRow="0" w:firstColumn="1" w:lastColumn="0" w:noHBand="0" w:noVBand="1"/>
      </w:tblPr>
      <w:tblGrid>
        <w:gridCol w:w="1699"/>
        <w:gridCol w:w="5660"/>
      </w:tblGrid>
      <w:tr w:rsidR="0029678F">
        <w:trPr>
          <w:trHeight w:val="387"/>
        </w:trPr>
        <w:tc>
          <w:tcPr>
            <w:tcW w:w="1699" w:type="dxa"/>
            <w:tcBorders>
              <w:top w:val="nil"/>
              <w:left w:val="nil"/>
              <w:bottom w:val="nil"/>
              <w:right w:val="nil"/>
            </w:tcBorders>
          </w:tcPr>
          <w:p w:rsidR="0029678F" w:rsidRDefault="00D96E7B">
            <w:pPr>
              <w:spacing w:after="0"/>
              <w:ind w:left="29"/>
              <w:jc w:val="left"/>
            </w:pPr>
            <w:r>
              <w:rPr>
                <w:sz w:val="26"/>
              </w:rPr>
              <w:t>Odběratelem:</w:t>
            </w:r>
          </w:p>
        </w:tc>
        <w:tc>
          <w:tcPr>
            <w:tcW w:w="5660" w:type="dxa"/>
            <w:tcBorders>
              <w:top w:val="nil"/>
              <w:left w:val="nil"/>
              <w:bottom w:val="nil"/>
              <w:right w:val="nil"/>
            </w:tcBorders>
          </w:tcPr>
          <w:p w:rsidR="0029678F" w:rsidRDefault="00D96E7B">
            <w:pPr>
              <w:tabs>
                <w:tab w:val="right" w:pos="5660"/>
              </w:tabs>
              <w:spacing w:after="0"/>
              <w:ind w:left="0"/>
              <w:jc w:val="left"/>
            </w:pPr>
            <w:r>
              <w:rPr>
                <w:sz w:val="26"/>
              </w:rPr>
              <w:t>Základní škola Frýdek-Místek, Komenského 402</w:t>
            </w:r>
            <w:r>
              <w:rPr>
                <w:sz w:val="26"/>
              </w:rPr>
              <w:tab/>
            </w:r>
            <w:r>
              <w:rPr>
                <w:noProof/>
              </w:rPr>
              <w:drawing>
                <wp:inline distT="0" distB="0" distL="0" distR="0">
                  <wp:extent cx="9145" cy="9144"/>
                  <wp:effectExtent l="0" t="0" r="0" b="0"/>
                  <wp:docPr id="2067" name="Picture 2067"/>
                  <wp:cNvGraphicFramePr/>
                  <a:graphic xmlns:a="http://schemas.openxmlformats.org/drawingml/2006/main">
                    <a:graphicData uri="http://schemas.openxmlformats.org/drawingml/2006/picture">
                      <pic:pic xmlns:pic="http://schemas.openxmlformats.org/drawingml/2006/picture">
                        <pic:nvPicPr>
                          <pic:cNvPr id="2067" name="Picture 2067"/>
                          <pic:cNvPicPr/>
                        </pic:nvPicPr>
                        <pic:blipFill>
                          <a:blip r:embed="rId8"/>
                          <a:stretch>
                            <a:fillRect/>
                          </a:stretch>
                        </pic:blipFill>
                        <pic:spPr>
                          <a:xfrm>
                            <a:off x="0" y="0"/>
                            <a:ext cx="9145" cy="9144"/>
                          </a:xfrm>
                          <a:prstGeom prst="rect">
                            <a:avLst/>
                          </a:prstGeom>
                        </pic:spPr>
                      </pic:pic>
                    </a:graphicData>
                  </a:graphic>
                </wp:inline>
              </w:drawing>
            </w:r>
          </w:p>
        </w:tc>
      </w:tr>
      <w:tr w:rsidR="0029678F">
        <w:trPr>
          <w:trHeight w:val="782"/>
        </w:trPr>
        <w:tc>
          <w:tcPr>
            <w:tcW w:w="1699" w:type="dxa"/>
            <w:tcBorders>
              <w:top w:val="nil"/>
              <w:left w:val="nil"/>
              <w:bottom w:val="nil"/>
              <w:right w:val="nil"/>
            </w:tcBorders>
          </w:tcPr>
          <w:p w:rsidR="0029678F" w:rsidRDefault="00D96E7B">
            <w:pPr>
              <w:spacing w:after="0"/>
              <w:ind w:left="566"/>
              <w:jc w:val="left"/>
            </w:pPr>
            <w:r>
              <w:t>se sídlem:</w:t>
            </w:r>
          </w:p>
        </w:tc>
        <w:tc>
          <w:tcPr>
            <w:tcW w:w="5660" w:type="dxa"/>
            <w:tcBorders>
              <w:top w:val="nil"/>
              <w:left w:val="nil"/>
              <w:bottom w:val="nil"/>
              <w:right w:val="nil"/>
            </w:tcBorders>
            <w:vAlign w:val="bottom"/>
          </w:tcPr>
          <w:p w:rsidR="0029678F" w:rsidRDefault="00D96E7B">
            <w:pPr>
              <w:spacing w:after="0"/>
              <w:ind w:left="14"/>
              <w:jc w:val="left"/>
            </w:pPr>
            <w:r>
              <w:t>Komenského 402, Místek</w:t>
            </w:r>
          </w:p>
          <w:p w:rsidR="0029678F" w:rsidRDefault="00D96E7B">
            <w:pPr>
              <w:spacing w:after="0"/>
              <w:ind w:left="14"/>
              <w:jc w:val="left"/>
            </w:pPr>
            <w:r>
              <w:t>Frýdek-Místek</w:t>
            </w:r>
          </w:p>
          <w:p w:rsidR="0029678F" w:rsidRDefault="00D96E7B">
            <w:pPr>
              <w:spacing w:after="0"/>
              <w:ind w:left="10"/>
              <w:jc w:val="left"/>
            </w:pPr>
            <w:r>
              <w:rPr>
                <w:rFonts w:ascii="Times New Roman" w:eastAsia="Times New Roman" w:hAnsi="Times New Roman" w:cs="Times New Roman"/>
              </w:rPr>
              <w:t>738 01</w:t>
            </w:r>
          </w:p>
        </w:tc>
      </w:tr>
      <w:tr w:rsidR="0029678F">
        <w:trPr>
          <w:trHeight w:val="342"/>
        </w:trPr>
        <w:tc>
          <w:tcPr>
            <w:tcW w:w="1699" w:type="dxa"/>
            <w:tcBorders>
              <w:top w:val="nil"/>
              <w:left w:val="nil"/>
              <w:bottom w:val="nil"/>
              <w:right w:val="nil"/>
            </w:tcBorders>
          </w:tcPr>
          <w:p w:rsidR="0029678F" w:rsidRDefault="00D96E7B">
            <w:pPr>
              <w:spacing w:after="0"/>
              <w:ind w:left="504"/>
              <w:jc w:val="left"/>
            </w:pPr>
            <w:r>
              <w:t>zastoupen:</w:t>
            </w:r>
          </w:p>
        </w:tc>
        <w:tc>
          <w:tcPr>
            <w:tcW w:w="5660" w:type="dxa"/>
            <w:tcBorders>
              <w:top w:val="nil"/>
              <w:left w:val="nil"/>
              <w:bottom w:val="nil"/>
              <w:right w:val="nil"/>
            </w:tcBorders>
          </w:tcPr>
          <w:p w:rsidR="0029678F" w:rsidRDefault="00D96E7B">
            <w:pPr>
              <w:spacing w:after="0"/>
              <w:ind w:left="14"/>
              <w:jc w:val="left"/>
            </w:pPr>
            <w:r>
              <w:rPr>
                <w:sz w:val="24"/>
              </w:rPr>
              <w:t>Mgr. Jiřina Raszková ředitelka</w:t>
            </w:r>
          </w:p>
        </w:tc>
      </w:tr>
      <w:tr w:rsidR="0029678F">
        <w:trPr>
          <w:trHeight w:val="432"/>
        </w:trPr>
        <w:tc>
          <w:tcPr>
            <w:tcW w:w="1699" w:type="dxa"/>
            <w:tcBorders>
              <w:top w:val="nil"/>
              <w:left w:val="nil"/>
              <w:bottom w:val="nil"/>
              <w:right w:val="nil"/>
            </w:tcBorders>
            <w:vAlign w:val="center"/>
          </w:tcPr>
          <w:p w:rsidR="0029678F" w:rsidRDefault="00D96E7B">
            <w:pPr>
              <w:spacing w:after="0"/>
              <w:ind w:left="0" w:right="182"/>
              <w:jc w:val="right"/>
            </w:pPr>
            <w:r>
              <w:rPr>
                <w:sz w:val="24"/>
              </w:rPr>
              <w:t>IČO:</w:t>
            </w:r>
          </w:p>
        </w:tc>
        <w:tc>
          <w:tcPr>
            <w:tcW w:w="5660" w:type="dxa"/>
            <w:tcBorders>
              <w:top w:val="nil"/>
              <w:left w:val="nil"/>
              <w:bottom w:val="nil"/>
              <w:right w:val="nil"/>
            </w:tcBorders>
            <w:vAlign w:val="center"/>
          </w:tcPr>
          <w:p w:rsidR="0029678F" w:rsidRDefault="00D96E7B">
            <w:pPr>
              <w:spacing w:after="0"/>
              <w:ind w:left="10"/>
              <w:jc w:val="left"/>
            </w:pPr>
            <w:r>
              <w:rPr>
                <w:rFonts w:ascii="Times New Roman" w:eastAsia="Times New Roman" w:hAnsi="Times New Roman" w:cs="Times New Roman"/>
              </w:rPr>
              <w:t>68157894</w:t>
            </w:r>
          </w:p>
        </w:tc>
      </w:tr>
      <w:tr w:rsidR="0029678F">
        <w:trPr>
          <w:trHeight w:val="347"/>
        </w:trPr>
        <w:tc>
          <w:tcPr>
            <w:tcW w:w="1699" w:type="dxa"/>
            <w:tcBorders>
              <w:top w:val="nil"/>
              <w:left w:val="nil"/>
              <w:bottom w:val="nil"/>
              <w:right w:val="nil"/>
            </w:tcBorders>
            <w:vAlign w:val="bottom"/>
          </w:tcPr>
          <w:p w:rsidR="0029678F" w:rsidRDefault="00D96E7B">
            <w:pPr>
              <w:spacing w:after="0"/>
              <w:ind w:left="0"/>
              <w:jc w:val="left"/>
            </w:pPr>
            <w:r>
              <w:t>bankovní spojení:</w:t>
            </w:r>
          </w:p>
        </w:tc>
        <w:tc>
          <w:tcPr>
            <w:tcW w:w="5660" w:type="dxa"/>
            <w:tcBorders>
              <w:top w:val="nil"/>
              <w:left w:val="nil"/>
              <w:bottom w:val="nil"/>
              <w:right w:val="nil"/>
            </w:tcBorders>
          </w:tcPr>
          <w:p w:rsidR="0029678F" w:rsidRDefault="00D96E7B">
            <w:pPr>
              <w:spacing w:after="0"/>
              <w:ind w:left="10"/>
              <w:jc w:val="left"/>
            </w:pPr>
            <w:r>
              <w:rPr>
                <w:sz w:val="24"/>
              </w:rPr>
              <w:t>Československá obchodní banka, a.s.</w:t>
            </w:r>
          </w:p>
        </w:tc>
      </w:tr>
      <w:tr w:rsidR="0029678F">
        <w:trPr>
          <w:trHeight w:val="186"/>
        </w:trPr>
        <w:tc>
          <w:tcPr>
            <w:tcW w:w="1699" w:type="dxa"/>
            <w:tcBorders>
              <w:top w:val="nil"/>
              <w:left w:val="nil"/>
              <w:bottom w:val="nil"/>
              <w:right w:val="nil"/>
            </w:tcBorders>
          </w:tcPr>
          <w:p w:rsidR="0029678F" w:rsidRDefault="00D96E7B">
            <w:pPr>
              <w:spacing w:after="0"/>
              <w:ind w:left="648"/>
              <w:jc w:val="left"/>
            </w:pPr>
            <w:r>
              <w:rPr>
                <w:sz w:val="24"/>
              </w:rPr>
              <w:t>číslo účtu:</w:t>
            </w:r>
          </w:p>
        </w:tc>
        <w:tc>
          <w:tcPr>
            <w:tcW w:w="5660" w:type="dxa"/>
            <w:tcBorders>
              <w:top w:val="nil"/>
              <w:left w:val="nil"/>
              <w:bottom w:val="nil"/>
              <w:right w:val="nil"/>
            </w:tcBorders>
          </w:tcPr>
          <w:p w:rsidR="0029678F" w:rsidRDefault="00D96E7B">
            <w:pPr>
              <w:spacing w:after="0"/>
              <w:ind w:left="24"/>
              <w:jc w:val="left"/>
            </w:pPr>
            <w:r>
              <w:rPr>
                <w:rFonts w:ascii="Times New Roman" w:eastAsia="Times New Roman" w:hAnsi="Times New Roman" w:cs="Times New Roman"/>
              </w:rPr>
              <w:t>152480410/0300</w:t>
            </w:r>
          </w:p>
        </w:tc>
      </w:tr>
    </w:tbl>
    <w:p w:rsidR="0029678F" w:rsidRDefault="00D96E7B">
      <w:pPr>
        <w:spacing w:after="183"/>
        <w:ind w:left="29" w:hanging="10"/>
        <w:jc w:val="left"/>
      </w:pPr>
      <w:r>
        <w:rPr>
          <w:noProof/>
        </w:rPr>
        <w:drawing>
          <wp:anchor distT="0" distB="0" distL="114300" distR="114300" simplePos="0" relativeHeight="251658240" behindDoc="0" locked="0" layoutInCell="1" allowOverlap="0">
            <wp:simplePos x="0" y="0"/>
            <wp:positionH relativeFrom="page">
              <wp:posOffset>387148</wp:posOffset>
            </wp:positionH>
            <wp:positionV relativeFrom="page">
              <wp:posOffset>5331206</wp:posOffset>
            </wp:positionV>
            <wp:extent cx="3048" cy="9144"/>
            <wp:effectExtent l="0" t="0" r="0" b="0"/>
            <wp:wrapSquare wrapText="bothSides"/>
            <wp:docPr id="2068" name="Picture 2068"/>
            <wp:cNvGraphicFramePr/>
            <a:graphic xmlns:a="http://schemas.openxmlformats.org/drawingml/2006/main">
              <a:graphicData uri="http://schemas.openxmlformats.org/drawingml/2006/picture">
                <pic:pic xmlns:pic="http://schemas.openxmlformats.org/drawingml/2006/picture">
                  <pic:nvPicPr>
                    <pic:cNvPr id="2068" name="Picture 2068"/>
                    <pic:cNvPicPr/>
                  </pic:nvPicPr>
                  <pic:blipFill>
                    <a:blip r:embed="rId9"/>
                    <a:stretch>
                      <a:fillRect/>
                    </a:stretch>
                  </pic:blipFill>
                  <pic:spPr>
                    <a:xfrm>
                      <a:off x="0" y="0"/>
                      <a:ext cx="3048" cy="9144"/>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289599</wp:posOffset>
            </wp:positionH>
            <wp:positionV relativeFrom="page">
              <wp:posOffset>6178590</wp:posOffset>
            </wp:positionV>
            <wp:extent cx="9145" cy="15241"/>
            <wp:effectExtent l="0" t="0" r="0" b="0"/>
            <wp:wrapSquare wrapText="bothSides"/>
            <wp:docPr id="2069" name="Picture 2069"/>
            <wp:cNvGraphicFramePr/>
            <a:graphic xmlns:a="http://schemas.openxmlformats.org/drawingml/2006/main">
              <a:graphicData uri="http://schemas.openxmlformats.org/drawingml/2006/picture">
                <pic:pic xmlns:pic="http://schemas.openxmlformats.org/drawingml/2006/picture">
                  <pic:nvPicPr>
                    <pic:cNvPr id="2069" name="Picture 2069"/>
                    <pic:cNvPicPr/>
                  </pic:nvPicPr>
                  <pic:blipFill>
                    <a:blip r:embed="rId10"/>
                    <a:stretch>
                      <a:fillRect/>
                    </a:stretch>
                  </pic:blipFill>
                  <pic:spPr>
                    <a:xfrm>
                      <a:off x="0" y="0"/>
                      <a:ext cx="9145" cy="15241"/>
                    </a:xfrm>
                    <a:prstGeom prst="rect">
                      <a:avLst/>
                    </a:prstGeom>
                  </pic:spPr>
                </pic:pic>
              </a:graphicData>
            </a:graphic>
          </wp:anchor>
        </w:drawing>
      </w:r>
      <w:r>
        <w:rPr>
          <w:sz w:val="24"/>
        </w:rPr>
        <w:t>Smluvní strany se dohodly na následující změně ve smlouvě č. 1792006 ze dne 21.12.2005 (dále jen smlouva) v platném znění.</w:t>
      </w:r>
    </w:p>
    <w:p w:rsidR="0029678F" w:rsidRDefault="00D96E7B">
      <w:pPr>
        <w:numPr>
          <w:ilvl w:val="0"/>
          <w:numId w:val="1"/>
        </w:numPr>
        <w:ind w:right="117" w:hanging="216"/>
      </w:pPr>
      <w:r>
        <w:t>Příloha č. 1 ke smlouvě, platná pro rok 2018, se ruší v celém rozsahu a nahrazuje se přílohou č. 1 -</w:t>
      </w:r>
    </w:p>
    <w:p w:rsidR="0029678F" w:rsidRDefault="00D96E7B">
      <w:pPr>
        <w:ind w:left="14" w:right="14"/>
      </w:pPr>
      <w:r>
        <w:t>Předpokládané množství, předběžná cena a časový průběh odběru pro rok 2019 vyhotovenou dodavatelem dne</w:t>
      </w:r>
    </w:p>
    <w:p w:rsidR="0029678F" w:rsidRDefault="00D96E7B">
      <w:pPr>
        <w:spacing w:after="0"/>
        <w:ind w:left="38"/>
        <w:jc w:val="left"/>
      </w:pPr>
      <w:r>
        <w:rPr>
          <w:rFonts w:ascii="Times New Roman" w:eastAsia="Times New Roman" w:hAnsi="Times New Roman" w:cs="Times New Roman"/>
        </w:rPr>
        <w:t>18.12.2018.</w:t>
      </w:r>
    </w:p>
    <w:p w:rsidR="0029678F" w:rsidRDefault="00D96E7B">
      <w:pPr>
        <w:numPr>
          <w:ilvl w:val="0"/>
          <w:numId w:val="1"/>
        </w:numPr>
        <w:spacing w:after="62"/>
        <w:ind w:right="117" w:hanging="216"/>
      </w:pPr>
      <w:r>
        <w:t xml:space="preserve">Příloha č. 2 ke smlouvě, platná pro rok 2018, se ruší v celém rozsahu a nahrazuje se přílohou č. 2 - Seznam odběrných míst pro rok 2019 vyhotovenou dodavatelem dne 18.12.2018. </w:t>
      </w:r>
      <w:proofErr w:type="spellStart"/>
      <w:r>
        <w:t>Il</w:t>
      </w:r>
      <w:proofErr w:type="spellEnd"/>
      <w:r>
        <w:t>. V článku IV. Technické, platební a dodací podmínky Smlouvy</w:t>
      </w:r>
    </w:p>
    <w:p w:rsidR="0029678F" w:rsidRDefault="00D96E7B">
      <w:pPr>
        <w:spacing w:after="72"/>
        <w:ind w:left="14" w:right="14"/>
      </w:pPr>
      <w:r>
        <w:t>V TPD v Dílu 1. části C se doplňuje článek:</w:t>
      </w:r>
    </w:p>
    <w:p w:rsidR="0029678F" w:rsidRDefault="00D96E7B">
      <w:pPr>
        <w:spacing w:after="42"/>
        <w:ind w:left="29" w:hanging="10"/>
        <w:jc w:val="left"/>
      </w:pPr>
      <w:r>
        <w:rPr>
          <w:sz w:val="24"/>
        </w:rPr>
        <w:t>Čl. VII Mimosoudní řešení spotřebitelských sporů</w:t>
      </w:r>
    </w:p>
    <w:p w:rsidR="0029678F" w:rsidRDefault="00D96E7B">
      <w:pPr>
        <w:spacing w:after="44"/>
        <w:ind w:left="14" w:right="14"/>
      </w:pPr>
      <w:proofErr w:type="gramStart"/>
      <w:r>
        <w:t>1 . Subjekt</w:t>
      </w:r>
      <w:proofErr w:type="gramEnd"/>
      <w:r>
        <w:t xml:space="preserve"> mimosoudního řešení spotřebitelských sporů</w:t>
      </w:r>
    </w:p>
    <w:p w:rsidR="0029678F" w:rsidRDefault="00D96E7B">
      <w:pPr>
        <w:spacing w:after="92"/>
        <w:ind w:left="14" w:right="14"/>
      </w:pPr>
      <w:r>
        <w:t xml:space="preserve">V případě vzniku spotřebitelského sporu ze smlouvy na dodávku tepelné energie může spotřebitel podat návrh na mimosoudní řešení spotřebitelského sporu Energetickému regulačnímu úřadu, Masarykovo náměstí 5, 586 Ol Jihlava, e-mail </w:t>
      </w:r>
      <w:r>
        <w:rPr>
          <w:u w:val="single" w:color="000000"/>
        </w:rPr>
        <w:t>podatelna@eru.cz</w:t>
      </w:r>
    </w:p>
    <w:p w:rsidR="0029678F" w:rsidRDefault="00D96E7B">
      <w:pPr>
        <w:spacing w:after="132"/>
        <w:ind w:left="14" w:right="14"/>
      </w:pPr>
      <w:r>
        <w:t>2. Orgán vykonávající dozor nad ochranou spotřebitele</w:t>
      </w:r>
    </w:p>
    <w:p w:rsidR="0029678F" w:rsidRDefault="00D96E7B">
      <w:pPr>
        <w:spacing w:after="118"/>
        <w:ind w:left="14" w:right="14"/>
      </w:pPr>
      <w:r>
        <w:t xml:space="preserve">Dle zákona č. 458/2000 Sb. o podmínkách podnikání a o výkonu státní správy v energetických odvětvích a o změně některých zákonů (energetický zákon) je dozorovým orgánem Energetický regulační úřad. </w:t>
      </w:r>
      <w:r>
        <w:rPr>
          <w:u w:val="single" w:color="000000"/>
        </w:rPr>
        <w:t>www.eru.cz</w:t>
      </w:r>
    </w:p>
    <w:p w:rsidR="0029678F" w:rsidRDefault="00D96E7B">
      <w:pPr>
        <w:spacing w:after="42"/>
        <w:ind w:left="29" w:hanging="10"/>
        <w:jc w:val="left"/>
      </w:pPr>
      <w:r>
        <w:rPr>
          <w:sz w:val="24"/>
        </w:rPr>
        <w:t>V článku IV. Technické, platební a dodací podmínky Smlouvy</w:t>
      </w:r>
    </w:p>
    <w:p w:rsidR="0029678F" w:rsidRDefault="00D96E7B">
      <w:pPr>
        <w:spacing w:after="86"/>
        <w:ind w:left="14" w:right="14"/>
      </w:pPr>
      <w:r>
        <w:t>V TPD v Dílu 2. části C se doplňuje článek:</w:t>
      </w:r>
    </w:p>
    <w:p w:rsidR="0029678F" w:rsidRDefault="00D96E7B">
      <w:pPr>
        <w:spacing w:after="42"/>
        <w:ind w:left="29" w:hanging="10"/>
        <w:jc w:val="left"/>
      </w:pPr>
      <w:r>
        <w:rPr>
          <w:sz w:val="24"/>
        </w:rPr>
        <w:t>čl. VII Mimosoudní řešení spotřebitelských sporů</w:t>
      </w:r>
    </w:p>
    <w:p w:rsidR="0029678F" w:rsidRDefault="00D96E7B">
      <w:pPr>
        <w:spacing w:after="94"/>
        <w:ind w:left="14" w:right="14"/>
      </w:pPr>
      <w:r>
        <w:t>1. Subjekt mimosoudního řešení spotřebitelských sporů</w:t>
      </w:r>
    </w:p>
    <w:p w:rsidR="0029678F" w:rsidRDefault="00D96E7B">
      <w:pPr>
        <w:spacing w:after="408"/>
        <w:ind w:left="14" w:right="14"/>
      </w:pPr>
      <w:r>
        <w:lastRenderedPageBreak/>
        <w:t xml:space="preserve">V případě vzniku spotřebitelského sporu ze smlouvy na dodávku tepelné energie může spotřebitel podat návrh na mimosoudní řešení spotřebitelského sporu Energetickému regulačnímu úřadu, Masarykovo náměstí 5, 586 01 Jihlava, e-mail </w:t>
      </w:r>
      <w:proofErr w:type="spellStart"/>
      <w:r>
        <w:t>pĽelna@eruľz</w:t>
      </w:r>
      <w:proofErr w:type="spellEnd"/>
    </w:p>
    <w:p w:rsidR="0029678F" w:rsidRDefault="00D96E7B">
      <w:pPr>
        <w:spacing w:after="224"/>
        <w:ind w:left="33" w:hanging="10"/>
        <w:jc w:val="left"/>
      </w:pPr>
      <w:r>
        <w:rPr>
          <w:sz w:val="18"/>
        </w:rPr>
        <w:t>Strana č. 1</w:t>
      </w:r>
    </w:p>
    <w:p w:rsidR="0029678F" w:rsidRDefault="00D96E7B">
      <w:pPr>
        <w:spacing w:after="73"/>
        <w:ind w:left="14" w:right="14"/>
      </w:pPr>
      <w:r>
        <w:t xml:space="preserve">V případě vzniku spotřebitelského sporu ze smluv o dodávce vody, který se nepodaří vyřešit vzájemnou dohodou, může spotřebitel podat návrh na mimosoudní řešení spotřebitelského sporu u České obchodní inspekce, Ústřední inspektorát - oddělení ADR Štěpánská 15, 120 OO Praha 2, e-mail </w:t>
      </w:r>
      <w:r>
        <w:rPr>
          <w:u w:val="single" w:color="000000"/>
        </w:rPr>
        <w:t>adr@coi.cz</w:t>
      </w:r>
    </w:p>
    <w:p w:rsidR="0029678F" w:rsidRDefault="00D96E7B">
      <w:pPr>
        <w:spacing w:after="103"/>
        <w:ind w:left="14" w:right="14"/>
      </w:pPr>
      <w:r>
        <w:t>2. Orgán vykonávající dozor nad ochranou spotřebitele</w:t>
      </w:r>
    </w:p>
    <w:p w:rsidR="0029678F" w:rsidRDefault="00D96E7B">
      <w:pPr>
        <w:spacing w:after="373"/>
        <w:ind w:left="14" w:right="14"/>
      </w:pPr>
      <w:r>
        <w:t xml:space="preserve">Dozorovým orgánem vykonávajícím dohled nad ochranou spotřebitele je podle zákona č. 64/1986 Sb., o České obchodní inspekci, ve znění pozdějších předpisů, Česká obchodní inspekce. Internetová stránka České obchodní inspekce je </w:t>
      </w:r>
      <w:r>
        <w:rPr>
          <w:u w:val="single" w:color="000000"/>
        </w:rPr>
        <w:t>www.coi.cz</w:t>
      </w:r>
      <w:r>
        <w:t xml:space="preserve">. Dle zákona č. 458/2000 Sb. o podmínkách podnikání a o výkonu státní správy v energetických odvětvích a o změně některých zákonů (energetický zákon) je dozorovým orgánem Energetický regulační úřad. </w:t>
      </w:r>
      <w:r>
        <w:rPr>
          <w:u w:val="single" w:color="000000"/>
        </w:rPr>
        <w:t>www.eru.cz</w:t>
      </w:r>
    </w:p>
    <w:p w:rsidR="0029678F" w:rsidRDefault="00D96E7B">
      <w:pPr>
        <w:ind w:left="14" w:right="14"/>
      </w:pPr>
      <w:r>
        <w:t>Tento dodatek ke smlouvě č. 1792006 včetně příloh č. 1 a 2 je vyhotoven ve dvou vyhotoveních, z toho dodavatel i odběratel obdrží po jednom vyhotovení.</w:t>
      </w:r>
    </w:p>
    <w:p w:rsidR="0029678F" w:rsidRDefault="00D96E7B">
      <w:pPr>
        <w:spacing w:after="53"/>
        <w:ind w:left="14" w:right="14"/>
      </w:pPr>
      <w:r>
        <w:t>Tento dodatek ke smlouvě č. 1792006 včetně příloh č. 1 a 2 nabývá platnosti dnem podpisu oběma stranami.</w:t>
      </w:r>
    </w:p>
    <w:p w:rsidR="0029678F" w:rsidRDefault="00D96E7B">
      <w:pPr>
        <w:spacing w:after="125"/>
        <w:ind w:left="14" w:right="14"/>
      </w:pPr>
      <w:r>
        <w:t xml:space="preserve">Dodavatel tímto informuje, že je stranou povinnou k registraci smlouvy dle zákona č. 340/2015 Sb. o zvláštních podmínkách účinnosti některých smluv, uveřejňování těchto smluv a o registru smluv (zákon o registru smluv) v platném znění. Uveřejnění se zavazuje zajistit na své náklady postupem stanoveným výše uvedeným zákonem dodavatel. Podléhá-li dodatek ke smlouvě povinnému zveřejnění v registru smluv v souladu se zákonem č. 340/2015 Sb., nabude dodatek ke smlouvě účinnosti dnem uveřejnění, pokud dodatek ke smlouvě nepodléhá zveřejnění, nabývá účinnosti dnem 1.1.2019. Smluvní strany se dohodly, že jestliže podle tohoto dodatku ke smlouvě již bylo plněno před datem uveřejnění, považuje se plnění realizované před tímto datem za řádné plnění dle podmínek uvedených v tomto dodatku ke smlouvě. Na právní vztahy vzniklé mezi smluvními stranami </w:t>
      </w:r>
      <w:proofErr w:type="gramStart"/>
      <w:r>
        <w:t>od 1 .1.2019</w:t>
      </w:r>
      <w:proofErr w:type="gramEnd"/>
      <w:r>
        <w:t xml:space="preserve"> se pohlíží jako na právní vztahy založené tímto dodatkem ke smlouvě.</w:t>
      </w:r>
    </w:p>
    <w:p w:rsidR="0029678F" w:rsidRDefault="00D96E7B">
      <w:pPr>
        <w:spacing w:after="114"/>
        <w:ind w:left="14" w:right="14"/>
      </w:pPr>
      <w:r>
        <w:t>Ostatní ustanovení uzavřené smlouvy zůstávají beze změny. Práva a povinnosti vyplývající ze smluvních vztahů před účinností tohoto dodatku zůstávají zachovány.</w:t>
      </w:r>
    </w:p>
    <w:p w:rsidR="00F0278D" w:rsidRDefault="00D96E7B">
      <w:pPr>
        <w:spacing w:after="26"/>
        <w:ind w:left="14" w:right="14"/>
      </w:pPr>
      <w:r>
        <w:t xml:space="preserve">Ve Frýdku-Místku dne </w:t>
      </w:r>
      <w:proofErr w:type="gramStart"/>
      <w:r>
        <w:t>18.12.2018</w:t>
      </w:r>
      <w:proofErr w:type="gramEnd"/>
    </w:p>
    <w:p w:rsidR="0029678F" w:rsidRDefault="00D96E7B" w:rsidP="00F0278D">
      <w:pPr>
        <w:tabs>
          <w:tab w:val="left" w:pos="6660"/>
        </w:tabs>
        <w:ind w:left="0"/>
      </w:pPr>
      <w:bookmarkStart w:id="0" w:name="_GoBack"/>
      <w:bookmarkEnd w:id="0"/>
      <w:r>
        <w:rPr>
          <w:sz w:val="24"/>
        </w:rPr>
        <w:t>Dodavatel:</w:t>
      </w:r>
      <w:r>
        <w:rPr>
          <w:sz w:val="24"/>
        </w:rPr>
        <w:tab/>
        <w:t>Odběratel: DISTEP FNM</w:t>
      </w:r>
    </w:p>
    <w:p w:rsidR="0029678F" w:rsidRDefault="00D96E7B">
      <w:pPr>
        <w:spacing w:after="0"/>
        <w:ind w:left="821" w:right="590"/>
        <w:jc w:val="left"/>
      </w:pPr>
      <w:r>
        <w:rPr>
          <w:rFonts w:ascii="Times New Roman" w:eastAsia="Times New Roman" w:hAnsi="Times New Roman" w:cs="Times New Roman"/>
        </w:rPr>
        <w:t>DISTEP a.s.</w:t>
      </w:r>
    </w:p>
    <w:p w:rsidR="0029678F" w:rsidRDefault="00D96E7B" w:rsidP="000509F9">
      <w:pPr>
        <w:spacing w:after="264" w:line="239" w:lineRule="auto"/>
        <w:ind w:left="605" w:right="590" w:hanging="10"/>
        <w:jc w:val="left"/>
      </w:pPr>
      <w:r>
        <w:rPr>
          <w:noProof/>
        </w:rPr>
        <w:drawing>
          <wp:anchor distT="0" distB="0" distL="114300" distR="114300" simplePos="0" relativeHeight="251661312" behindDoc="0" locked="0" layoutInCell="1" allowOverlap="0" wp14:anchorId="200D59E1" wp14:editId="3B3DCDDA">
            <wp:simplePos x="0" y="0"/>
            <wp:positionH relativeFrom="page">
              <wp:posOffset>7032680</wp:posOffset>
            </wp:positionH>
            <wp:positionV relativeFrom="page">
              <wp:posOffset>201178</wp:posOffset>
            </wp:positionV>
            <wp:extent cx="3049" cy="6096"/>
            <wp:effectExtent l="0" t="0" r="0" b="0"/>
            <wp:wrapSquare wrapText="bothSides"/>
            <wp:docPr id="4519" name="Picture 4519"/>
            <wp:cNvGraphicFramePr/>
            <a:graphic xmlns:a="http://schemas.openxmlformats.org/drawingml/2006/main">
              <a:graphicData uri="http://schemas.openxmlformats.org/drawingml/2006/picture">
                <pic:pic xmlns:pic="http://schemas.openxmlformats.org/drawingml/2006/picture">
                  <pic:nvPicPr>
                    <pic:cNvPr id="4519" name="Picture 4519"/>
                    <pic:cNvPicPr/>
                  </pic:nvPicPr>
                  <pic:blipFill>
                    <a:blip r:embed="rId11"/>
                    <a:stretch>
                      <a:fillRect/>
                    </a:stretch>
                  </pic:blipFill>
                  <pic:spPr>
                    <a:xfrm>
                      <a:off x="0" y="0"/>
                      <a:ext cx="3049" cy="6096"/>
                    </a:xfrm>
                    <a:prstGeom prst="rect">
                      <a:avLst/>
                    </a:prstGeom>
                  </pic:spPr>
                </pic:pic>
              </a:graphicData>
            </a:graphic>
          </wp:anchor>
        </w:drawing>
      </w:r>
      <w:r>
        <w:rPr>
          <w:noProof/>
        </w:rPr>
        <w:drawing>
          <wp:anchor distT="0" distB="0" distL="114300" distR="114300" simplePos="0" relativeHeight="251662336" behindDoc="0" locked="0" layoutInCell="1" allowOverlap="0" wp14:anchorId="4D0EF81D" wp14:editId="52515B28">
            <wp:simplePos x="0" y="0"/>
            <wp:positionH relativeFrom="page">
              <wp:posOffset>7026584</wp:posOffset>
            </wp:positionH>
            <wp:positionV relativeFrom="page">
              <wp:posOffset>326152</wp:posOffset>
            </wp:positionV>
            <wp:extent cx="39629" cy="100589"/>
            <wp:effectExtent l="0" t="0" r="0" b="0"/>
            <wp:wrapSquare wrapText="bothSides"/>
            <wp:docPr id="9580" name="Picture 9580"/>
            <wp:cNvGraphicFramePr/>
            <a:graphic xmlns:a="http://schemas.openxmlformats.org/drawingml/2006/main">
              <a:graphicData uri="http://schemas.openxmlformats.org/drawingml/2006/picture">
                <pic:pic xmlns:pic="http://schemas.openxmlformats.org/drawingml/2006/picture">
                  <pic:nvPicPr>
                    <pic:cNvPr id="9580" name="Picture 9580"/>
                    <pic:cNvPicPr/>
                  </pic:nvPicPr>
                  <pic:blipFill>
                    <a:blip r:embed="rId12"/>
                    <a:stretch>
                      <a:fillRect/>
                    </a:stretch>
                  </pic:blipFill>
                  <pic:spPr>
                    <a:xfrm>
                      <a:off x="0" y="0"/>
                      <a:ext cx="39629" cy="100589"/>
                    </a:xfrm>
                    <a:prstGeom prst="rect">
                      <a:avLst/>
                    </a:prstGeom>
                  </pic:spPr>
                </pic:pic>
              </a:graphicData>
            </a:graphic>
          </wp:anchor>
        </w:drawing>
      </w:r>
      <w:r>
        <w:rPr>
          <w:noProof/>
        </w:rPr>
        <w:drawing>
          <wp:anchor distT="0" distB="0" distL="114300" distR="114300" simplePos="0" relativeHeight="251663360" behindDoc="0" locked="0" layoutInCell="1" allowOverlap="0" wp14:anchorId="1622F995" wp14:editId="56CD79C2">
            <wp:simplePos x="0" y="0"/>
            <wp:positionH relativeFrom="page">
              <wp:posOffset>7239972</wp:posOffset>
            </wp:positionH>
            <wp:positionV relativeFrom="page">
              <wp:posOffset>957118</wp:posOffset>
            </wp:positionV>
            <wp:extent cx="54871" cy="109733"/>
            <wp:effectExtent l="0" t="0" r="0" b="0"/>
            <wp:wrapSquare wrapText="bothSides"/>
            <wp:docPr id="9582" name="Picture 9582"/>
            <wp:cNvGraphicFramePr/>
            <a:graphic xmlns:a="http://schemas.openxmlformats.org/drawingml/2006/main">
              <a:graphicData uri="http://schemas.openxmlformats.org/drawingml/2006/picture">
                <pic:pic xmlns:pic="http://schemas.openxmlformats.org/drawingml/2006/picture">
                  <pic:nvPicPr>
                    <pic:cNvPr id="9582" name="Picture 9582"/>
                    <pic:cNvPicPr/>
                  </pic:nvPicPr>
                  <pic:blipFill>
                    <a:blip r:embed="rId13"/>
                    <a:stretch>
                      <a:fillRect/>
                    </a:stretch>
                  </pic:blipFill>
                  <pic:spPr>
                    <a:xfrm>
                      <a:off x="0" y="0"/>
                      <a:ext cx="54871" cy="109733"/>
                    </a:xfrm>
                    <a:prstGeom prst="rect">
                      <a:avLst/>
                    </a:prstGeom>
                  </pic:spPr>
                </pic:pic>
              </a:graphicData>
            </a:graphic>
          </wp:anchor>
        </w:drawing>
      </w:r>
      <w:r>
        <w:rPr>
          <w:rFonts w:ascii="Times New Roman" w:eastAsia="Times New Roman" w:hAnsi="Times New Roman" w:cs="Times New Roman"/>
          <w:sz w:val="16"/>
        </w:rPr>
        <w:t>Ostravská 961, Místek 73801 Frýdek-</w:t>
      </w:r>
      <w:proofErr w:type="spellStart"/>
      <w:r>
        <w:rPr>
          <w:rFonts w:ascii="Times New Roman" w:eastAsia="Times New Roman" w:hAnsi="Times New Roman" w:cs="Times New Roman"/>
          <w:sz w:val="16"/>
        </w:rPr>
        <w:t>Místek</w:t>
      </w:r>
      <w:r>
        <w:rPr>
          <w:sz w:val="26"/>
        </w:rPr>
        <w:t>Ing</w:t>
      </w:r>
      <w:proofErr w:type="spellEnd"/>
      <w:r>
        <w:rPr>
          <w:sz w:val="26"/>
        </w:rPr>
        <w:t>. Stanislava</w:t>
      </w:r>
      <w:r w:rsidR="00F0278D">
        <w:rPr>
          <w:sz w:val="26"/>
        </w:rPr>
        <w:t xml:space="preserve"> </w:t>
      </w:r>
      <w:proofErr w:type="spellStart"/>
      <w:r w:rsidR="00F0278D">
        <w:rPr>
          <w:sz w:val="26"/>
        </w:rPr>
        <w:t>Ciahotná</w:t>
      </w:r>
      <w:proofErr w:type="spellEnd"/>
      <w:r w:rsidR="00F0278D">
        <w:rPr>
          <w:sz w:val="26"/>
        </w:rPr>
        <w:t xml:space="preserve"> ekonomická náměstkyně</w:t>
      </w:r>
    </w:p>
    <w:p w:rsidR="0029678F" w:rsidRDefault="00D96E7B">
      <w:pPr>
        <w:spacing w:after="224"/>
        <w:ind w:left="33" w:hanging="10"/>
        <w:jc w:val="left"/>
      </w:pPr>
      <w:r>
        <w:rPr>
          <w:sz w:val="18"/>
        </w:rPr>
        <w:t>Strana č. 2</w:t>
      </w:r>
    </w:p>
    <w:sectPr w:rsidR="0029678F">
      <w:pgSz w:w="11920" w:h="16820"/>
      <w:pgMar w:top="230" w:right="1114" w:bottom="650" w:left="8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97C3E"/>
    <w:multiLevelType w:val="hybridMultilevel"/>
    <w:tmpl w:val="35628140"/>
    <w:lvl w:ilvl="0" w:tplc="0098415E">
      <w:start w:val="1"/>
      <w:numFmt w:val="decimal"/>
      <w:lvlText w:val="%1."/>
      <w:lvlJc w:val="left"/>
      <w:pPr>
        <w:ind w:left="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BA210E">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34F798">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F6C9A0">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90EBE8">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A842BC">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72B794">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6CEACA">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E00630">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8F"/>
    <w:rsid w:val="000509F9"/>
    <w:rsid w:val="0029678F"/>
    <w:rsid w:val="003827AF"/>
    <w:rsid w:val="00D96E7B"/>
    <w:rsid w:val="00F02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4"/>
      <w:ind w:left="312"/>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0509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09F9"/>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4"/>
      <w:ind w:left="312"/>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0509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09F9"/>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708</Words>
  <Characters>4184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Kunčar</dc:creator>
  <cp:lastModifiedBy>ziskova</cp:lastModifiedBy>
  <cp:revision>4</cp:revision>
  <dcterms:created xsi:type="dcterms:W3CDTF">2019-01-03T06:39:00Z</dcterms:created>
  <dcterms:modified xsi:type="dcterms:W3CDTF">2019-01-03T07:35:00Z</dcterms:modified>
</cp:coreProperties>
</file>