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0A" w:rsidRPr="00305BB4" w:rsidRDefault="0091380A" w:rsidP="0091380A">
      <w:pPr>
        <w:jc w:val="center"/>
        <w:rPr>
          <w:b/>
          <w:szCs w:val="20"/>
        </w:rPr>
      </w:pPr>
      <w:r w:rsidRPr="00305BB4">
        <w:rPr>
          <w:b/>
          <w:szCs w:val="20"/>
        </w:rPr>
        <w:t>KUPNÍ SMLOUVA O PŘEVODU JEDNOTKY</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1.</w:t>
      </w:r>
      <w:r w:rsidRPr="00305BB4">
        <w:rPr>
          <w:sz w:val="20"/>
          <w:szCs w:val="20"/>
        </w:rPr>
        <w:tab/>
      </w:r>
    </w:p>
    <w:p w:rsidR="0091380A" w:rsidRPr="00305BB4" w:rsidRDefault="0091380A" w:rsidP="0091380A">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91380A" w:rsidRPr="00305BB4" w:rsidRDefault="0091380A" w:rsidP="0091380A">
      <w:pPr>
        <w:jc w:val="both"/>
        <w:rPr>
          <w:sz w:val="20"/>
          <w:szCs w:val="20"/>
        </w:rPr>
      </w:pPr>
      <w:r w:rsidRPr="00305BB4">
        <w:rPr>
          <w:sz w:val="20"/>
          <w:szCs w:val="20"/>
        </w:rPr>
        <w:t xml:space="preserve">jednající </w:t>
      </w:r>
      <w:r w:rsidRPr="00305BB4">
        <w:rPr>
          <w:sz w:val="20"/>
          <w:szCs w:val="20"/>
        </w:rPr>
        <w:tab/>
        <w:t>:</w:t>
      </w:r>
      <w:r w:rsidRPr="00305BB4">
        <w:rPr>
          <w:sz w:val="20"/>
          <w:szCs w:val="20"/>
        </w:rPr>
        <w:tab/>
        <w:t xml:space="preserve">Mgr. Alexanderem Bellu, starostou městské části </w:t>
      </w:r>
    </w:p>
    <w:p w:rsidR="0091380A" w:rsidRPr="00305BB4" w:rsidRDefault="0091380A" w:rsidP="0091380A">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91380A" w:rsidRPr="00305BB4" w:rsidRDefault="0091380A" w:rsidP="0091380A">
      <w:pPr>
        <w:jc w:val="both"/>
        <w:rPr>
          <w:sz w:val="20"/>
          <w:szCs w:val="20"/>
        </w:rPr>
      </w:pPr>
      <w:r w:rsidRPr="00305BB4">
        <w:rPr>
          <w:sz w:val="20"/>
          <w:szCs w:val="20"/>
        </w:rPr>
        <w:t>bankovní spojení</w:t>
      </w:r>
      <w:r w:rsidRPr="00305BB4">
        <w:rPr>
          <w:sz w:val="20"/>
          <w:szCs w:val="20"/>
        </w:rPr>
        <w:tab/>
        <w:t>:</w:t>
      </w:r>
      <w:r w:rsidRPr="00305BB4">
        <w:rPr>
          <w:sz w:val="20"/>
          <w:szCs w:val="20"/>
        </w:rPr>
        <w:tab/>
      </w:r>
      <w:proofErr w:type="spellStart"/>
      <w:proofErr w:type="gramStart"/>
      <w:r w:rsidRPr="00305BB4">
        <w:rPr>
          <w:sz w:val="20"/>
          <w:szCs w:val="20"/>
        </w:rPr>
        <w:t>č.ú</w:t>
      </w:r>
      <w:proofErr w:type="spellEnd"/>
      <w:r w:rsidRPr="00305BB4">
        <w:rPr>
          <w:sz w:val="20"/>
          <w:szCs w:val="20"/>
        </w:rPr>
        <w:t>. 46017</w:t>
      </w:r>
      <w:proofErr w:type="gramEnd"/>
      <w:r w:rsidRPr="00305BB4">
        <w:rPr>
          <w:sz w:val="20"/>
          <w:szCs w:val="20"/>
        </w:rPr>
        <w:t>-2000781379/0800</w:t>
      </w:r>
    </w:p>
    <w:p w:rsidR="0091380A" w:rsidRPr="00305BB4" w:rsidRDefault="0091380A" w:rsidP="0091380A">
      <w:pPr>
        <w:jc w:val="both"/>
        <w:rPr>
          <w:sz w:val="20"/>
          <w:szCs w:val="20"/>
        </w:rPr>
      </w:pPr>
      <w:r w:rsidRPr="00305BB4">
        <w:rPr>
          <w:sz w:val="20"/>
          <w:szCs w:val="20"/>
        </w:rPr>
        <w:t xml:space="preserve">variabilní </w:t>
      </w:r>
      <w:proofErr w:type="spellStart"/>
      <w:r w:rsidRPr="00305BB4">
        <w:rPr>
          <w:sz w:val="20"/>
          <w:szCs w:val="20"/>
        </w:rPr>
        <w:t>symb</w:t>
      </w:r>
      <w:proofErr w:type="spellEnd"/>
      <w:r w:rsidRPr="00305BB4">
        <w:rPr>
          <w:sz w:val="20"/>
          <w:szCs w:val="20"/>
        </w:rPr>
        <w:t>.</w:t>
      </w:r>
      <w:r w:rsidRPr="00305BB4">
        <w:rPr>
          <w:sz w:val="20"/>
          <w:szCs w:val="20"/>
        </w:rPr>
        <w:tab/>
        <w:t>:</w:t>
      </w:r>
      <w:r w:rsidRPr="00305BB4">
        <w:rPr>
          <w:sz w:val="20"/>
          <w:szCs w:val="20"/>
        </w:rPr>
        <w:tab/>
      </w:r>
      <w:r w:rsidRPr="002F127A">
        <w:rPr>
          <w:noProof/>
          <w:sz w:val="20"/>
          <w:szCs w:val="20"/>
        </w:rPr>
        <w:t>104619</w:t>
      </w:r>
      <w:r w:rsidRPr="00305BB4">
        <w:rPr>
          <w:sz w:val="20"/>
          <w:szCs w:val="20"/>
        </w:rPr>
        <w:t xml:space="preserve"> </w:t>
      </w:r>
    </w:p>
    <w:p w:rsidR="0091380A" w:rsidRPr="00305BB4" w:rsidRDefault="0091380A" w:rsidP="0091380A">
      <w:pPr>
        <w:jc w:val="both"/>
        <w:rPr>
          <w:sz w:val="20"/>
          <w:szCs w:val="20"/>
        </w:rPr>
      </w:pPr>
      <w:r w:rsidRPr="00305BB4">
        <w:rPr>
          <w:sz w:val="20"/>
          <w:szCs w:val="20"/>
        </w:rPr>
        <w:t>jako strana prodávající na straně jedné (dále uváděna jako „prodávající“ nebo „městská část“)</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a</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2. </w:t>
      </w:r>
    </w:p>
    <w:tbl>
      <w:tblPr>
        <w:tblW w:w="0" w:type="auto"/>
        <w:tblLayout w:type="fixed"/>
        <w:tblLook w:val="04A0" w:firstRow="1" w:lastRow="0" w:firstColumn="1" w:lastColumn="0" w:noHBand="0" w:noVBand="1"/>
      </w:tblPr>
      <w:tblGrid>
        <w:gridCol w:w="1481"/>
        <w:gridCol w:w="236"/>
        <w:gridCol w:w="3045"/>
        <w:gridCol w:w="3708"/>
        <w:gridCol w:w="283"/>
        <w:gridCol w:w="533"/>
      </w:tblGrid>
      <w:tr w:rsidR="0091380A" w:rsidRPr="00305BB4" w:rsidTr="00A12018">
        <w:tc>
          <w:tcPr>
            <w:tcW w:w="1481" w:type="dxa"/>
          </w:tcPr>
          <w:p w:rsidR="0091380A" w:rsidRPr="00305BB4" w:rsidRDefault="0091380A" w:rsidP="00F86EA2">
            <w:pPr>
              <w:jc w:val="both"/>
              <w:rPr>
                <w:sz w:val="20"/>
                <w:szCs w:val="20"/>
              </w:rPr>
            </w:pPr>
            <w:r w:rsidRPr="002F127A">
              <w:rPr>
                <w:noProof/>
                <w:sz w:val="20"/>
                <w:szCs w:val="20"/>
              </w:rPr>
              <w:t>Manželé</w:t>
            </w:r>
          </w:p>
        </w:tc>
        <w:tc>
          <w:tcPr>
            <w:tcW w:w="236" w:type="dxa"/>
          </w:tcPr>
          <w:p w:rsidR="0091380A" w:rsidRPr="00305BB4" w:rsidRDefault="0091380A" w:rsidP="00F86EA2">
            <w:pPr>
              <w:jc w:val="both"/>
              <w:rPr>
                <w:sz w:val="20"/>
                <w:szCs w:val="20"/>
              </w:rPr>
            </w:pPr>
          </w:p>
        </w:tc>
        <w:tc>
          <w:tcPr>
            <w:tcW w:w="3045" w:type="dxa"/>
          </w:tcPr>
          <w:p w:rsidR="0091380A" w:rsidRPr="00305BB4" w:rsidRDefault="0091380A" w:rsidP="00F86EA2">
            <w:pPr>
              <w:jc w:val="both"/>
              <w:rPr>
                <w:sz w:val="20"/>
                <w:szCs w:val="20"/>
              </w:rPr>
            </w:pPr>
          </w:p>
        </w:tc>
        <w:tc>
          <w:tcPr>
            <w:tcW w:w="3708" w:type="dxa"/>
          </w:tcPr>
          <w:p w:rsidR="0091380A" w:rsidRPr="00305BB4" w:rsidRDefault="0091380A" w:rsidP="00F86EA2">
            <w:pPr>
              <w:jc w:val="both"/>
              <w:rPr>
                <w:sz w:val="20"/>
                <w:szCs w:val="20"/>
              </w:rPr>
            </w:pPr>
          </w:p>
        </w:tc>
        <w:tc>
          <w:tcPr>
            <w:tcW w:w="283" w:type="dxa"/>
          </w:tcPr>
          <w:p w:rsidR="0091380A" w:rsidRPr="00305BB4" w:rsidRDefault="0091380A" w:rsidP="00F86EA2">
            <w:pPr>
              <w:jc w:val="both"/>
              <w:rPr>
                <w:sz w:val="20"/>
                <w:szCs w:val="20"/>
              </w:rPr>
            </w:pPr>
          </w:p>
        </w:tc>
        <w:tc>
          <w:tcPr>
            <w:tcW w:w="533" w:type="dxa"/>
          </w:tcPr>
          <w:p w:rsidR="0091380A" w:rsidRPr="00305BB4" w:rsidRDefault="0091380A" w:rsidP="00F86EA2">
            <w:pPr>
              <w:jc w:val="both"/>
              <w:rPr>
                <w:sz w:val="20"/>
                <w:szCs w:val="20"/>
              </w:rPr>
            </w:pPr>
          </w:p>
        </w:tc>
      </w:tr>
      <w:tr w:rsidR="0091380A" w:rsidRPr="00305BB4" w:rsidTr="00A12018">
        <w:tc>
          <w:tcPr>
            <w:tcW w:w="1481" w:type="dxa"/>
          </w:tcPr>
          <w:p w:rsidR="0091380A" w:rsidRPr="00305BB4" w:rsidRDefault="0091380A" w:rsidP="00F86EA2">
            <w:pPr>
              <w:jc w:val="both"/>
              <w:rPr>
                <w:sz w:val="20"/>
                <w:szCs w:val="20"/>
              </w:rPr>
            </w:pPr>
            <w:r w:rsidRPr="00305BB4">
              <w:rPr>
                <w:sz w:val="20"/>
                <w:szCs w:val="20"/>
              </w:rPr>
              <w:t>titul</w:t>
            </w:r>
          </w:p>
        </w:tc>
        <w:tc>
          <w:tcPr>
            <w:tcW w:w="236" w:type="dxa"/>
          </w:tcPr>
          <w:p w:rsidR="0091380A" w:rsidRPr="00305BB4" w:rsidRDefault="0091380A" w:rsidP="00F86EA2">
            <w:pPr>
              <w:jc w:val="both"/>
              <w:rPr>
                <w:sz w:val="20"/>
                <w:szCs w:val="20"/>
              </w:rPr>
            </w:pPr>
            <w:r w:rsidRPr="00305BB4">
              <w:rPr>
                <w:sz w:val="20"/>
                <w:szCs w:val="20"/>
              </w:rPr>
              <w:t>:</w:t>
            </w:r>
          </w:p>
        </w:tc>
        <w:tc>
          <w:tcPr>
            <w:tcW w:w="3045" w:type="dxa"/>
          </w:tcPr>
          <w:p w:rsidR="0091380A" w:rsidRPr="00305BB4" w:rsidRDefault="0091380A" w:rsidP="00F86EA2">
            <w:pPr>
              <w:jc w:val="both"/>
              <w:rPr>
                <w:b/>
                <w:sz w:val="20"/>
                <w:szCs w:val="20"/>
              </w:rPr>
            </w:pPr>
            <w:r>
              <w:rPr>
                <w:b/>
                <w:sz w:val="20"/>
                <w:szCs w:val="20"/>
              </w:rPr>
              <w:t>Ing.</w:t>
            </w:r>
          </w:p>
        </w:tc>
        <w:tc>
          <w:tcPr>
            <w:tcW w:w="3708" w:type="dxa"/>
          </w:tcPr>
          <w:p w:rsidR="0091380A" w:rsidRPr="00305BB4" w:rsidRDefault="0091380A" w:rsidP="00F86EA2">
            <w:pPr>
              <w:jc w:val="both"/>
              <w:rPr>
                <w:b/>
                <w:sz w:val="20"/>
                <w:szCs w:val="20"/>
              </w:rPr>
            </w:pPr>
          </w:p>
        </w:tc>
        <w:tc>
          <w:tcPr>
            <w:tcW w:w="283" w:type="dxa"/>
          </w:tcPr>
          <w:p w:rsidR="0091380A" w:rsidRPr="00305BB4" w:rsidRDefault="0091380A" w:rsidP="00F86EA2">
            <w:pPr>
              <w:jc w:val="both"/>
              <w:rPr>
                <w:b/>
                <w:sz w:val="20"/>
                <w:szCs w:val="20"/>
              </w:rPr>
            </w:pPr>
          </w:p>
        </w:tc>
        <w:tc>
          <w:tcPr>
            <w:tcW w:w="533" w:type="dxa"/>
          </w:tcPr>
          <w:p w:rsidR="0091380A" w:rsidRPr="00305BB4" w:rsidRDefault="0091380A" w:rsidP="00F86EA2">
            <w:pPr>
              <w:jc w:val="both"/>
              <w:rPr>
                <w:b/>
                <w:sz w:val="20"/>
                <w:szCs w:val="20"/>
              </w:rPr>
            </w:pPr>
          </w:p>
        </w:tc>
      </w:tr>
      <w:tr w:rsidR="0091380A" w:rsidRPr="00305BB4" w:rsidTr="00A12018">
        <w:trPr>
          <w:trHeight w:val="80"/>
        </w:trPr>
        <w:tc>
          <w:tcPr>
            <w:tcW w:w="1481" w:type="dxa"/>
          </w:tcPr>
          <w:p w:rsidR="0091380A" w:rsidRPr="00305BB4" w:rsidRDefault="0091380A" w:rsidP="00F86EA2">
            <w:pPr>
              <w:jc w:val="both"/>
              <w:rPr>
                <w:sz w:val="20"/>
                <w:szCs w:val="20"/>
              </w:rPr>
            </w:pPr>
            <w:r w:rsidRPr="00305BB4">
              <w:rPr>
                <w:sz w:val="20"/>
                <w:szCs w:val="20"/>
              </w:rPr>
              <w:t>jméno</w:t>
            </w:r>
          </w:p>
        </w:tc>
        <w:tc>
          <w:tcPr>
            <w:tcW w:w="236" w:type="dxa"/>
          </w:tcPr>
          <w:p w:rsidR="0091380A" w:rsidRPr="00305BB4" w:rsidRDefault="0091380A" w:rsidP="00F86EA2">
            <w:pPr>
              <w:jc w:val="both"/>
              <w:rPr>
                <w:sz w:val="20"/>
                <w:szCs w:val="20"/>
              </w:rPr>
            </w:pPr>
            <w:r w:rsidRPr="00305BB4">
              <w:rPr>
                <w:sz w:val="20"/>
                <w:szCs w:val="20"/>
              </w:rPr>
              <w:t>:</w:t>
            </w:r>
          </w:p>
        </w:tc>
        <w:tc>
          <w:tcPr>
            <w:tcW w:w="3045" w:type="dxa"/>
          </w:tcPr>
          <w:p w:rsidR="0091380A" w:rsidRPr="00305BB4" w:rsidRDefault="0091380A" w:rsidP="00F86EA2">
            <w:pPr>
              <w:jc w:val="both"/>
              <w:rPr>
                <w:b/>
                <w:sz w:val="20"/>
                <w:szCs w:val="20"/>
              </w:rPr>
            </w:pPr>
            <w:r w:rsidRPr="002F127A">
              <w:rPr>
                <w:b/>
                <w:noProof/>
                <w:sz w:val="20"/>
                <w:szCs w:val="20"/>
              </w:rPr>
              <w:t>Adam</w:t>
            </w:r>
          </w:p>
        </w:tc>
        <w:tc>
          <w:tcPr>
            <w:tcW w:w="3708" w:type="dxa"/>
          </w:tcPr>
          <w:p w:rsidR="0091380A" w:rsidRPr="00305BB4" w:rsidRDefault="0091380A" w:rsidP="00F86EA2">
            <w:pPr>
              <w:jc w:val="both"/>
              <w:rPr>
                <w:b/>
                <w:sz w:val="20"/>
                <w:szCs w:val="20"/>
              </w:rPr>
            </w:pPr>
            <w:r w:rsidRPr="002F127A">
              <w:rPr>
                <w:b/>
                <w:noProof/>
                <w:sz w:val="20"/>
                <w:szCs w:val="20"/>
              </w:rPr>
              <w:t>Renáta</w:t>
            </w:r>
          </w:p>
        </w:tc>
        <w:tc>
          <w:tcPr>
            <w:tcW w:w="283" w:type="dxa"/>
          </w:tcPr>
          <w:p w:rsidR="0091380A" w:rsidRPr="00305BB4" w:rsidRDefault="0091380A" w:rsidP="00F86EA2">
            <w:pPr>
              <w:jc w:val="both"/>
              <w:rPr>
                <w:b/>
                <w:sz w:val="20"/>
                <w:szCs w:val="20"/>
              </w:rPr>
            </w:pPr>
          </w:p>
        </w:tc>
        <w:tc>
          <w:tcPr>
            <w:tcW w:w="533" w:type="dxa"/>
          </w:tcPr>
          <w:p w:rsidR="0091380A" w:rsidRPr="00305BB4" w:rsidRDefault="0091380A" w:rsidP="00F86EA2">
            <w:pPr>
              <w:jc w:val="both"/>
              <w:rPr>
                <w:b/>
                <w:sz w:val="20"/>
                <w:szCs w:val="20"/>
              </w:rPr>
            </w:pPr>
          </w:p>
        </w:tc>
      </w:tr>
      <w:tr w:rsidR="0091380A" w:rsidRPr="00305BB4" w:rsidTr="00A12018">
        <w:tc>
          <w:tcPr>
            <w:tcW w:w="1481" w:type="dxa"/>
          </w:tcPr>
          <w:p w:rsidR="0091380A" w:rsidRPr="00305BB4" w:rsidRDefault="0091380A" w:rsidP="00F86EA2">
            <w:pPr>
              <w:jc w:val="both"/>
              <w:rPr>
                <w:sz w:val="20"/>
                <w:szCs w:val="20"/>
              </w:rPr>
            </w:pPr>
            <w:r w:rsidRPr="00305BB4">
              <w:rPr>
                <w:sz w:val="20"/>
                <w:szCs w:val="20"/>
              </w:rPr>
              <w:t>příjmení</w:t>
            </w:r>
          </w:p>
        </w:tc>
        <w:tc>
          <w:tcPr>
            <w:tcW w:w="236" w:type="dxa"/>
          </w:tcPr>
          <w:p w:rsidR="0091380A" w:rsidRPr="00305BB4" w:rsidRDefault="0091380A" w:rsidP="00F86EA2">
            <w:pPr>
              <w:jc w:val="both"/>
              <w:rPr>
                <w:sz w:val="20"/>
                <w:szCs w:val="20"/>
              </w:rPr>
            </w:pPr>
            <w:r w:rsidRPr="00305BB4">
              <w:rPr>
                <w:sz w:val="20"/>
                <w:szCs w:val="20"/>
              </w:rPr>
              <w:t>:</w:t>
            </w:r>
          </w:p>
        </w:tc>
        <w:tc>
          <w:tcPr>
            <w:tcW w:w="3045" w:type="dxa"/>
          </w:tcPr>
          <w:p w:rsidR="0091380A" w:rsidRPr="00305BB4" w:rsidRDefault="0091380A" w:rsidP="00F86EA2">
            <w:pPr>
              <w:jc w:val="both"/>
              <w:rPr>
                <w:b/>
                <w:sz w:val="20"/>
                <w:szCs w:val="20"/>
              </w:rPr>
            </w:pPr>
            <w:r w:rsidRPr="002F127A">
              <w:rPr>
                <w:b/>
                <w:noProof/>
                <w:sz w:val="20"/>
                <w:szCs w:val="20"/>
              </w:rPr>
              <w:t>Veselý</w:t>
            </w:r>
          </w:p>
        </w:tc>
        <w:tc>
          <w:tcPr>
            <w:tcW w:w="3708" w:type="dxa"/>
          </w:tcPr>
          <w:p w:rsidR="0091380A" w:rsidRPr="00305BB4" w:rsidRDefault="0091380A" w:rsidP="00F86EA2">
            <w:pPr>
              <w:jc w:val="both"/>
              <w:rPr>
                <w:b/>
                <w:sz w:val="20"/>
                <w:szCs w:val="20"/>
              </w:rPr>
            </w:pPr>
            <w:r w:rsidRPr="002F127A">
              <w:rPr>
                <w:b/>
                <w:noProof/>
                <w:sz w:val="20"/>
                <w:szCs w:val="20"/>
              </w:rPr>
              <w:t>Veselá</w:t>
            </w:r>
          </w:p>
        </w:tc>
        <w:tc>
          <w:tcPr>
            <w:tcW w:w="283" w:type="dxa"/>
          </w:tcPr>
          <w:p w:rsidR="0091380A" w:rsidRPr="00305BB4" w:rsidRDefault="0091380A" w:rsidP="00F86EA2">
            <w:pPr>
              <w:jc w:val="both"/>
              <w:rPr>
                <w:b/>
                <w:sz w:val="20"/>
                <w:szCs w:val="20"/>
              </w:rPr>
            </w:pPr>
          </w:p>
        </w:tc>
        <w:tc>
          <w:tcPr>
            <w:tcW w:w="533" w:type="dxa"/>
          </w:tcPr>
          <w:p w:rsidR="0091380A" w:rsidRPr="00305BB4" w:rsidRDefault="0091380A" w:rsidP="00F86EA2">
            <w:pPr>
              <w:jc w:val="both"/>
              <w:rPr>
                <w:b/>
                <w:sz w:val="20"/>
                <w:szCs w:val="20"/>
              </w:rPr>
            </w:pPr>
          </w:p>
        </w:tc>
      </w:tr>
      <w:tr w:rsidR="0091380A" w:rsidRPr="00305BB4" w:rsidTr="00A12018">
        <w:tc>
          <w:tcPr>
            <w:tcW w:w="1481" w:type="dxa"/>
          </w:tcPr>
          <w:p w:rsidR="0091380A" w:rsidRPr="00305BB4" w:rsidRDefault="0091380A" w:rsidP="00F86EA2">
            <w:pPr>
              <w:jc w:val="both"/>
              <w:rPr>
                <w:sz w:val="20"/>
                <w:szCs w:val="20"/>
              </w:rPr>
            </w:pPr>
            <w:proofErr w:type="gramStart"/>
            <w:r w:rsidRPr="00305BB4">
              <w:rPr>
                <w:sz w:val="20"/>
                <w:szCs w:val="20"/>
              </w:rPr>
              <w:t>narozen(a)</w:t>
            </w:r>
            <w:proofErr w:type="gramEnd"/>
          </w:p>
        </w:tc>
        <w:tc>
          <w:tcPr>
            <w:tcW w:w="236" w:type="dxa"/>
          </w:tcPr>
          <w:p w:rsidR="0091380A" w:rsidRPr="00305BB4" w:rsidRDefault="0091380A" w:rsidP="00F86EA2">
            <w:pPr>
              <w:jc w:val="both"/>
              <w:rPr>
                <w:sz w:val="20"/>
                <w:szCs w:val="20"/>
              </w:rPr>
            </w:pPr>
            <w:r w:rsidRPr="00305BB4">
              <w:rPr>
                <w:sz w:val="20"/>
                <w:szCs w:val="20"/>
              </w:rPr>
              <w:t>:</w:t>
            </w:r>
          </w:p>
        </w:tc>
        <w:tc>
          <w:tcPr>
            <w:tcW w:w="3045" w:type="dxa"/>
          </w:tcPr>
          <w:p w:rsidR="0091380A" w:rsidRPr="00305BB4" w:rsidRDefault="0091380A" w:rsidP="00F86EA2">
            <w:pPr>
              <w:jc w:val="both"/>
              <w:rPr>
                <w:sz w:val="20"/>
                <w:szCs w:val="20"/>
              </w:rPr>
            </w:pPr>
          </w:p>
        </w:tc>
        <w:tc>
          <w:tcPr>
            <w:tcW w:w="3708" w:type="dxa"/>
          </w:tcPr>
          <w:p w:rsidR="0091380A" w:rsidRPr="00305BB4" w:rsidRDefault="0091380A" w:rsidP="00F86EA2">
            <w:pPr>
              <w:jc w:val="both"/>
              <w:rPr>
                <w:sz w:val="20"/>
                <w:szCs w:val="20"/>
              </w:rPr>
            </w:pPr>
          </w:p>
        </w:tc>
        <w:tc>
          <w:tcPr>
            <w:tcW w:w="283" w:type="dxa"/>
          </w:tcPr>
          <w:p w:rsidR="0091380A" w:rsidRPr="00305BB4" w:rsidRDefault="0091380A" w:rsidP="00F86EA2">
            <w:pPr>
              <w:jc w:val="both"/>
              <w:rPr>
                <w:sz w:val="20"/>
                <w:szCs w:val="20"/>
              </w:rPr>
            </w:pPr>
          </w:p>
        </w:tc>
        <w:tc>
          <w:tcPr>
            <w:tcW w:w="533" w:type="dxa"/>
          </w:tcPr>
          <w:p w:rsidR="0091380A" w:rsidRPr="00305BB4" w:rsidRDefault="0091380A" w:rsidP="00F86EA2">
            <w:pPr>
              <w:jc w:val="both"/>
              <w:rPr>
                <w:sz w:val="20"/>
                <w:szCs w:val="20"/>
              </w:rPr>
            </w:pPr>
          </w:p>
        </w:tc>
      </w:tr>
      <w:tr w:rsidR="0091380A" w:rsidRPr="00305BB4" w:rsidTr="00A12018">
        <w:tc>
          <w:tcPr>
            <w:tcW w:w="1481" w:type="dxa"/>
          </w:tcPr>
          <w:p w:rsidR="0091380A" w:rsidRPr="00305BB4" w:rsidRDefault="0091380A" w:rsidP="00F86EA2">
            <w:pPr>
              <w:jc w:val="both"/>
              <w:rPr>
                <w:sz w:val="20"/>
                <w:szCs w:val="20"/>
              </w:rPr>
            </w:pPr>
            <w:r w:rsidRPr="00305BB4">
              <w:rPr>
                <w:sz w:val="20"/>
                <w:szCs w:val="20"/>
              </w:rPr>
              <w:t>rodné číslo</w:t>
            </w:r>
          </w:p>
        </w:tc>
        <w:tc>
          <w:tcPr>
            <w:tcW w:w="236" w:type="dxa"/>
          </w:tcPr>
          <w:p w:rsidR="0091380A" w:rsidRPr="00305BB4" w:rsidRDefault="0091380A" w:rsidP="00F86EA2">
            <w:pPr>
              <w:jc w:val="both"/>
              <w:rPr>
                <w:sz w:val="20"/>
                <w:szCs w:val="20"/>
              </w:rPr>
            </w:pPr>
            <w:r w:rsidRPr="00305BB4">
              <w:rPr>
                <w:sz w:val="20"/>
                <w:szCs w:val="20"/>
              </w:rPr>
              <w:t>:</w:t>
            </w:r>
          </w:p>
        </w:tc>
        <w:tc>
          <w:tcPr>
            <w:tcW w:w="3045" w:type="dxa"/>
          </w:tcPr>
          <w:p w:rsidR="0091380A" w:rsidRPr="00305BB4" w:rsidRDefault="0091380A" w:rsidP="00F86EA2">
            <w:pPr>
              <w:jc w:val="both"/>
              <w:rPr>
                <w:sz w:val="20"/>
                <w:szCs w:val="20"/>
              </w:rPr>
            </w:pPr>
          </w:p>
        </w:tc>
        <w:tc>
          <w:tcPr>
            <w:tcW w:w="3708" w:type="dxa"/>
          </w:tcPr>
          <w:p w:rsidR="0091380A" w:rsidRPr="00305BB4" w:rsidRDefault="0091380A" w:rsidP="00F86EA2">
            <w:pPr>
              <w:jc w:val="both"/>
              <w:rPr>
                <w:sz w:val="20"/>
                <w:szCs w:val="20"/>
              </w:rPr>
            </w:pPr>
          </w:p>
        </w:tc>
        <w:tc>
          <w:tcPr>
            <w:tcW w:w="283" w:type="dxa"/>
          </w:tcPr>
          <w:p w:rsidR="0091380A" w:rsidRPr="00305BB4" w:rsidRDefault="0091380A" w:rsidP="00F86EA2">
            <w:pPr>
              <w:jc w:val="both"/>
              <w:rPr>
                <w:sz w:val="20"/>
                <w:szCs w:val="20"/>
              </w:rPr>
            </w:pPr>
          </w:p>
        </w:tc>
        <w:tc>
          <w:tcPr>
            <w:tcW w:w="533" w:type="dxa"/>
          </w:tcPr>
          <w:p w:rsidR="0091380A" w:rsidRPr="00305BB4" w:rsidRDefault="0091380A" w:rsidP="00F86EA2">
            <w:pPr>
              <w:jc w:val="both"/>
              <w:rPr>
                <w:sz w:val="20"/>
                <w:szCs w:val="20"/>
              </w:rPr>
            </w:pPr>
          </w:p>
        </w:tc>
      </w:tr>
      <w:tr w:rsidR="0091380A" w:rsidRPr="00305BB4" w:rsidTr="00A12018">
        <w:tc>
          <w:tcPr>
            <w:tcW w:w="1481" w:type="dxa"/>
          </w:tcPr>
          <w:p w:rsidR="0091380A" w:rsidRPr="00305BB4" w:rsidRDefault="0091380A" w:rsidP="00F86EA2">
            <w:pPr>
              <w:jc w:val="both"/>
              <w:rPr>
                <w:sz w:val="20"/>
                <w:szCs w:val="20"/>
              </w:rPr>
            </w:pPr>
            <w:r w:rsidRPr="00305BB4">
              <w:rPr>
                <w:sz w:val="20"/>
                <w:szCs w:val="20"/>
              </w:rPr>
              <w:t>státní občanství</w:t>
            </w:r>
          </w:p>
        </w:tc>
        <w:tc>
          <w:tcPr>
            <w:tcW w:w="236" w:type="dxa"/>
          </w:tcPr>
          <w:p w:rsidR="0091380A" w:rsidRPr="00305BB4" w:rsidRDefault="0091380A" w:rsidP="00F86EA2">
            <w:pPr>
              <w:jc w:val="both"/>
              <w:rPr>
                <w:sz w:val="20"/>
                <w:szCs w:val="20"/>
              </w:rPr>
            </w:pPr>
            <w:r w:rsidRPr="00305BB4">
              <w:rPr>
                <w:sz w:val="20"/>
                <w:szCs w:val="20"/>
              </w:rPr>
              <w:t>:</w:t>
            </w:r>
          </w:p>
        </w:tc>
        <w:tc>
          <w:tcPr>
            <w:tcW w:w="3045" w:type="dxa"/>
          </w:tcPr>
          <w:p w:rsidR="0091380A" w:rsidRPr="00305BB4" w:rsidRDefault="0091380A" w:rsidP="00F86EA2">
            <w:pPr>
              <w:jc w:val="both"/>
              <w:rPr>
                <w:sz w:val="20"/>
                <w:szCs w:val="20"/>
              </w:rPr>
            </w:pPr>
          </w:p>
        </w:tc>
        <w:tc>
          <w:tcPr>
            <w:tcW w:w="3708" w:type="dxa"/>
          </w:tcPr>
          <w:p w:rsidR="0091380A" w:rsidRPr="00305BB4" w:rsidRDefault="0091380A" w:rsidP="00F86EA2">
            <w:pPr>
              <w:jc w:val="both"/>
              <w:rPr>
                <w:sz w:val="20"/>
                <w:szCs w:val="20"/>
              </w:rPr>
            </w:pPr>
          </w:p>
        </w:tc>
        <w:tc>
          <w:tcPr>
            <w:tcW w:w="283" w:type="dxa"/>
          </w:tcPr>
          <w:p w:rsidR="0091380A" w:rsidRPr="00305BB4" w:rsidRDefault="0091380A" w:rsidP="00F86EA2">
            <w:pPr>
              <w:jc w:val="both"/>
              <w:rPr>
                <w:sz w:val="20"/>
                <w:szCs w:val="20"/>
              </w:rPr>
            </w:pPr>
          </w:p>
        </w:tc>
        <w:tc>
          <w:tcPr>
            <w:tcW w:w="533" w:type="dxa"/>
          </w:tcPr>
          <w:p w:rsidR="0091380A" w:rsidRPr="00305BB4" w:rsidRDefault="0091380A" w:rsidP="00F86EA2">
            <w:pPr>
              <w:jc w:val="both"/>
              <w:rPr>
                <w:sz w:val="20"/>
                <w:szCs w:val="20"/>
              </w:rPr>
            </w:pPr>
          </w:p>
        </w:tc>
      </w:tr>
      <w:tr w:rsidR="0091380A" w:rsidRPr="00305BB4" w:rsidTr="00A12018">
        <w:tc>
          <w:tcPr>
            <w:tcW w:w="1481" w:type="dxa"/>
          </w:tcPr>
          <w:p w:rsidR="0091380A" w:rsidRPr="00305BB4" w:rsidRDefault="0091380A" w:rsidP="00F86EA2">
            <w:pPr>
              <w:jc w:val="both"/>
              <w:rPr>
                <w:sz w:val="20"/>
                <w:szCs w:val="20"/>
              </w:rPr>
            </w:pPr>
            <w:r w:rsidRPr="00305BB4">
              <w:rPr>
                <w:sz w:val="20"/>
                <w:szCs w:val="20"/>
              </w:rPr>
              <w:t>stav</w:t>
            </w:r>
          </w:p>
        </w:tc>
        <w:tc>
          <w:tcPr>
            <w:tcW w:w="236" w:type="dxa"/>
          </w:tcPr>
          <w:p w:rsidR="0091380A" w:rsidRPr="00305BB4" w:rsidRDefault="0091380A" w:rsidP="00F86EA2">
            <w:pPr>
              <w:jc w:val="both"/>
              <w:rPr>
                <w:sz w:val="20"/>
                <w:szCs w:val="20"/>
              </w:rPr>
            </w:pPr>
            <w:r w:rsidRPr="00305BB4">
              <w:rPr>
                <w:sz w:val="20"/>
                <w:szCs w:val="20"/>
              </w:rPr>
              <w:t>:</w:t>
            </w:r>
          </w:p>
        </w:tc>
        <w:tc>
          <w:tcPr>
            <w:tcW w:w="3045" w:type="dxa"/>
          </w:tcPr>
          <w:p w:rsidR="0091380A" w:rsidRPr="00305BB4" w:rsidRDefault="0091380A" w:rsidP="00F86EA2">
            <w:pPr>
              <w:jc w:val="both"/>
              <w:rPr>
                <w:sz w:val="20"/>
                <w:szCs w:val="20"/>
              </w:rPr>
            </w:pPr>
          </w:p>
        </w:tc>
        <w:tc>
          <w:tcPr>
            <w:tcW w:w="3708" w:type="dxa"/>
          </w:tcPr>
          <w:p w:rsidR="0091380A" w:rsidRPr="00305BB4" w:rsidRDefault="0091380A" w:rsidP="00F86EA2">
            <w:pPr>
              <w:jc w:val="both"/>
              <w:rPr>
                <w:sz w:val="20"/>
                <w:szCs w:val="20"/>
              </w:rPr>
            </w:pPr>
          </w:p>
        </w:tc>
        <w:tc>
          <w:tcPr>
            <w:tcW w:w="283" w:type="dxa"/>
          </w:tcPr>
          <w:p w:rsidR="0091380A" w:rsidRPr="00305BB4" w:rsidRDefault="0091380A" w:rsidP="00F86EA2">
            <w:pPr>
              <w:jc w:val="both"/>
              <w:rPr>
                <w:sz w:val="20"/>
                <w:szCs w:val="20"/>
              </w:rPr>
            </w:pPr>
          </w:p>
        </w:tc>
        <w:tc>
          <w:tcPr>
            <w:tcW w:w="533" w:type="dxa"/>
          </w:tcPr>
          <w:p w:rsidR="0091380A" w:rsidRPr="00305BB4" w:rsidRDefault="0091380A" w:rsidP="00F86EA2">
            <w:pPr>
              <w:jc w:val="both"/>
              <w:rPr>
                <w:sz w:val="20"/>
                <w:szCs w:val="20"/>
              </w:rPr>
            </w:pPr>
          </w:p>
        </w:tc>
      </w:tr>
      <w:tr w:rsidR="0091380A" w:rsidRPr="00305BB4" w:rsidTr="00A12018">
        <w:tc>
          <w:tcPr>
            <w:tcW w:w="1481" w:type="dxa"/>
          </w:tcPr>
          <w:p w:rsidR="0091380A" w:rsidRPr="00305BB4" w:rsidRDefault="0091380A" w:rsidP="00F86EA2">
            <w:pPr>
              <w:jc w:val="both"/>
              <w:rPr>
                <w:sz w:val="20"/>
                <w:szCs w:val="20"/>
              </w:rPr>
            </w:pPr>
            <w:r w:rsidRPr="00305BB4">
              <w:rPr>
                <w:sz w:val="20"/>
                <w:szCs w:val="20"/>
              </w:rPr>
              <w:t>trvalý pobyt</w:t>
            </w:r>
          </w:p>
        </w:tc>
        <w:tc>
          <w:tcPr>
            <w:tcW w:w="236" w:type="dxa"/>
          </w:tcPr>
          <w:p w:rsidR="0091380A" w:rsidRPr="00305BB4" w:rsidRDefault="0091380A" w:rsidP="00F86EA2">
            <w:pPr>
              <w:jc w:val="both"/>
              <w:rPr>
                <w:sz w:val="20"/>
                <w:szCs w:val="20"/>
              </w:rPr>
            </w:pPr>
            <w:r w:rsidRPr="00305BB4">
              <w:rPr>
                <w:sz w:val="20"/>
                <w:szCs w:val="20"/>
              </w:rPr>
              <w:t>:</w:t>
            </w:r>
          </w:p>
        </w:tc>
        <w:tc>
          <w:tcPr>
            <w:tcW w:w="3045" w:type="dxa"/>
          </w:tcPr>
          <w:p w:rsidR="0091380A" w:rsidRPr="00305BB4" w:rsidRDefault="0091380A" w:rsidP="00F86EA2">
            <w:pPr>
              <w:jc w:val="both"/>
              <w:rPr>
                <w:sz w:val="20"/>
                <w:szCs w:val="20"/>
              </w:rPr>
            </w:pPr>
            <w:r w:rsidRPr="002F127A">
              <w:rPr>
                <w:noProof/>
                <w:sz w:val="20"/>
                <w:szCs w:val="20"/>
              </w:rPr>
              <w:t>130 00 Praha 3</w:t>
            </w:r>
          </w:p>
        </w:tc>
        <w:tc>
          <w:tcPr>
            <w:tcW w:w="3708" w:type="dxa"/>
          </w:tcPr>
          <w:p w:rsidR="0091380A" w:rsidRPr="00305BB4" w:rsidRDefault="0091380A" w:rsidP="00F86EA2">
            <w:pPr>
              <w:jc w:val="both"/>
              <w:rPr>
                <w:sz w:val="20"/>
                <w:szCs w:val="20"/>
              </w:rPr>
            </w:pPr>
            <w:bookmarkStart w:id="0" w:name="_GoBack"/>
            <w:bookmarkEnd w:id="0"/>
            <w:r w:rsidRPr="002F127A">
              <w:rPr>
                <w:noProof/>
                <w:sz w:val="20"/>
                <w:szCs w:val="20"/>
              </w:rPr>
              <w:t>130 00 Praha 3</w:t>
            </w:r>
          </w:p>
        </w:tc>
        <w:tc>
          <w:tcPr>
            <w:tcW w:w="283" w:type="dxa"/>
          </w:tcPr>
          <w:p w:rsidR="0091380A" w:rsidRPr="00305BB4" w:rsidRDefault="0091380A" w:rsidP="00F86EA2">
            <w:pPr>
              <w:jc w:val="both"/>
              <w:rPr>
                <w:sz w:val="20"/>
                <w:szCs w:val="20"/>
              </w:rPr>
            </w:pPr>
          </w:p>
        </w:tc>
        <w:tc>
          <w:tcPr>
            <w:tcW w:w="533" w:type="dxa"/>
          </w:tcPr>
          <w:p w:rsidR="0091380A" w:rsidRPr="00305BB4" w:rsidRDefault="0091380A" w:rsidP="00F86EA2">
            <w:pPr>
              <w:jc w:val="both"/>
              <w:rPr>
                <w:sz w:val="20"/>
                <w:szCs w:val="20"/>
              </w:rPr>
            </w:pPr>
          </w:p>
        </w:tc>
      </w:tr>
    </w:tbl>
    <w:p w:rsidR="0091380A" w:rsidRPr="00305BB4" w:rsidRDefault="0091380A" w:rsidP="0091380A">
      <w:pPr>
        <w:jc w:val="both"/>
        <w:rPr>
          <w:sz w:val="20"/>
          <w:szCs w:val="20"/>
        </w:rPr>
      </w:pPr>
      <w:r w:rsidRPr="00305BB4">
        <w:rPr>
          <w:sz w:val="20"/>
          <w:szCs w:val="20"/>
        </w:rPr>
        <w:t>jako strana kupující na straně druhé (dále uváděn jako „kupující“)</w:t>
      </w:r>
    </w:p>
    <w:p w:rsidR="0091380A" w:rsidRPr="00305BB4" w:rsidRDefault="0091380A" w:rsidP="0091380A">
      <w:pPr>
        <w:jc w:val="both"/>
        <w:rPr>
          <w:sz w:val="20"/>
          <w:szCs w:val="20"/>
        </w:rPr>
      </w:pPr>
      <w:r w:rsidRPr="00305BB4">
        <w:rPr>
          <w:sz w:val="20"/>
          <w:szCs w:val="20"/>
        </w:rPr>
        <w:t xml:space="preserve">uzavřeli níže uvedeného dne, měsíce a roku tuto </w:t>
      </w:r>
    </w:p>
    <w:p w:rsidR="0091380A" w:rsidRPr="00305BB4" w:rsidRDefault="0091380A" w:rsidP="0091380A">
      <w:pPr>
        <w:jc w:val="both"/>
        <w:rPr>
          <w:sz w:val="20"/>
          <w:szCs w:val="20"/>
        </w:rPr>
      </w:pPr>
    </w:p>
    <w:p w:rsidR="0091380A" w:rsidRPr="00305BB4" w:rsidRDefault="0091380A" w:rsidP="0091380A">
      <w:pPr>
        <w:jc w:val="center"/>
        <w:outlineLvl w:val="0"/>
        <w:rPr>
          <w:b/>
          <w:sz w:val="20"/>
          <w:szCs w:val="20"/>
        </w:rPr>
      </w:pPr>
      <w:r w:rsidRPr="00305BB4">
        <w:rPr>
          <w:b/>
          <w:sz w:val="20"/>
          <w:szCs w:val="20"/>
        </w:rPr>
        <w:t>KUPNÍ SMLOUVU</w:t>
      </w:r>
    </w:p>
    <w:p w:rsidR="0091380A" w:rsidRPr="00305BB4" w:rsidRDefault="0091380A" w:rsidP="0091380A">
      <w:pPr>
        <w:jc w:val="center"/>
        <w:outlineLvl w:val="0"/>
        <w:rPr>
          <w:b/>
          <w:sz w:val="20"/>
          <w:szCs w:val="20"/>
        </w:rPr>
      </w:pPr>
    </w:p>
    <w:p w:rsidR="0091380A" w:rsidRPr="00A12018" w:rsidRDefault="0091380A" w:rsidP="00A12018">
      <w:pPr>
        <w:jc w:val="center"/>
        <w:rPr>
          <w:rFonts w:eastAsia="Calibri"/>
          <w:b/>
          <w:sz w:val="20"/>
          <w:szCs w:val="20"/>
        </w:rPr>
      </w:pPr>
      <w:r w:rsidRPr="00305BB4">
        <w:rPr>
          <w:b/>
          <w:sz w:val="20"/>
          <w:szCs w:val="20"/>
        </w:rPr>
        <w:t xml:space="preserve">o převodu vlastnictví jednotky podle </w:t>
      </w:r>
      <w:proofErr w:type="gramStart"/>
      <w:r w:rsidRPr="00305BB4">
        <w:rPr>
          <w:b/>
          <w:sz w:val="20"/>
          <w:szCs w:val="20"/>
        </w:rPr>
        <w:t>ustanovení  § 2079</w:t>
      </w:r>
      <w:proofErr w:type="gramEnd"/>
      <w:r w:rsidRPr="00305BB4">
        <w:rPr>
          <w:b/>
          <w:sz w:val="20"/>
          <w:szCs w:val="20"/>
        </w:rPr>
        <w:t xml:space="preserve">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91380A" w:rsidRPr="00305BB4" w:rsidRDefault="0091380A" w:rsidP="0091380A">
      <w:pPr>
        <w:jc w:val="both"/>
        <w:rPr>
          <w:sz w:val="20"/>
          <w:szCs w:val="20"/>
        </w:rPr>
      </w:pPr>
    </w:p>
    <w:p w:rsidR="0091380A" w:rsidRPr="00305BB4" w:rsidRDefault="0091380A" w:rsidP="0091380A">
      <w:pPr>
        <w:jc w:val="center"/>
        <w:rPr>
          <w:b/>
          <w:sz w:val="20"/>
          <w:szCs w:val="20"/>
        </w:rPr>
      </w:pPr>
      <w:r w:rsidRPr="00305BB4">
        <w:rPr>
          <w:b/>
          <w:sz w:val="20"/>
          <w:szCs w:val="20"/>
        </w:rPr>
        <w:t>I.</w:t>
      </w:r>
    </w:p>
    <w:p w:rsidR="0091380A" w:rsidRPr="00305BB4" w:rsidRDefault="0091380A" w:rsidP="0091380A">
      <w:pPr>
        <w:jc w:val="center"/>
        <w:rPr>
          <w:b/>
          <w:sz w:val="20"/>
          <w:szCs w:val="20"/>
        </w:rPr>
      </w:pPr>
      <w:r w:rsidRPr="00305BB4">
        <w:rPr>
          <w:b/>
          <w:sz w:val="20"/>
          <w:szCs w:val="20"/>
        </w:rPr>
        <w:t>Úvodní ustanovení</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w:t>
      </w:r>
      <w:proofErr w:type="gramStart"/>
      <w:r w:rsidRPr="00305BB4">
        <w:rPr>
          <w:sz w:val="20"/>
          <w:szCs w:val="20"/>
        </w:rPr>
        <w:t>č.p.</w:t>
      </w:r>
      <w:proofErr w:type="gramEnd"/>
      <w:r w:rsidRPr="00305BB4">
        <w:rPr>
          <w:sz w:val="20"/>
          <w:szCs w:val="20"/>
        </w:rPr>
        <w:t xml:space="preserve"> </w:t>
      </w:r>
      <w:sdt>
        <w:sdtPr>
          <w:rPr>
            <w:sz w:val="20"/>
            <w:szCs w:val="20"/>
          </w:rPr>
          <w:id w:val="-1320804568"/>
          <w:placeholder>
            <w:docPart w:val="F0E863A288874C77A5A175E5EB05614A"/>
          </w:placeholder>
        </w:sdtPr>
        <w:sdtEndPr/>
        <w:sdtContent>
          <w:r>
            <w:rPr>
              <w:sz w:val="20"/>
              <w:szCs w:val="20"/>
            </w:rPr>
            <w:t>1046</w:t>
          </w:r>
        </w:sdtContent>
      </w:sdt>
      <w:r w:rsidRPr="00305BB4">
        <w:rPr>
          <w:sz w:val="20"/>
          <w:szCs w:val="20"/>
        </w:rPr>
        <w:t xml:space="preserve"> ve vlastnictví hl. m. Prahy, který je součástí pozemku </w:t>
      </w:r>
      <w:sdt>
        <w:sdtPr>
          <w:rPr>
            <w:sz w:val="20"/>
            <w:szCs w:val="20"/>
          </w:rPr>
          <w:id w:val="-2125060672"/>
          <w:placeholder>
            <w:docPart w:val="D2737AEA847C4CB3A6329AEF89EF4EC5"/>
          </w:placeholder>
        </w:sdtPr>
        <w:sdtEndPr/>
        <w:sdtContent>
          <w:r w:rsidRPr="00305BB4">
            <w:rPr>
              <w:sz w:val="20"/>
              <w:szCs w:val="20"/>
            </w:rPr>
            <w:t xml:space="preserve">parc.č. </w:t>
          </w:r>
          <w:r>
            <w:rPr>
              <w:sz w:val="20"/>
              <w:szCs w:val="20"/>
            </w:rPr>
            <w:t>1852/2</w:t>
          </w:r>
          <w:r w:rsidRPr="00305BB4">
            <w:rPr>
              <w:sz w:val="20"/>
              <w:szCs w:val="20"/>
            </w:rPr>
            <w:t xml:space="preserve">, </w:t>
          </w:r>
          <w:proofErr w:type="gramStart"/>
          <w:r w:rsidRPr="00305BB4">
            <w:rPr>
              <w:sz w:val="20"/>
              <w:szCs w:val="20"/>
            </w:rPr>
            <w:t>zast.pl.</w:t>
          </w:r>
          <w:proofErr w:type="gramEnd"/>
          <w:r w:rsidRPr="00305BB4">
            <w:rPr>
              <w:sz w:val="20"/>
              <w:szCs w:val="20"/>
            </w:rPr>
            <w:t xml:space="preserve"> a nádvoří, </w:t>
          </w:r>
        </w:sdtContent>
      </w:sdt>
      <w:r w:rsidRPr="00305BB4">
        <w:rPr>
          <w:sz w:val="20"/>
          <w:szCs w:val="20"/>
        </w:rPr>
        <w:t xml:space="preserve">(dále jen „dům“) a pozemky parc.č. </w:t>
      </w:r>
      <w:r>
        <w:rPr>
          <w:sz w:val="20"/>
          <w:szCs w:val="20"/>
        </w:rPr>
        <w:t>1852/2</w:t>
      </w:r>
      <w:r w:rsidRPr="00305BB4">
        <w:rPr>
          <w:sz w:val="20"/>
          <w:szCs w:val="20"/>
        </w:rPr>
        <w:t>, zast.pl. a nádvoří</w:t>
      </w:r>
      <w:r>
        <w:rPr>
          <w:sz w:val="20"/>
          <w:szCs w:val="20"/>
        </w:rPr>
        <w:t>,</w:t>
      </w:r>
      <w:r w:rsidRPr="00305BB4">
        <w:rPr>
          <w:sz w:val="20"/>
          <w:szCs w:val="20"/>
        </w:rPr>
        <w:t xml:space="preserve"> parc.č. 18</w:t>
      </w:r>
      <w:r>
        <w:rPr>
          <w:sz w:val="20"/>
          <w:szCs w:val="20"/>
        </w:rPr>
        <w:t>52/1</w:t>
      </w:r>
      <w:r w:rsidRPr="00305BB4">
        <w:rPr>
          <w:sz w:val="20"/>
          <w:szCs w:val="20"/>
        </w:rPr>
        <w:t xml:space="preserve">, ostatní plocha – </w:t>
      </w:r>
      <w:r>
        <w:rPr>
          <w:sz w:val="20"/>
          <w:szCs w:val="20"/>
        </w:rPr>
        <w:t>manipulační plocha</w:t>
      </w:r>
      <w:r w:rsidRPr="00305BB4">
        <w:rPr>
          <w:sz w:val="20"/>
          <w:szCs w:val="20"/>
        </w:rPr>
        <w:t>,</w:t>
      </w:r>
      <w:r>
        <w:rPr>
          <w:sz w:val="20"/>
          <w:szCs w:val="20"/>
        </w:rPr>
        <w:t xml:space="preserve"> parc.č. 1852/8, ostatní plocha – jiná plocha a parc.č. 1855/25, ostatní plocha - manipulační plocha, </w:t>
      </w:r>
      <w:r w:rsidRPr="00305BB4">
        <w:rPr>
          <w:sz w:val="20"/>
          <w:szCs w:val="20"/>
        </w:rPr>
        <w:t xml:space="preserve"> vše v katastrálním území</w:t>
      </w:r>
      <w:r w:rsidRPr="00305BB4">
        <w:rPr>
          <w:i/>
          <w:sz w:val="20"/>
          <w:szCs w:val="20"/>
        </w:rPr>
        <w:t xml:space="preserve"> </w:t>
      </w:r>
      <w:r w:rsidRPr="00305BB4">
        <w:rPr>
          <w:sz w:val="20"/>
          <w:szCs w:val="20"/>
        </w:rPr>
        <w:t>Žižkov (dále jen „nemovitá věc“).</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2. Prohlášením vlastníka ze dne </w:t>
      </w:r>
      <w:r w:rsidRPr="002F127A">
        <w:rPr>
          <w:noProof/>
          <w:sz w:val="20"/>
          <w:szCs w:val="20"/>
        </w:rPr>
        <w:t>7.8.2018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2F127A">
        <w:rPr>
          <w:noProof/>
          <w:sz w:val="20"/>
          <w:szCs w:val="20"/>
        </w:rPr>
        <w:t>1046/19</w:t>
      </w:r>
      <w:r w:rsidRPr="00305BB4">
        <w:rPr>
          <w:sz w:val="20"/>
          <w:szCs w:val="20"/>
        </w:rPr>
        <w:t xml:space="preserve">, umístěná v </w:t>
      </w:r>
      <w:r w:rsidRPr="002F127A">
        <w:rPr>
          <w:noProof/>
          <w:sz w:val="20"/>
          <w:szCs w:val="20"/>
        </w:rPr>
        <w:t>8. nadzemním</w:t>
      </w:r>
      <w:r w:rsidRPr="00305BB4">
        <w:rPr>
          <w:sz w:val="20"/>
          <w:szCs w:val="20"/>
        </w:rPr>
        <w:t xml:space="preserve"> podlaží domu, s tím, že tato jednotka ve smyslu </w:t>
      </w:r>
      <w:proofErr w:type="spellStart"/>
      <w:r w:rsidRPr="00305BB4">
        <w:rPr>
          <w:sz w:val="20"/>
          <w:szCs w:val="20"/>
        </w:rPr>
        <w:t>ustan</w:t>
      </w:r>
      <w:proofErr w:type="spellEnd"/>
      <w:r w:rsidRPr="00305BB4">
        <w:rPr>
          <w:sz w:val="20"/>
          <w:szCs w:val="20"/>
        </w:rPr>
        <w:t xml:space="preserve">. § </w:t>
      </w:r>
      <w:proofErr w:type="gramStart"/>
      <w:r w:rsidRPr="00305BB4">
        <w:rPr>
          <w:sz w:val="20"/>
          <w:szCs w:val="20"/>
        </w:rPr>
        <w:t>1159  zák.</w:t>
      </w:r>
      <w:proofErr w:type="gramEnd"/>
      <w:r w:rsidRPr="00305BB4">
        <w:rPr>
          <w:sz w:val="20"/>
          <w:szCs w:val="20"/>
        </w:rPr>
        <w:t xml:space="preserve"> č. 89/2012  Sb. zahrnuje byt jako prostorově oddělenou část domu o celkové podlahové ploše </w:t>
      </w:r>
      <w:r w:rsidRPr="002F127A">
        <w:rPr>
          <w:noProof/>
          <w:sz w:val="20"/>
          <w:szCs w:val="20"/>
        </w:rPr>
        <w:t>65,1</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1852/2</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18</w:t>
      </w:r>
      <w:r>
        <w:rPr>
          <w:sz w:val="20"/>
          <w:szCs w:val="20"/>
        </w:rPr>
        <w:t>52/1, parc.č. 1852/8 a parc.č. 1855/25</w:t>
      </w:r>
      <w:r w:rsidRPr="00305BB4">
        <w:rPr>
          <w:sz w:val="20"/>
          <w:szCs w:val="20"/>
        </w:rPr>
        <w:t xml:space="preserve"> v rozsahu ideálních </w:t>
      </w:r>
      <w:r w:rsidRPr="002F127A">
        <w:rPr>
          <w:noProof/>
          <w:sz w:val="20"/>
          <w:szCs w:val="20"/>
        </w:rPr>
        <w:t>651</w:t>
      </w:r>
      <w:r w:rsidRPr="00305BB4">
        <w:rPr>
          <w:sz w:val="20"/>
          <w:szCs w:val="20"/>
        </w:rPr>
        <w:t>/</w:t>
      </w:r>
      <w:sdt>
        <w:sdtPr>
          <w:rPr>
            <w:sz w:val="20"/>
            <w:szCs w:val="20"/>
          </w:rPr>
          <w:id w:val="1968156912"/>
          <w:placeholder>
            <w:docPart w:val="081893FD5CBE4290B3FBEAEA182FE2FE"/>
          </w:placeholder>
        </w:sdtPr>
        <w:sdtEndPr/>
        <w:sdtContent>
          <w:r>
            <w:rPr>
              <w:sz w:val="20"/>
              <w:szCs w:val="20"/>
            </w:rPr>
            <w:t>17952</w:t>
          </w:r>
        </w:sdtContent>
      </w:sdt>
      <w:r w:rsidRPr="00305BB4">
        <w:rPr>
          <w:sz w:val="20"/>
          <w:szCs w:val="20"/>
        </w:rPr>
        <w:t xml:space="preserve"> ( dále také  jen „jednotka“). Vlastnictví jednotky č. </w:t>
      </w:r>
      <w:r w:rsidRPr="002F127A">
        <w:rPr>
          <w:noProof/>
          <w:sz w:val="20"/>
          <w:szCs w:val="20"/>
        </w:rPr>
        <w:t>1046/19</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91380A" w:rsidRPr="00305BB4" w:rsidRDefault="0091380A" w:rsidP="0091380A">
      <w:pPr>
        <w:jc w:val="both"/>
        <w:rPr>
          <w:sz w:val="20"/>
          <w:szCs w:val="20"/>
        </w:rPr>
      </w:pPr>
    </w:p>
    <w:p w:rsidR="0091380A" w:rsidRPr="00305BB4" w:rsidRDefault="0091380A" w:rsidP="0091380A">
      <w:pPr>
        <w:jc w:val="center"/>
        <w:rPr>
          <w:b/>
          <w:sz w:val="20"/>
          <w:szCs w:val="20"/>
        </w:rPr>
      </w:pPr>
      <w:r w:rsidRPr="00305BB4">
        <w:rPr>
          <w:b/>
          <w:sz w:val="20"/>
          <w:szCs w:val="20"/>
        </w:rPr>
        <w:t>II.</w:t>
      </w:r>
    </w:p>
    <w:p w:rsidR="0091380A" w:rsidRPr="00305BB4" w:rsidRDefault="0091380A" w:rsidP="0091380A">
      <w:pPr>
        <w:jc w:val="center"/>
        <w:rPr>
          <w:b/>
          <w:sz w:val="20"/>
          <w:szCs w:val="20"/>
        </w:rPr>
      </w:pPr>
      <w:r w:rsidRPr="00305BB4">
        <w:rPr>
          <w:b/>
          <w:sz w:val="20"/>
          <w:szCs w:val="20"/>
        </w:rPr>
        <w:t>Vymezení předmětu koupě</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1. Předmětem koupě dle této smlouvy je jednotka č. </w:t>
      </w:r>
      <w:r w:rsidRPr="002F127A">
        <w:rPr>
          <w:noProof/>
          <w:sz w:val="20"/>
          <w:szCs w:val="20"/>
        </w:rPr>
        <w:t>1046/19</w:t>
      </w:r>
      <w:r w:rsidRPr="00305BB4">
        <w:rPr>
          <w:sz w:val="20"/>
          <w:szCs w:val="20"/>
        </w:rPr>
        <w:t xml:space="preserve"> uvedená v článku I odst. 2 této smlouvy. Vymezení jednotky č. </w:t>
      </w:r>
      <w:r w:rsidRPr="002F127A">
        <w:rPr>
          <w:noProof/>
          <w:sz w:val="20"/>
          <w:szCs w:val="20"/>
        </w:rPr>
        <w:t>1046/19</w:t>
      </w:r>
      <w:r w:rsidRPr="00305BB4">
        <w:rPr>
          <w:sz w:val="20"/>
          <w:szCs w:val="20"/>
        </w:rPr>
        <w:t xml:space="preserve"> je součástí prohlášení vlastníka ze dne </w:t>
      </w:r>
      <w:r w:rsidRPr="002F127A">
        <w:rPr>
          <w:noProof/>
          <w:sz w:val="20"/>
          <w:szCs w:val="20"/>
        </w:rPr>
        <w:t>7.8.2018</w:t>
      </w:r>
      <w:r w:rsidRPr="00305BB4">
        <w:rPr>
          <w:sz w:val="20"/>
          <w:szCs w:val="20"/>
        </w:rPr>
        <w:t xml:space="preserve"> dle předchozího článku smlouvy, kde je podrobně popsán byt včetně všech součástí a příslušenství a společné části nemovité věci, jež jsou zahrnuty v jednotce č. </w:t>
      </w:r>
      <w:r w:rsidRPr="002F127A">
        <w:rPr>
          <w:noProof/>
          <w:sz w:val="20"/>
          <w:szCs w:val="20"/>
        </w:rPr>
        <w:t>1046/19</w:t>
      </w:r>
      <w:r w:rsidRPr="00305BB4">
        <w:rPr>
          <w:sz w:val="20"/>
          <w:szCs w:val="20"/>
        </w:rPr>
        <w:t xml:space="preserve">. Kupující prohlašuje, že se s prohlášením vlastníka před podpisem této smlouvy seznámil.  </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91380A" w:rsidRPr="00305BB4" w:rsidRDefault="0091380A" w:rsidP="0091380A">
      <w:pPr>
        <w:jc w:val="center"/>
        <w:rPr>
          <w:b/>
          <w:sz w:val="20"/>
          <w:szCs w:val="20"/>
        </w:rPr>
      </w:pPr>
    </w:p>
    <w:p w:rsidR="0091380A" w:rsidRPr="00305BB4" w:rsidRDefault="0091380A" w:rsidP="0091380A">
      <w:pPr>
        <w:jc w:val="center"/>
        <w:rPr>
          <w:b/>
          <w:sz w:val="20"/>
          <w:szCs w:val="20"/>
        </w:rPr>
      </w:pPr>
      <w:r w:rsidRPr="00305BB4">
        <w:rPr>
          <w:b/>
          <w:sz w:val="20"/>
          <w:szCs w:val="20"/>
        </w:rPr>
        <w:t>III.</w:t>
      </w:r>
    </w:p>
    <w:p w:rsidR="0091380A" w:rsidRDefault="0091380A" w:rsidP="0091380A">
      <w:pPr>
        <w:jc w:val="center"/>
        <w:rPr>
          <w:b/>
          <w:sz w:val="20"/>
          <w:szCs w:val="20"/>
        </w:rPr>
      </w:pPr>
      <w:r w:rsidRPr="00305BB4">
        <w:rPr>
          <w:b/>
          <w:sz w:val="20"/>
          <w:szCs w:val="20"/>
        </w:rPr>
        <w:lastRenderedPageBreak/>
        <w:t>Předmět smlouvy</w:t>
      </w:r>
    </w:p>
    <w:p w:rsidR="0091380A" w:rsidRPr="00305BB4" w:rsidRDefault="0091380A" w:rsidP="0091380A">
      <w:pPr>
        <w:jc w:val="center"/>
        <w:rPr>
          <w:b/>
          <w:sz w:val="20"/>
          <w:szCs w:val="20"/>
        </w:rPr>
      </w:pPr>
    </w:p>
    <w:p w:rsidR="0091380A" w:rsidRPr="00305BB4" w:rsidRDefault="0091380A" w:rsidP="0091380A">
      <w:pPr>
        <w:pStyle w:val="Odstavecseseznamem"/>
        <w:tabs>
          <w:tab w:val="left" w:pos="284"/>
        </w:tabs>
        <w:ind w:left="0"/>
        <w:jc w:val="both"/>
        <w:rPr>
          <w:sz w:val="20"/>
          <w:szCs w:val="20"/>
        </w:rPr>
      </w:pPr>
      <w:r w:rsidRPr="00305BB4">
        <w:rPr>
          <w:sz w:val="20"/>
          <w:szCs w:val="20"/>
        </w:rPr>
        <w:t>1. Prodávající touto kupní smlouvou prodává kupujícímu předmět koupě uvedený v </w:t>
      </w:r>
      <w:proofErr w:type="gramStart"/>
      <w:r w:rsidRPr="00305BB4">
        <w:rPr>
          <w:sz w:val="20"/>
          <w:szCs w:val="20"/>
        </w:rPr>
        <w:t>článku  II</w:t>
      </w:r>
      <w:proofErr w:type="gramEnd"/>
      <w:r w:rsidRPr="00305BB4">
        <w:rPr>
          <w:sz w:val="20"/>
          <w:szCs w:val="20"/>
        </w:rPr>
        <w:t xml:space="preserve">. odst. 1  této smlouvy, a kupující tento předmět koupě kupuje do svého </w:t>
      </w:r>
      <w:r w:rsidRPr="002F127A">
        <w:rPr>
          <w:noProof/>
          <w:sz w:val="20"/>
          <w:szCs w:val="20"/>
        </w:rPr>
        <w:t>společného jmění manželů</w:t>
      </w:r>
      <w:r w:rsidRPr="00305BB4">
        <w:rPr>
          <w:sz w:val="20"/>
          <w:szCs w:val="20"/>
        </w:rPr>
        <w:t xml:space="preserve"> a zavazuje se zaplatit prodávajícímu kupní cenu podle čl. IV. a V. této smlouvy.</w:t>
      </w:r>
    </w:p>
    <w:p w:rsidR="0091380A" w:rsidRPr="00305BB4" w:rsidRDefault="0091380A" w:rsidP="0091380A">
      <w:pPr>
        <w:jc w:val="both"/>
        <w:rPr>
          <w:sz w:val="20"/>
          <w:szCs w:val="20"/>
        </w:rPr>
      </w:pPr>
    </w:p>
    <w:p w:rsidR="0091380A" w:rsidRPr="00305BB4" w:rsidRDefault="0091380A" w:rsidP="0091380A">
      <w:pPr>
        <w:jc w:val="center"/>
        <w:rPr>
          <w:b/>
          <w:sz w:val="20"/>
          <w:szCs w:val="20"/>
        </w:rPr>
      </w:pPr>
      <w:r w:rsidRPr="00305BB4">
        <w:rPr>
          <w:b/>
          <w:sz w:val="20"/>
          <w:szCs w:val="20"/>
        </w:rPr>
        <w:t>IV.</w:t>
      </w:r>
    </w:p>
    <w:p w:rsidR="0091380A" w:rsidRPr="00305BB4" w:rsidRDefault="0091380A" w:rsidP="0091380A">
      <w:pPr>
        <w:jc w:val="center"/>
        <w:rPr>
          <w:b/>
          <w:sz w:val="20"/>
          <w:szCs w:val="20"/>
        </w:rPr>
      </w:pPr>
      <w:r w:rsidRPr="00305BB4">
        <w:rPr>
          <w:b/>
          <w:sz w:val="20"/>
          <w:szCs w:val="20"/>
        </w:rPr>
        <w:t>Kupní cena</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1. Kupní cena se sjednává dohodou smluvních stran v </w:t>
      </w:r>
      <w:proofErr w:type="gramStart"/>
      <w:r w:rsidRPr="00305BB4">
        <w:rPr>
          <w:sz w:val="20"/>
          <w:szCs w:val="20"/>
        </w:rPr>
        <w:t xml:space="preserve">částce  </w:t>
      </w:r>
      <w:r w:rsidRPr="0091380A">
        <w:rPr>
          <w:b/>
          <w:sz w:val="20"/>
          <w:szCs w:val="20"/>
        </w:rPr>
        <w:t>1.505.380,50</w:t>
      </w:r>
      <w:proofErr w:type="gramEnd"/>
      <w:r w:rsidRPr="0091380A">
        <w:rPr>
          <w:b/>
          <w:sz w:val="20"/>
          <w:szCs w:val="20"/>
        </w:rPr>
        <w:t xml:space="preserve"> Kč</w:t>
      </w:r>
      <w:r>
        <w:rPr>
          <w:sz w:val="20"/>
          <w:szCs w:val="20"/>
        </w:rPr>
        <w:t xml:space="preserve"> (</w:t>
      </w:r>
      <w:r w:rsidRPr="00305BB4">
        <w:rPr>
          <w:sz w:val="20"/>
          <w:szCs w:val="20"/>
        </w:rPr>
        <w:t xml:space="preserve">slovy: </w:t>
      </w:r>
      <w:r w:rsidRPr="0091380A">
        <w:rPr>
          <w:sz w:val="20"/>
          <w:szCs w:val="20"/>
        </w:rPr>
        <w:t>jeden milion pět set pět tisíc tři sta osmdesát korun českých padesát haléřů</w:t>
      </w:r>
      <w:r w:rsidRPr="00305BB4">
        <w:rPr>
          <w:sz w:val="20"/>
          <w:szCs w:val="20"/>
        </w:rPr>
        <w:t>), z toh</w:t>
      </w:r>
      <w:r>
        <w:rPr>
          <w:sz w:val="20"/>
          <w:szCs w:val="20"/>
        </w:rPr>
        <w:t>o kupní cena bytu činí 1.437.733,50 Kč (</w:t>
      </w:r>
      <w:r w:rsidRPr="00305BB4">
        <w:rPr>
          <w:sz w:val="20"/>
          <w:szCs w:val="20"/>
        </w:rPr>
        <w:t xml:space="preserve">slovy: </w:t>
      </w:r>
      <w:r w:rsidRPr="0091380A">
        <w:rPr>
          <w:sz w:val="20"/>
          <w:szCs w:val="20"/>
        </w:rPr>
        <w:t>jeden milion čtyři sta třicet sedm tisíc sedm set třicet tři korun českých padesát haléřů</w:t>
      </w:r>
      <w:r w:rsidRPr="00305BB4">
        <w:rPr>
          <w:sz w:val="20"/>
          <w:szCs w:val="20"/>
        </w:rPr>
        <w:t>).</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2. Podkladem pro stanovení kupní ceny je znalecký posudek č. </w:t>
      </w:r>
      <w:sdt>
        <w:sdtPr>
          <w:rPr>
            <w:sz w:val="20"/>
            <w:szCs w:val="20"/>
          </w:rPr>
          <w:id w:val="1048105170"/>
          <w:placeholder>
            <w:docPart w:val="D2737AEA847C4CB3A6329AEF89EF4EC5"/>
          </w:placeholder>
        </w:sdtPr>
        <w:sdtEndPr/>
        <w:sdtContent>
          <w:r>
            <w:rPr>
              <w:sz w:val="20"/>
              <w:szCs w:val="20"/>
            </w:rPr>
            <w:t>6113-78/2018</w:t>
          </w:r>
        </w:sdtContent>
      </w:sdt>
      <w:r w:rsidRPr="00305BB4">
        <w:rPr>
          <w:sz w:val="20"/>
          <w:szCs w:val="20"/>
        </w:rPr>
        <w:t xml:space="preserve">, vyhotovený soudním znalcem Ing. Janem </w:t>
      </w:r>
      <w:proofErr w:type="spellStart"/>
      <w:r w:rsidRPr="00305BB4">
        <w:rPr>
          <w:sz w:val="20"/>
          <w:szCs w:val="20"/>
        </w:rPr>
        <w:t>Melšem</w:t>
      </w:r>
      <w:proofErr w:type="spellEnd"/>
      <w:r w:rsidRPr="00305BB4">
        <w:rPr>
          <w:sz w:val="20"/>
          <w:szCs w:val="20"/>
        </w:rPr>
        <w:t>.  Cena podílu na pozemku/pozemcích, jež tvoří společnou část nemovité věci je určena podle cenové mapy pozemků ke dni schválení záměru prodeje.</w:t>
      </w:r>
    </w:p>
    <w:p w:rsidR="0091380A" w:rsidRPr="00305BB4" w:rsidRDefault="0091380A" w:rsidP="0091380A">
      <w:pPr>
        <w:jc w:val="both"/>
        <w:rPr>
          <w:sz w:val="20"/>
          <w:szCs w:val="20"/>
        </w:rPr>
      </w:pPr>
    </w:p>
    <w:p w:rsidR="0091380A" w:rsidRPr="00305BB4" w:rsidRDefault="0091380A" w:rsidP="0091380A">
      <w:pPr>
        <w:jc w:val="center"/>
        <w:rPr>
          <w:b/>
          <w:sz w:val="20"/>
          <w:szCs w:val="20"/>
        </w:rPr>
      </w:pPr>
      <w:r w:rsidRPr="00305BB4">
        <w:rPr>
          <w:b/>
          <w:sz w:val="20"/>
          <w:szCs w:val="20"/>
        </w:rPr>
        <w:t>V.</w:t>
      </w:r>
    </w:p>
    <w:p w:rsidR="0091380A" w:rsidRPr="00305BB4" w:rsidRDefault="0091380A" w:rsidP="0091380A">
      <w:pPr>
        <w:jc w:val="center"/>
        <w:rPr>
          <w:b/>
          <w:sz w:val="20"/>
          <w:szCs w:val="20"/>
        </w:rPr>
      </w:pPr>
      <w:r w:rsidRPr="00305BB4">
        <w:rPr>
          <w:b/>
          <w:sz w:val="20"/>
          <w:szCs w:val="20"/>
        </w:rPr>
        <w:t>Platební podmínky a zajištění závazku zaplatit kupní cenu</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1. Kupující se zavazuje zaplatit kupní cenu </w:t>
      </w:r>
      <w:r>
        <w:rPr>
          <w:sz w:val="20"/>
          <w:szCs w:val="20"/>
        </w:rPr>
        <w:t>1.505.380</w:t>
      </w:r>
      <w:r w:rsidRPr="00305BB4">
        <w:rPr>
          <w:sz w:val="20"/>
          <w:szCs w:val="20"/>
        </w:rPr>
        <w:t>,</w:t>
      </w:r>
      <w:r>
        <w:rPr>
          <w:sz w:val="20"/>
          <w:szCs w:val="20"/>
        </w:rPr>
        <w:t>5</w:t>
      </w:r>
      <w:r w:rsidRPr="00305BB4">
        <w:rPr>
          <w:sz w:val="20"/>
          <w:szCs w:val="20"/>
        </w:rPr>
        <w:t>0 Kč prostřednictvím</w:t>
      </w:r>
      <w:r>
        <w:rPr>
          <w:sz w:val="20"/>
          <w:szCs w:val="20"/>
        </w:rPr>
        <w:t xml:space="preserve"> </w:t>
      </w:r>
      <w:r w:rsidRPr="00305BB4">
        <w:rPr>
          <w:sz w:val="20"/>
          <w:szCs w:val="20"/>
        </w:rPr>
        <w:t xml:space="preserve">úvěru od </w:t>
      </w:r>
      <w:r>
        <w:rPr>
          <w:sz w:val="20"/>
          <w:szCs w:val="20"/>
        </w:rPr>
        <w:t xml:space="preserve">Modré pyramidy stavební spořitelny, a.s. </w:t>
      </w:r>
      <w:r w:rsidRPr="00305BB4">
        <w:rPr>
          <w:sz w:val="20"/>
          <w:szCs w:val="20"/>
        </w:rPr>
        <w:t>(dále jen banka) ve lhůtě odpovídající podmínkám banky pro čerpání  úvěru.</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 xml:space="preserve">4. Pro případ, kdy kupující nebude moci uhradit celou kupní cenu nejdéle před podáním návrhu na vklad práva podle této smlouvy do veřejného seznamu   zavazuje </w:t>
      </w:r>
      <w:proofErr w:type="gramStart"/>
      <w:r w:rsidRPr="00305BB4">
        <w:rPr>
          <w:sz w:val="20"/>
          <w:szCs w:val="20"/>
        </w:rPr>
        <w:t>se  sepsat</w:t>
      </w:r>
      <w:proofErr w:type="gramEnd"/>
      <w:r w:rsidRPr="00305BB4">
        <w:rPr>
          <w:sz w:val="20"/>
          <w:szCs w:val="20"/>
        </w:rPr>
        <w:t xml:space="preserve">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91380A" w:rsidRPr="00305BB4" w:rsidRDefault="0091380A" w:rsidP="0091380A">
      <w:pPr>
        <w:jc w:val="both"/>
        <w:rPr>
          <w:sz w:val="20"/>
          <w:szCs w:val="20"/>
        </w:rPr>
      </w:pPr>
    </w:p>
    <w:p w:rsidR="0091380A" w:rsidRPr="00305BB4" w:rsidRDefault="0091380A" w:rsidP="0091380A">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91380A" w:rsidRPr="00305BB4" w:rsidRDefault="0091380A" w:rsidP="0091380A">
      <w:pPr>
        <w:jc w:val="center"/>
        <w:outlineLvl w:val="0"/>
        <w:rPr>
          <w:b/>
          <w:szCs w:val="20"/>
        </w:rPr>
      </w:pPr>
    </w:p>
    <w:p w:rsidR="0091380A" w:rsidRPr="00305BB4" w:rsidRDefault="0091380A" w:rsidP="0091380A">
      <w:pPr>
        <w:jc w:val="center"/>
        <w:rPr>
          <w:b/>
          <w:sz w:val="20"/>
          <w:szCs w:val="20"/>
        </w:rPr>
      </w:pPr>
      <w:r w:rsidRPr="00305BB4">
        <w:rPr>
          <w:b/>
          <w:sz w:val="20"/>
          <w:szCs w:val="20"/>
        </w:rPr>
        <w:t>VI.</w:t>
      </w:r>
    </w:p>
    <w:p w:rsidR="0091380A" w:rsidRPr="00305BB4" w:rsidRDefault="0091380A" w:rsidP="0091380A">
      <w:pPr>
        <w:jc w:val="center"/>
        <w:rPr>
          <w:b/>
          <w:sz w:val="20"/>
          <w:szCs w:val="20"/>
        </w:rPr>
      </w:pPr>
      <w:r w:rsidRPr="00305BB4">
        <w:rPr>
          <w:b/>
          <w:sz w:val="20"/>
          <w:szCs w:val="20"/>
        </w:rPr>
        <w:t>Práva a závazky</w:t>
      </w:r>
    </w:p>
    <w:p w:rsidR="0091380A" w:rsidRPr="00305BB4" w:rsidRDefault="0091380A" w:rsidP="0091380A">
      <w:pPr>
        <w:jc w:val="both"/>
        <w:rPr>
          <w:sz w:val="20"/>
          <w:szCs w:val="20"/>
        </w:rPr>
      </w:pPr>
    </w:p>
    <w:p w:rsidR="0091380A" w:rsidRPr="00224B4C" w:rsidRDefault="0091380A" w:rsidP="0091380A">
      <w:pPr>
        <w:spacing w:after="240"/>
        <w:jc w:val="both"/>
        <w:rPr>
          <w:sz w:val="20"/>
          <w:szCs w:val="20"/>
        </w:rPr>
      </w:pPr>
      <w:r w:rsidRPr="00224B4C">
        <w:rPr>
          <w:sz w:val="20"/>
          <w:szCs w:val="20"/>
        </w:rPr>
        <w:t xml:space="preserve">1. Na vlastníky jednotek přechází práva a závazky v souvislosti s uzavřením smluv na odběr pitné vody a stočného, odběr tepla a TUV, odvozu domovního odpadu, odběru elektrické energie, odběru plynu pro společné části, údržby výtahu a správu budovy. </w:t>
      </w:r>
    </w:p>
    <w:p w:rsidR="0091380A" w:rsidRPr="00224B4C" w:rsidRDefault="0091380A" w:rsidP="0091380A">
      <w:pPr>
        <w:spacing w:after="240"/>
        <w:jc w:val="both"/>
        <w:rPr>
          <w:sz w:val="20"/>
          <w:szCs w:val="20"/>
        </w:rPr>
      </w:pPr>
      <w:r w:rsidRPr="00224B4C">
        <w:rPr>
          <w:sz w:val="20"/>
          <w:szCs w:val="20"/>
        </w:rPr>
        <w:t xml:space="preserve">2. Na vlastníky jednotek a na jejich právní nástupce přechází povinnost uzavřít k výzvě Magistrátu hlavního města </w:t>
      </w:r>
      <w:proofErr w:type="gramStart"/>
      <w:r w:rsidRPr="00224B4C">
        <w:rPr>
          <w:sz w:val="20"/>
          <w:szCs w:val="20"/>
        </w:rPr>
        <w:t>Prahy  učiněné</w:t>
      </w:r>
      <w:proofErr w:type="gramEnd"/>
      <w:r w:rsidRPr="00224B4C">
        <w:rPr>
          <w:sz w:val="20"/>
          <w:szCs w:val="20"/>
        </w:rPr>
        <w:t xml:space="preserve"> do 5 let smlouvu o bezúplatném umístění a provozování Městského kamerového systému hl. m. Prahy  nebo prvku Městského rádiového systému </w:t>
      </w:r>
      <w:proofErr w:type="spellStart"/>
      <w:proofErr w:type="gramStart"/>
      <w:r w:rsidRPr="00224B4C">
        <w:rPr>
          <w:sz w:val="20"/>
          <w:szCs w:val="20"/>
        </w:rPr>
        <w:t>hl.m</w:t>
      </w:r>
      <w:proofErr w:type="spellEnd"/>
      <w:r w:rsidRPr="00224B4C">
        <w:rPr>
          <w:sz w:val="20"/>
          <w:szCs w:val="20"/>
        </w:rPr>
        <w:t>.</w:t>
      </w:r>
      <w:proofErr w:type="gramEnd"/>
      <w:r w:rsidRPr="00224B4C">
        <w:rPr>
          <w:sz w:val="20"/>
          <w:szCs w:val="20"/>
        </w:rPr>
        <w:t xml:space="preserve"> Prahy nebo Autonomního systému varování </w:t>
      </w:r>
      <w:proofErr w:type="spellStart"/>
      <w:proofErr w:type="gramStart"/>
      <w:r w:rsidRPr="00224B4C">
        <w:rPr>
          <w:sz w:val="20"/>
          <w:szCs w:val="20"/>
        </w:rPr>
        <w:t>hl.m</w:t>
      </w:r>
      <w:proofErr w:type="spellEnd"/>
      <w:r w:rsidRPr="00224B4C">
        <w:rPr>
          <w:sz w:val="20"/>
          <w:szCs w:val="20"/>
        </w:rPr>
        <w:t>.</w:t>
      </w:r>
      <w:proofErr w:type="gramEnd"/>
      <w:r w:rsidRPr="00224B4C">
        <w:rPr>
          <w:sz w:val="20"/>
          <w:szCs w:val="20"/>
        </w:rPr>
        <w:t xml:space="preserve">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91380A" w:rsidRPr="00224B4C" w:rsidRDefault="0091380A" w:rsidP="0091380A">
      <w:pPr>
        <w:spacing w:after="240"/>
        <w:jc w:val="both"/>
        <w:rPr>
          <w:sz w:val="20"/>
          <w:szCs w:val="20"/>
        </w:rPr>
      </w:pPr>
      <w:r w:rsidRPr="00224B4C">
        <w:rPr>
          <w:sz w:val="20"/>
          <w:szCs w:val="20"/>
        </w:rPr>
        <w:lastRenderedPageBreak/>
        <w:t xml:space="preserve">3. Na vlastníky jednotek přechází závazek vyplývající ze smlouvy o umístění sítě elektronických komunikací na území Městské části Praha 3, uzavřené dne </w:t>
      </w:r>
      <w:proofErr w:type="gramStart"/>
      <w:r w:rsidRPr="00224B4C">
        <w:rPr>
          <w:sz w:val="20"/>
          <w:szCs w:val="20"/>
        </w:rPr>
        <w:t>26.5.2017</w:t>
      </w:r>
      <w:proofErr w:type="gramEnd"/>
      <w:r w:rsidRPr="00224B4C">
        <w:rPr>
          <w:sz w:val="20"/>
          <w:szCs w:val="20"/>
        </w:rPr>
        <w:t xml:space="preserve">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91380A" w:rsidRPr="00224B4C" w:rsidRDefault="0091380A" w:rsidP="0091380A">
      <w:pPr>
        <w:spacing w:after="240"/>
        <w:jc w:val="both"/>
        <w:rPr>
          <w:sz w:val="20"/>
          <w:szCs w:val="20"/>
        </w:rPr>
      </w:pPr>
      <w:r w:rsidRPr="00224B4C">
        <w:rPr>
          <w:sz w:val="20"/>
          <w:szCs w:val="20"/>
        </w:rPr>
        <w:t xml:space="preserve"> 4. Na vlastníky jednotek přechází závazek umožnit k tomu příslušným orgánům kontrolu stavu obálky či střechy budovy, na jejichž zateplení byla prodávajícímu poskytnuta dotace Státního fondu životního prostředí z programu „Nová zelená úsporám“ a závazek zdržet se zásahů do obálky (střechy) budovy, které by mohly znehodnotit zateplení a v důsledku toho narušit energetické úspory budovy, a to nejméně po dobu 10 let.      </w:t>
      </w:r>
    </w:p>
    <w:p w:rsidR="0091380A" w:rsidRPr="00224B4C" w:rsidRDefault="0091380A" w:rsidP="0091380A">
      <w:pPr>
        <w:spacing w:after="240"/>
        <w:jc w:val="both"/>
        <w:rPr>
          <w:sz w:val="20"/>
          <w:szCs w:val="20"/>
        </w:rPr>
      </w:pPr>
      <w:r w:rsidRPr="00224B4C">
        <w:rPr>
          <w:sz w:val="20"/>
          <w:szCs w:val="20"/>
        </w:rPr>
        <w:t>5. Vlastník nemovité věci využívá výhradu práva vlastnictví k technologickému zařízení kotelny umístěnému ve společných částech nemovité věci, tak, jak je vymezena v ustanovení § 508 zákona č. 89/2012 Sb., občanského zákoníku a bude žádat, aby tato výhrada byla zapsána poznámkou k nemovité věci na příslušném listu vlastnictví. Na vlastníky jednotek a jejich právní nástupce tak tímto přechází závazek strpět bezúplatné umístění technologického zařízení kotelny ve společných částech a povinnost umožnit v rozsahu platných právních a technických předpisů provoz a údržbu tohoto zařízení a přístup osob pověřených zajišťováním provozu, údržby a oprav k tomuto zařízení. Tento závazek zřídí vlastník nemovité věci v rámci prvního převodu jednotky v domě ve formě věcného břemene.</w:t>
      </w:r>
    </w:p>
    <w:p w:rsidR="0091380A" w:rsidRPr="00224B4C" w:rsidRDefault="0091380A" w:rsidP="0091380A">
      <w:pPr>
        <w:spacing w:after="240"/>
        <w:jc w:val="both"/>
        <w:rPr>
          <w:sz w:val="20"/>
          <w:szCs w:val="20"/>
        </w:rPr>
      </w:pPr>
      <w:r w:rsidRPr="00224B4C">
        <w:rPr>
          <w:sz w:val="20"/>
          <w:szCs w:val="20"/>
        </w:rPr>
        <w:t xml:space="preserve">6. Na vlastníky jednotek přechází povinnost z věcného břemene – osobní služebnost, k tíži pozemku </w:t>
      </w:r>
      <w:proofErr w:type="gramStart"/>
      <w:r w:rsidRPr="00224B4C">
        <w:rPr>
          <w:sz w:val="20"/>
          <w:szCs w:val="20"/>
        </w:rPr>
        <w:t>parc</w:t>
      </w:r>
      <w:proofErr w:type="gramEnd"/>
      <w:r w:rsidRPr="00224B4C">
        <w:rPr>
          <w:sz w:val="20"/>
          <w:szCs w:val="20"/>
        </w:rPr>
        <w:t>.</w:t>
      </w:r>
      <w:proofErr w:type="gramStart"/>
      <w:r w:rsidRPr="00224B4C">
        <w:rPr>
          <w:sz w:val="20"/>
          <w:szCs w:val="20"/>
        </w:rPr>
        <w:t>č.</w:t>
      </w:r>
      <w:proofErr w:type="gramEnd"/>
      <w:r w:rsidRPr="00224B4C">
        <w:rPr>
          <w:sz w:val="20"/>
          <w:szCs w:val="20"/>
        </w:rPr>
        <w:t xml:space="preserve"> 1852/2, které spočívá v právu společnosti </w:t>
      </w:r>
      <w:proofErr w:type="spellStart"/>
      <w:r w:rsidRPr="00224B4C">
        <w:rPr>
          <w:sz w:val="20"/>
          <w:szCs w:val="20"/>
        </w:rPr>
        <w:t>Dial</w:t>
      </w:r>
      <w:proofErr w:type="spellEnd"/>
      <w:r w:rsidRPr="00224B4C">
        <w:rPr>
          <w:sz w:val="20"/>
          <w:szCs w:val="20"/>
        </w:rPr>
        <w:t xml:space="preserve"> Telecom, a.s., IČO: 281 75 492, T-Mobile Czech Republic a.s., IČO: 649 49 681 a Vysoká škola ekonomická v Praze, IČO: 613 84 399 na umístění stavby elektronického komunikačního vedení a zařízení, právo provozování, údržby, oprav, úprav a kontroly stavby, právo vstupu a vjezdu dle čl. V. smlouvy, v rozsahu dle GP č. 2750-99/2014.  Tato povinnost přechází na vlastníky jednotek na základě smlouvy o zřízení věcného břemene – úplatná č. </w:t>
      </w:r>
      <w:proofErr w:type="spellStart"/>
      <w:r w:rsidRPr="00224B4C">
        <w:rPr>
          <w:sz w:val="20"/>
          <w:szCs w:val="20"/>
        </w:rPr>
        <w:t>sml</w:t>
      </w:r>
      <w:proofErr w:type="spellEnd"/>
      <w:r w:rsidRPr="00224B4C">
        <w:rPr>
          <w:sz w:val="20"/>
          <w:szCs w:val="20"/>
        </w:rPr>
        <w:t xml:space="preserve">. 5/14/520/2281/53 uzavřené dne </w:t>
      </w:r>
      <w:proofErr w:type="gramStart"/>
      <w:r w:rsidRPr="00224B4C">
        <w:rPr>
          <w:sz w:val="20"/>
          <w:szCs w:val="20"/>
        </w:rPr>
        <w:t>10.8.2015</w:t>
      </w:r>
      <w:proofErr w:type="gramEnd"/>
      <w:r w:rsidRPr="00224B4C">
        <w:rPr>
          <w:sz w:val="20"/>
          <w:szCs w:val="20"/>
        </w:rPr>
        <w:t xml:space="preserve"> mezi Městskou částí Praha 3 a </w:t>
      </w:r>
      <w:proofErr w:type="spellStart"/>
      <w:r w:rsidRPr="00224B4C">
        <w:rPr>
          <w:sz w:val="20"/>
          <w:szCs w:val="20"/>
        </w:rPr>
        <w:t>Dial</w:t>
      </w:r>
      <w:proofErr w:type="spellEnd"/>
      <w:r w:rsidRPr="00224B4C">
        <w:rPr>
          <w:sz w:val="20"/>
          <w:szCs w:val="20"/>
        </w:rPr>
        <w:t xml:space="preserve"> Telecom, a.s., IČO: 281 75 492, se sídlem Praha 8, Křižíkova 237/36a, PSČ 186 00, T-Mobile Czech Republic a.s., IČO: 649 49 681, se sídlem Praha 4, Tomíčkova 2144/1, PSČ 148 00 a Vysoká škola ekonomická v Praze, IČO: 613 84 399, se sídlem Praha 3, náměstí Winstona Churchilla 1938/4, PSČ 130 00. Uvedené věcné břemeno je zapsané v katastru nemovitostí u Katastrálního úřadu pro </w:t>
      </w:r>
      <w:proofErr w:type="spellStart"/>
      <w:proofErr w:type="gramStart"/>
      <w:r w:rsidRPr="00224B4C">
        <w:rPr>
          <w:sz w:val="20"/>
          <w:szCs w:val="20"/>
        </w:rPr>
        <w:t>hl.m</w:t>
      </w:r>
      <w:proofErr w:type="spellEnd"/>
      <w:r w:rsidRPr="00224B4C">
        <w:rPr>
          <w:sz w:val="20"/>
          <w:szCs w:val="20"/>
        </w:rPr>
        <w:t>.</w:t>
      </w:r>
      <w:proofErr w:type="gramEnd"/>
      <w:r w:rsidRPr="00224B4C">
        <w:rPr>
          <w:sz w:val="20"/>
          <w:szCs w:val="20"/>
        </w:rPr>
        <w:t xml:space="preserve"> Prahu, Katastrální pracoviště Praha, pod </w:t>
      </w:r>
      <w:proofErr w:type="gramStart"/>
      <w:r w:rsidRPr="00224B4C">
        <w:rPr>
          <w:sz w:val="20"/>
          <w:szCs w:val="20"/>
        </w:rPr>
        <w:t>č.j.</w:t>
      </w:r>
      <w:proofErr w:type="gramEnd"/>
      <w:r w:rsidRPr="00224B4C">
        <w:rPr>
          <w:sz w:val="20"/>
          <w:szCs w:val="20"/>
        </w:rPr>
        <w:t xml:space="preserve"> V – 61458/2015-101.</w:t>
      </w:r>
    </w:p>
    <w:p w:rsidR="0091380A" w:rsidRDefault="0091380A" w:rsidP="0091380A">
      <w:pPr>
        <w:spacing w:after="240"/>
        <w:jc w:val="both"/>
        <w:rPr>
          <w:sz w:val="20"/>
          <w:szCs w:val="20"/>
        </w:rPr>
      </w:pPr>
      <w:r w:rsidRPr="00224B4C">
        <w:rPr>
          <w:sz w:val="20"/>
          <w:szCs w:val="20"/>
        </w:rPr>
        <w:t xml:space="preserve">7. Na vlastníky jednotek přechází povinnost z věcného břemene – osobní služebnost podle § 25, odst. 4 zákona č. 458/200 Sb., energetický zákon, k tíži pozemku </w:t>
      </w:r>
      <w:proofErr w:type="gramStart"/>
      <w:r w:rsidRPr="00224B4C">
        <w:rPr>
          <w:sz w:val="20"/>
          <w:szCs w:val="20"/>
        </w:rPr>
        <w:t>parc</w:t>
      </w:r>
      <w:proofErr w:type="gramEnd"/>
      <w:r w:rsidRPr="00224B4C">
        <w:rPr>
          <w:sz w:val="20"/>
          <w:szCs w:val="20"/>
        </w:rPr>
        <w:t>.</w:t>
      </w:r>
      <w:proofErr w:type="gramStart"/>
      <w:r w:rsidRPr="00224B4C">
        <w:rPr>
          <w:sz w:val="20"/>
          <w:szCs w:val="20"/>
        </w:rPr>
        <w:t>č.</w:t>
      </w:r>
      <w:proofErr w:type="gramEnd"/>
      <w:r w:rsidRPr="00224B4C">
        <w:rPr>
          <w:sz w:val="20"/>
          <w:szCs w:val="20"/>
        </w:rPr>
        <w:t xml:space="preserve"> 1852/2 a 1852/8, které spočívá v právu společnosti </w:t>
      </w:r>
      <w:proofErr w:type="spellStart"/>
      <w:r w:rsidRPr="00224B4C">
        <w:rPr>
          <w:sz w:val="20"/>
          <w:szCs w:val="20"/>
        </w:rPr>
        <w:t>PREdistribuce</w:t>
      </w:r>
      <w:proofErr w:type="spellEnd"/>
      <w:r w:rsidRPr="00224B4C">
        <w:rPr>
          <w:sz w:val="20"/>
          <w:szCs w:val="20"/>
        </w:rPr>
        <w:t xml:space="preserve">, a.s., IČO 273 76 516, na umístění součásti distribuční soustavy, právo zřídit, provozovat, opravovat a udržovat součást distribuční soustavy, právo zřídit mít a udržovat obslužné zařízení, právo provádět na součásti distribuční soustavy úpravy za účelem obnovy, výměny, modernizace nebo zlepšení její výkonnosti, včetně jejího odstranění, dle </w:t>
      </w:r>
      <w:proofErr w:type="spellStart"/>
      <w:r w:rsidRPr="00224B4C">
        <w:rPr>
          <w:sz w:val="20"/>
          <w:szCs w:val="20"/>
        </w:rPr>
        <w:t>sml</w:t>
      </w:r>
      <w:proofErr w:type="spellEnd"/>
      <w:r w:rsidRPr="00224B4C">
        <w:rPr>
          <w:sz w:val="20"/>
          <w:szCs w:val="20"/>
        </w:rPr>
        <w:t xml:space="preserve">. čl. III., v rozsahu GP č. 3163-194/2017. Tato povinnost přechází na vlastníky jednotek na základě smlouvy o zřízení věcného břemene – úplatná č. </w:t>
      </w:r>
      <w:proofErr w:type="spellStart"/>
      <w:r w:rsidRPr="00224B4C">
        <w:rPr>
          <w:sz w:val="20"/>
          <w:szCs w:val="20"/>
        </w:rPr>
        <w:t>sml</w:t>
      </w:r>
      <w:proofErr w:type="spellEnd"/>
      <w:r w:rsidRPr="00224B4C">
        <w:rPr>
          <w:sz w:val="20"/>
          <w:szCs w:val="20"/>
        </w:rPr>
        <w:t xml:space="preserve">. č. VVP/G33/12529/1739432, uzavřené dne </w:t>
      </w:r>
      <w:proofErr w:type="gramStart"/>
      <w:r w:rsidRPr="00224B4C">
        <w:rPr>
          <w:sz w:val="20"/>
          <w:szCs w:val="20"/>
        </w:rPr>
        <w:t>29.11.2017</w:t>
      </w:r>
      <w:proofErr w:type="gramEnd"/>
      <w:r w:rsidRPr="00224B4C">
        <w:rPr>
          <w:sz w:val="20"/>
          <w:szCs w:val="20"/>
        </w:rPr>
        <w:t xml:space="preserve"> mezi Městskou částí Praha 3 a </w:t>
      </w:r>
      <w:proofErr w:type="spellStart"/>
      <w:r w:rsidRPr="00224B4C">
        <w:rPr>
          <w:sz w:val="20"/>
          <w:szCs w:val="20"/>
        </w:rPr>
        <w:t>PREdistribuce</w:t>
      </w:r>
      <w:proofErr w:type="spellEnd"/>
      <w:r w:rsidRPr="00224B4C">
        <w:rPr>
          <w:sz w:val="20"/>
          <w:szCs w:val="20"/>
        </w:rPr>
        <w:t xml:space="preserve">, a.s., IČO 273 76 516, se sídlem Praha 5, Svornosti 3199/19a, PSČ 150 00, na dobu neurčitou. Uvedené věcné břemeno je zapsané v katastru nemovitostí u Katastrálního úřadu pro </w:t>
      </w:r>
      <w:proofErr w:type="spellStart"/>
      <w:proofErr w:type="gramStart"/>
      <w:r w:rsidRPr="00224B4C">
        <w:rPr>
          <w:sz w:val="20"/>
          <w:szCs w:val="20"/>
        </w:rPr>
        <w:t>hl.m</w:t>
      </w:r>
      <w:proofErr w:type="spellEnd"/>
      <w:r w:rsidRPr="00224B4C">
        <w:rPr>
          <w:sz w:val="20"/>
          <w:szCs w:val="20"/>
        </w:rPr>
        <w:t>.</w:t>
      </w:r>
      <w:proofErr w:type="gramEnd"/>
      <w:r w:rsidRPr="00224B4C">
        <w:rPr>
          <w:sz w:val="20"/>
          <w:szCs w:val="20"/>
        </w:rPr>
        <w:t xml:space="preserve"> Prahu, Katastrální pracoviště Praha, pod </w:t>
      </w:r>
      <w:proofErr w:type="gramStart"/>
      <w:r w:rsidRPr="00224B4C">
        <w:rPr>
          <w:sz w:val="20"/>
          <w:szCs w:val="20"/>
        </w:rPr>
        <w:t>č.j.</w:t>
      </w:r>
      <w:proofErr w:type="gramEnd"/>
      <w:r w:rsidRPr="00224B4C">
        <w:rPr>
          <w:sz w:val="20"/>
          <w:szCs w:val="20"/>
        </w:rPr>
        <w:t xml:space="preserve"> V – 91667/2017-101.</w:t>
      </w:r>
    </w:p>
    <w:p w:rsidR="0091380A" w:rsidRPr="00305BB4" w:rsidRDefault="0091380A" w:rsidP="0091380A">
      <w:pPr>
        <w:spacing w:after="240"/>
        <w:jc w:val="both"/>
        <w:rPr>
          <w:sz w:val="20"/>
          <w:szCs w:val="20"/>
        </w:rPr>
      </w:pPr>
      <w:r>
        <w:rPr>
          <w:sz w:val="20"/>
          <w:szCs w:val="20"/>
        </w:rPr>
        <w:t>8</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91380A" w:rsidRPr="00305BB4" w:rsidRDefault="0091380A" w:rsidP="0091380A">
      <w:pPr>
        <w:jc w:val="center"/>
        <w:outlineLvl w:val="0"/>
        <w:rPr>
          <w:b/>
          <w:sz w:val="20"/>
          <w:szCs w:val="20"/>
        </w:rPr>
      </w:pPr>
      <w:r w:rsidRPr="00305BB4">
        <w:rPr>
          <w:b/>
          <w:sz w:val="20"/>
          <w:szCs w:val="20"/>
        </w:rPr>
        <w:t>VII.</w:t>
      </w:r>
    </w:p>
    <w:p w:rsidR="0091380A" w:rsidRPr="00305BB4" w:rsidRDefault="0091380A" w:rsidP="0091380A">
      <w:pPr>
        <w:jc w:val="center"/>
        <w:rPr>
          <w:b/>
          <w:sz w:val="20"/>
          <w:szCs w:val="20"/>
        </w:rPr>
      </w:pPr>
      <w:r w:rsidRPr="00305BB4">
        <w:rPr>
          <w:b/>
          <w:sz w:val="20"/>
          <w:szCs w:val="20"/>
        </w:rPr>
        <w:t>Prohlášení kupujícího</w:t>
      </w:r>
    </w:p>
    <w:p w:rsidR="0091380A" w:rsidRPr="00305BB4" w:rsidRDefault="0091380A" w:rsidP="0091380A">
      <w:pPr>
        <w:autoSpaceDN/>
        <w:spacing w:before="100" w:beforeAutospacing="1"/>
        <w:jc w:val="both"/>
        <w:rPr>
          <w:sz w:val="20"/>
          <w:szCs w:val="20"/>
          <w:lang w:eastAsia="ar-SA"/>
        </w:rPr>
      </w:pPr>
      <w:r w:rsidRPr="00305BB4">
        <w:rPr>
          <w:sz w:val="20"/>
          <w:szCs w:val="20"/>
          <w:lang w:eastAsia="ar-SA"/>
        </w:rPr>
        <w:t xml:space="preserve">1. Kupující prohlašuje, že je nájemcem bytu </w:t>
      </w:r>
      <w:proofErr w:type="gramStart"/>
      <w:r w:rsidRPr="00305BB4">
        <w:rPr>
          <w:sz w:val="20"/>
          <w:szCs w:val="20"/>
          <w:lang w:eastAsia="ar-SA"/>
        </w:rPr>
        <w:t>zahrnutého v  jednotce</w:t>
      </w:r>
      <w:proofErr w:type="gramEnd"/>
      <w:r w:rsidRPr="00305BB4">
        <w:rPr>
          <w:sz w:val="20"/>
          <w:szCs w:val="20"/>
          <w:lang w:eastAsia="ar-SA"/>
        </w:rPr>
        <w:t xml:space="preserve"> č. </w:t>
      </w:r>
      <w:r w:rsidRPr="002F127A">
        <w:rPr>
          <w:noProof/>
          <w:sz w:val="20"/>
          <w:szCs w:val="20"/>
        </w:rPr>
        <w:t>1046/19</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91380A" w:rsidRPr="00305BB4" w:rsidRDefault="0091380A" w:rsidP="0091380A">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91380A" w:rsidRPr="00305BB4" w:rsidRDefault="0091380A" w:rsidP="0091380A">
      <w:pPr>
        <w:autoSpaceDN/>
        <w:spacing w:before="100" w:beforeAutospacing="1"/>
        <w:jc w:val="both"/>
        <w:rPr>
          <w:sz w:val="20"/>
          <w:szCs w:val="20"/>
          <w:lang w:eastAsia="ar-SA"/>
        </w:rPr>
      </w:pPr>
      <w:r w:rsidRPr="00305BB4">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91380A" w:rsidRPr="00305BB4" w:rsidRDefault="0091380A" w:rsidP="0091380A">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91380A" w:rsidRPr="00305BB4" w:rsidRDefault="0091380A" w:rsidP="0091380A">
      <w:pPr>
        <w:autoSpaceDN/>
        <w:spacing w:before="100" w:beforeAutospacing="1"/>
        <w:jc w:val="both"/>
        <w:rPr>
          <w:sz w:val="20"/>
          <w:szCs w:val="20"/>
          <w:lang w:eastAsia="ar-SA"/>
        </w:rPr>
      </w:pPr>
      <w:r w:rsidRPr="00305BB4">
        <w:rPr>
          <w:sz w:val="20"/>
          <w:szCs w:val="20"/>
          <w:lang w:eastAsia="ar-SA"/>
        </w:rPr>
        <w:lastRenderedPageBreak/>
        <w:t xml:space="preserve">5. Kupující výslovně prohlašuje, že se zavazuje zachovat jednotku k účelům trvalého bydlení, a to minimálně v rozsahu, jaký byl ke dni koupě. </w:t>
      </w:r>
    </w:p>
    <w:p w:rsidR="0091380A" w:rsidRPr="00305BB4" w:rsidRDefault="0091380A" w:rsidP="0091380A">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91380A" w:rsidRPr="00305BB4" w:rsidRDefault="0091380A" w:rsidP="0091380A">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91380A" w:rsidRPr="00305BB4" w:rsidRDefault="0091380A" w:rsidP="0091380A">
      <w:pPr>
        <w:jc w:val="center"/>
        <w:outlineLvl w:val="0"/>
        <w:rPr>
          <w:b/>
          <w:sz w:val="20"/>
          <w:szCs w:val="20"/>
        </w:rPr>
      </w:pPr>
    </w:p>
    <w:p w:rsidR="0091380A" w:rsidRPr="00305BB4" w:rsidRDefault="0091380A" w:rsidP="0091380A">
      <w:pPr>
        <w:jc w:val="center"/>
        <w:outlineLvl w:val="0"/>
        <w:rPr>
          <w:b/>
          <w:sz w:val="20"/>
          <w:szCs w:val="20"/>
        </w:rPr>
      </w:pPr>
      <w:r w:rsidRPr="00305BB4">
        <w:rPr>
          <w:b/>
          <w:sz w:val="20"/>
          <w:szCs w:val="20"/>
        </w:rPr>
        <w:t>VIII.</w:t>
      </w:r>
    </w:p>
    <w:p w:rsidR="0091380A" w:rsidRPr="00305BB4" w:rsidRDefault="0091380A" w:rsidP="0091380A">
      <w:pPr>
        <w:jc w:val="center"/>
        <w:rPr>
          <w:b/>
          <w:sz w:val="20"/>
          <w:szCs w:val="20"/>
        </w:rPr>
      </w:pPr>
      <w:r w:rsidRPr="00305BB4">
        <w:rPr>
          <w:b/>
          <w:sz w:val="20"/>
          <w:szCs w:val="20"/>
        </w:rPr>
        <w:t>Převod vlastnictví a přechod nebezpečí škody na věci</w:t>
      </w:r>
    </w:p>
    <w:p w:rsidR="0091380A" w:rsidRPr="00305BB4" w:rsidRDefault="0091380A" w:rsidP="0091380A">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proofErr w:type="gramStart"/>
      <w:r w:rsidRPr="00305BB4">
        <w:rPr>
          <w:sz w:val="20"/>
          <w:szCs w:val="20"/>
          <w:lang w:eastAsia="ar-SA"/>
        </w:rPr>
        <w:t>hl.m</w:t>
      </w:r>
      <w:proofErr w:type="spellEnd"/>
      <w:r w:rsidRPr="00305BB4">
        <w:rPr>
          <w:sz w:val="20"/>
          <w:szCs w:val="20"/>
          <w:lang w:eastAsia="ar-SA"/>
        </w:rPr>
        <w:t>.</w:t>
      </w:r>
      <w:proofErr w:type="gramEnd"/>
      <w:r w:rsidRPr="00305BB4">
        <w:rPr>
          <w:sz w:val="20"/>
          <w:szCs w:val="20"/>
          <w:lang w:eastAsia="ar-SA"/>
        </w:rPr>
        <w:t xml:space="preserve">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91380A" w:rsidRPr="00305BB4" w:rsidRDefault="0091380A" w:rsidP="0091380A">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91380A" w:rsidRPr="00305BB4" w:rsidRDefault="0091380A" w:rsidP="0091380A">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91380A" w:rsidRPr="00305BB4" w:rsidRDefault="0091380A" w:rsidP="0091380A">
      <w:pPr>
        <w:tabs>
          <w:tab w:val="left" w:pos="2000"/>
          <w:tab w:val="left" w:pos="4000"/>
          <w:tab w:val="left" w:pos="6000"/>
        </w:tabs>
        <w:jc w:val="center"/>
        <w:outlineLvl w:val="0"/>
        <w:rPr>
          <w:b/>
          <w:bCs/>
          <w:sz w:val="20"/>
          <w:szCs w:val="20"/>
        </w:rPr>
      </w:pPr>
    </w:p>
    <w:p w:rsidR="0091380A" w:rsidRPr="00305BB4" w:rsidRDefault="0091380A" w:rsidP="0091380A">
      <w:pPr>
        <w:tabs>
          <w:tab w:val="left" w:pos="2000"/>
          <w:tab w:val="left" w:pos="4000"/>
          <w:tab w:val="left" w:pos="6000"/>
        </w:tabs>
        <w:jc w:val="center"/>
        <w:outlineLvl w:val="0"/>
        <w:rPr>
          <w:b/>
          <w:bCs/>
          <w:sz w:val="20"/>
          <w:szCs w:val="20"/>
        </w:rPr>
      </w:pPr>
      <w:r w:rsidRPr="00305BB4">
        <w:rPr>
          <w:b/>
          <w:bCs/>
          <w:sz w:val="20"/>
          <w:szCs w:val="20"/>
        </w:rPr>
        <w:t>IX.</w:t>
      </w:r>
    </w:p>
    <w:p w:rsidR="0091380A" w:rsidRPr="00305BB4" w:rsidRDefault="0091380A" w:rsidP="0091380A">
      <w:pPr>
        <w:tabs>
          <w:tab w:val="left" w:pos="2000"/>
          <w:tab w:val="left" w:pos="4000"/>
          <w:tab w:val="left" w:pos="6000"/>
        </w:tabs>
        <w:ind w:left="180" w:hanging="180"/>
        <w:jc w:val="center"/>
        <w:rPr>
          <w:b/>
          <w:sz w:val="20"/>
          <w:szCs w:val="20"/>
        </w:rPr>
      </w:pPr>
      <w:r w:rsidRPr="00305BB4">
        <w:rPr>
          <w:b/>
          <w:sz w:val="20"/>
          <w:szCs w:val="20"/>
        </w:rPr>
        <w:t>Ostatní ujednání</w:t>
      </w:r>
    </w:p>
    <w:p w:rsidR="0091380A" w:rsidRPr="00305BB4" w:rsidRDefault="0091380A" w:rsidP="0091380A">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Prodávající poskytl kupujícímu slevu </w:t>
      </w:r>
      <w:r w:rsidR="001835E8">
        <w:rPr>
          <w:sz w:val="20"/>
          <w:szCs w:val="20"/>
          <w:lang w:eastAsia="ar-SA"/>
        </w:rPr>
        <w:t>10</w:t>
      </w:r>
      <w:r w:rsidRPr="00305BB4">
        <w:rPr>
          <w:sz w:val="20"/>
          <w:szCs w:val="20"/>
          <w:lang w:eastAsia="ar-SA"/>
        </w:rPr>
        <w:t xml:space="preserve">% z kupní ceny bytu, tj. </w:t>
      </w:r>
      <w:r w:rsidR="001835E8">
        <w:rPr>
          <w:sz w:val="20"/>
          <w:szCs w:val="20"/>
          <w:lang w:eastAsia="ar-SA"/>
        </w:rPr>
        <w:t>205.390</w:t>
      </w:r>
      <w:r w:rsidRPr="00305BB4">
        <w:rPr>
          <w:sz w:val="20"/>
          <w:szCs w:val="20"/>
          <w:lang w:eastAsia="ar-SA"/>
        </w:rPr>
        <w:t>,</w:t>
      </w:r>
      <w:r w:rsidR="001835E8">
        <w:rPr>
          <w:sz w:val="20"/>
          <w:szCs w:val="20"/>
          <w:lang w:eastAsia="ar-SA"/>
        </w:rPr>
        <w:t>5</w:t>
      </w:r>
      <w:r w:rsidRPr="00305BB4">
        <w:rPr>
          <w:sz w:val="20"/>
          <w:szCs w:val="20"/>
          <w:lang w:eastAsia="ar-SA"/>
        </w:rPr>
        <w:t xml:space="preserve">0 Kč, a to na základě níže uvedeného závazku nepřevést předmět </w:t>
      </w:r>
      <w:proofErr w:type="gramStart"/>
      <w:r w:rsidRPr="00305BB4">
        <w:rPr>
          <w:sz w:val="20"/>
          <w:szCs w:val="20"/>
          <w:lang w:eastAsia="ar-SA"/>
        </w:rPr>
        <w:t>koupě  po</w:t>
      </w:r>
      <w:proofErr w:type="gramEnd"/>
      <w:r w:rsidRPr="00305BB4">
        <w:rPr>
          <w:sz w:val="20"/>
          <w:szCs w:val="20"/>
          <w:lang w:eastAsia="ar-SA"/>
        </w:rPr>
        <w:t xml:space="preserve"> dobu </w:t>
      </w:r>
      <w:r w:rsidR="001835E8">
        <w:rPr>
          <w:sz w:val="20"/>
          <w:szCs w:val="20"/>
          <w:lang w:eastAsia="ar-SA"/>
        </w:rPr>
        <w:t>10</w:t>
      </w:r>
      <w:r w:rsidRPr="00305BB4">
        <w:rPr>
          <w:sz w:val="20"/>
          <w:szCs w:val="20"/>
          <w:lang w:eastAsia="ar-SA"/>
        </w:rPr>
        <w:t xml:space="preserve"> let od vkladu vlastnického práva dle této smlouvy na třetí osobu.</w:t>
      </w:r>
    </w:p>
    <w:p w:rsidR="0091380A" w:rsidRPr="00305BB4" w:rsidRDefault="0091380A" w:rsidP="0091380A">
      <w:pPr>
        <w:ind w:left="284" w:hanging="284"/>
        <w:contextualSpacing/>
        <w:jc w:val="both"/>
        <w:rPr>
          <w:sz w:val="20"/>
          <w:szCs w:val="20"/>
        </w:rPr>
      </w:pPr>
    </w:p>
    <w:p w:rsidR="0091380A" w:rsidRPr="00305BB4" w:rsidRDefault="0091380A" w:rsidP="0091380A">
      <w:pPr>
        <w:contextualSpacing/>
        <w:jc w:val="both"/>
        <w:rPr>
          <w:sz w:val="20"/>
          <w:szCs w:val="20"/>
        </w:rPr>
      </w:pPr>
      <w:r w:rsidRPr="00305BB4">
        <w:rPr>
          <w:sz w:val="20"/>
          <w:szCs w:val="20"/>
        </w:rPr>
        <w:t xml:space="preserve">2. Kupující se zavazuje, že po dobu </w:t>
      </w:r>
      <w:r w:rsidR="001835E8">
        <w:rPr>
          <w:sz w:val="20"/>
          <w:szCs w:val="20"/>
        </w:rPr>
        <w:t>10</w:t>
      </w:r>
      <w:r w:rsidRPr="00305BB4">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91380A" w:rsidRPr="00305BB4" w:rsidRDefault="0091380A" w:rsidP="0091380A">
      <w:pPr>
        <w:widowControl/>
        <w:autoSpaceDE/>
        <w:autoSpaceDN/>
        <w:adjustRightInd/>
        <w:contextualSpacing/>
        <w:jc w:val="both"/>
        <w:rPr>
          <w:sz w:val="20"/>
          <w:szCs w:val="20"/>
        </w:rPr>
      </w:pPr>
    </w:p>
    <w:p w:rsidR="0091380A" w:rsidRPr="00305BB4" w:rsidRDefault="0091380A" w:rsidP="0091380A">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sidR="001835E8">
        <w:rPr>
          <w:sz w:val="20"/>
          <w:szCs w:val="20"/>
        </w:rPr>
        <w:t>205.390</w:t>
      </w:r>
      <w:r w:rsidRPr="00305BB4">
        <w:rPr>
          <w:sz w:val="20"/>
          <w:szCs w:val="20"/>
        </w:rPr>
        <w:t>,</w:t>
      </w:r>
      <w:r w:rsidR="001835E8">
        <w:rPr>
          <w:sz w:val="20"/>
          <w:szCs w:val="20"/>
        </w:rPr>
        <w:t>5</w:t>
      </w:r>
      <w:r w:rsidRPr="00305BB4">
        <w:rPr>
          <w:sz w:val="20"/>
          <w:szCs w:val="20"/>
        </w:rPr>
        <w:t>0 Kč ve lhůtě 30 dnů od doručení výzvy k zaplacení pokuty.</w:t>
      </w:r>
    </w:p>
    <w:p w:rsidR="0091380A" w:rsidRPr="00305BB4" w:rsidRDefault="0091380A" w:rsidP="0091380A">
      <w:pPr>
        <w:jc w:val="both"/>
        <w:rPr>
          <w:sz w:val="20"/>
          <w:szCs w:val="20"/>
        </w:rPr>
      </w:pPr>
    </w:p>
    <w:p w:rsidR="0091380A" w:rsidRPr="00305BB4" w:rsidRDefault="0091380A" w:rsidP="0091380A">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prodávajícího na dobu určitou </w:t>
      </w:r>
      <w:r w:rsidR="001835E8">
        <w:rPr>
          <w:sz w:val="20"/>
          <w:szCs w:val="20"/>
        </w:rPr>
        <w:t>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na jeho náklady, po uplynutí </w:t>
      </w:r>
      <w:r w:rsidR="001835E8">
        <w:rPr>
          <w:sz w:val="20"/>
          <w:szCs w:val="20"/>
        </w:rPr>
        <w:t>dese</w:t>
      </w:r>
      <w:r w:rsidRPr="00305BB4">
        <w:rPr>
          <w:sz w:val="20"/>
          <w:szCs w:val="20"/>
        </w:rPr>
        <w:t xml:space="preserve">tileté lhůty 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91380A" w:rsidRPr="00305BB4" w:rsidRDefault="0091380A" w:rsidP="0091380A">
      <w:pPr>
        <w:pStyle w:val="Odstavecseseznamem"/>
        <w:ind w:left="284"/>
        <w:jc w:val="both"/>
        <w:rPr>
          <w:sz w:val="20"/>
          <w:szCs w:val="20"/>
        </w:rPr>
      </w:pPr>
    </w:p>
    <w:p w:rsidR="0091380A" w:rsidRPr="00305BB4" w:rsidRDefault="0091380A" w:rsidP="0091380A">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91380A" w:rsidRPr="00305BB4" w:rsidRDefault="0091380A" w:rsidP="0091380A">
      <w:pPr>
        <w:widowControl/>
        <w:autoSpaceDE/>
        <w:autoSpaceDN/>
        <w:adjustRightInd/>
        <w:spacing w:after="200"/>
        <w:contextualSpacing/>
        <w:jc w:val="both"/>
        <w:rPr>
          <w:sz w:val="20"/>
          <w:szCs w:val="20"/>
        </w:rPr>
      </w:pPr>
    </w:p>
    <w:p w:rsidR="0091380A" w:rsidRPr="00305BB4" w:rsidRDefault="0091380A" w:rsidP="0091380A">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91380A" w:rsidRPr="00305BB4" w:rsidRDefault="0091380A" w:rsidP="0091380A">
      <w:pPr>
        <w:widowControl/>
        <w:autoSpaceDE/>
        <w:autoSpaceDN/>
        <w:adjustRightInd/>
        <w:rPr>
          <w:sz w:val="20"/>
          <w:szCs w:val="20"/>
        </w:rPr>
      </w:pPr>
    </w:p>
    <w:p w:rsidR="0091380A" w:rsidRPr="00305BB4" w:rsidRDefault="0091380A" w:rsidP="0091380A">
      <w:pPr>
        <w:jc w:val="center"/>
        <w:outlineLvl w:val="0"/>
        <w:rPr>
          <w:b/>
          <w:sz w:val="20"/>
          <w:szCs w:val="20"/>
        </w:rPr>
      </w:pPr>
      <w:r w:rsidRPr="00305BB4">
        <w:rPr>
          <w:b/>
          <w:sz w:val="20"/>
          <w:szCs w:val="20"/>
        </w:rPr>
        <w:t>X.</w:t>
      </w:r>
    </w:p>
    <w:p w:rsidR="0091380A" w:rsidRPr="00305BB4" w:rsidRDefault="0091380A" w:rsidP="0091380A">
      <w:pPr>
        <w:jc w:val="center"/>
        <w:rPr>
          <w:b/>
          <w:sz w:val="20"/>
          <w:szCs w:val="20"/>
        </w:rPr>
      </w:pPr>
      <w:r w:rsidRPr="00305BB4">
        <w:rPr>
          <w:b/>
          <w:sz w:val="20"/>
          <w:szCs w:val="20"/>
        </w:rPr>
        <w:lastRenderedPageBreak/>
        <w:t>Společná ustanovení</w:t>
      </w:r>
    </w:p>
    <w:p w:rsidR="0091380A" w:rsidRPr="00305BB4" w:rsidRDefault="0091380A" w:rsidP="0091380A">
      <w:pPr>
        <w:jc w:val="both"/>
        <w:rPr>
          <w:sz w:val="20"/>
          <w:szCs w:val="20"/>
        </w:rPr>
      </w:pPr>
    </w:p>
    <w:p w:rsidR="0091380A" w:rsidRPr="00305BB4" w:rsidRDefault="0091380A" w:rsidP="0091380A">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91380A" w:rsidRPr="00305BB4" w:rsidRDefault="0091380A" w:rsidP="0091380A">
      <w:pPr>
        <w:widowControl/>
        <w:autoSpaceDE/>
        <w:autoSpaceDN/>
        <w:adjustRightInd/>
        <w:spacing w:after="200"/>
        <w:jc w:val="both"/>
        <w:rPr>
          <w:b/>
          <w:sz w:val="20"/>
          <w:szCs w:val="20"/>
        </w:rPr>
      </w:pPr>
      <w:r w:rsidRPr="00305BB4">
        <w:rPr>
          <w:sz w:val="20"/>
          <w:szCs w:val="20"/>
        </w:rPr>
        <w:t xml:space="preserve">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w:t>
      </w:r>
      <w:proofErr w:type="gramStart"/>
      <w:r w:rsidRPr="00305BB4">
        <w:rPr>
          <w:sz w:val="20"/>
          <w:szCs w:val="20"/>
        </w:rPr>
        <w:t>s.p.</w:t>
      </w:r>
      <w:proofErr w:type="gramEnd"/>
      <w:r w:rsidRPr="00305BB4">
        <w:rPr>
          <w:sz w:val="20"/>
          <w:szCs w:val="20"/>
        </w:rPr>
        <w:t xml:space="preserve"> V případě, že písemnosti budou provozovatelem poštovní služby vráceny prodávajícímu jako nedoručené, považuje se pro účely této smlouvy za den doručení takové zásilky den, kdy byla zásilka uložena na dodací poště.</w:t>
      </w:r>
    </w:p>
    <w:p w:rsidR="0091380A" w:rsidRPr="00305BB4" w:rsidRDefault="0091380A" w:rsidP="0091380A">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91380A" w:rsidRPr="00305BB4" w:rsidRDefault="0091380A" w:rsidP="0091380A">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91380A" w:rsidRPr="00305BB4" w:rsidRDefault="0091380A" w:rsidP="0091380A">
      <w:pPr>
        <w:widowControl/>
        <w:autoSpaceDE/>
        <w:autoSpaceDN/>
        <w:adjustRightInd/>
        <w:spacing w:after="200"/>
        <w:jc w:val="both"/>
        <w:rPr>
          <w:sz w:val="20"/>
          <w:szCs w:val="20"/>
        </w:rPr>
      </w:pPr>
      <w:r w:rsidRPr="00305BB4">
        <w:rPr>
          <w:sz w:val="20"/>
          <w:szCs w:val="20"/>
        </w:rPr>
        <w:t xml:space="preserve">5. Tato smlouva byla vyhotovena v </w:t>
      </w:r>
      <w:r w:rsidRPr="002F127A">
        <w:rPr>
          <w:noProof/>
          <w:sz w:val="20"/>
          <w:szCs w:val="20"/>
        </w:rPr>
        <w:t>pěti</w:t>
      </w:r>
      <w:r w:rsidRPr="00305BB4">
        <w:rPr>
          <w:sz w:val="20"/>
          <w:szCs w:val="20"/>
        </w:rPr>
        <w:t xml:space="preserve"> stejnopisech, z nichž každý kupující obdrží jeden a prodávající dva, jeden stejnopis bude použit pro potřeby vkladu do katastru nemovitostí. </w:t>
      </w:r>
    </w:p>
    <w:p w:rsidR="0091380A" w:rsidRPr="00305BB4" w:rsidRDefault="0091380A" w:rsidP="0091380A">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91380A" w:rsidRPr="00305BB4" w:rsidRDefault="0091380A" w:rsidP="0091380A">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91380A" w:rsidRPr="00305BB4" w:rsidRDefault="0091380A" w:rsidP="0091380A">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91380A" w:rsidRPr="00305BB4" w:rsidRDefault="0091380A" w:rsidP="0091380A">
      <w:pPr>
        <w:jc w:val="both"/>
        <w:rPr>
          <w:sz w:val="20"/>
          <w:szCs w:val="20"/>
        </w:rPr>
      </w:pPr>
    </w:p>
    <w:p w:rsidR="0091380A" w:rsidRPr="00305BB4" w:rsidRDefault="0091380A" w:rsidP="0091380A">
      <w:pPr>
        <w:jc w:val="both"/>
        <w:rPr>
          <w:sz w:val="20"/>
          <w:szCs w:val="20"/>
        </w:rPr>
      </w:pPr>
    </w:p>
    <w:tbl>
      <w:tblPr>
        <w:tblW w:w="0" w:type="auto"/>
        <w:tblLook w:val="04A0" w:firstRow="1" w:lastRow="0" w:firstColumn="1" w:lastColumn="0" w:noHBand="0" w:noVBand="1"/>
      </w:tblPr>
      <w:tblGrid>
        <w:gridCol w:w="3232"/>
        <w:gridCol w:w="1971"/>
        <w:gridCol w:w="4083"/>
      </w:tblGrid>
      <w:tr w:rsidR="0091380A" w:rsidRPr="00305BB4" w:rsidTr="001835E8">
        <w:tc>
          <w:tcPr>
            <w:tcW w:w="3232" w:type="dxa"/>
          </w:tcPr>
          <w:p w:rsidR="0091380A" w:rsidRPr="00305BB4" w:rsidRDefault="0091380A" w:rsidP="00F86EA2">
            <w:pPr>
              <w:jc w:val="both"/>
              <w:rPr>
                <w:sz w:val="20"/>
                <w:szCs w:val="20"/>
              </w:rPr>
            </w:pPr>
            <w:r w:rsidRPr="00305BB4">
              <w:rPr>
                <w:sz w:val="20"/>
                <w:szCs w:val="20"/>
              </w:rPr>
              <w:t xml:space="preserve">V Praze </w:t>
            </w:r>
            <w:proofErr w:type="gramStart"/>
            <w:r w:rsidRPr="00305BB4">
              <w:rPr>
                <w:sz w:val="20"/>
                <w:szCs w:val="20"/>
              </w:rPr>
              <w:t>dne ................</w:t>
            </w:r>
            <w:proofErr w:type="gramEnd"/>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r w:rsidRPr="00305BB4">
              <w:rPr>
                <w:sz w:val="20"/>
                <w:szCs w:val="20"/>
              </w:rPr>
              <w:t xml:space="preserve">V Praze </w:t>
            </w:r>
            <w:proofErr w:type="gramStart"/>
            <w:r w:rsidRPr="00305BB4">
              <w:rPr>
                <w:sz w:val="20"/>
                <w:szCs w:val="20"/>
              </w:rPr>
              <w:t>dne ................</w:t>
            </w:r>
            <w:proofErr w:type="gramEnd"/>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r w:rsidRPr="00305BB4">
              <w:rPr>
                <w:sz w:val="20"/>
                <w:szCs w:val="20"/>
              </w:rPr>
              <w:t>Prodávající:</w:t>
            </w: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roofErr w:type="gramStart"/>
            <w:r w:rsidRPr="00305BB4">
              <w:rPr>
                <w:sz w:val="20"/>
                <w:szCs w:val="20"/>
              </w:rPr>
              <w:t>Kupující :</w:t>
            </w:r>
            <w:proofErr w:type="gramEnd"/>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r w:rsidRPr="00305BB4">
              <w:rPr>
                <w:sz w:val="20"/>
                <w:szCs w:val="20"/>
              </w:rPr>
              <w:t>...................................................</w:t>
            </w: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r w:rsidRPr="00305BB4">
              <w:rPr>
                <w:sz w:val="20"/>
                <w:szCs w:val="20"/>
              </w:rPr>
              <w:t>.................................................</w:t>
            </w:r>
          </w:p>
        </w:tc>
      </w:tr>
      <w:tr w:rsidR="0091380A" w:rsidRPr="00305BB4" w:rsidTr="001835E8">
        <w:tc>
          <w:tcPr>
            <w:tcW w:w="3232" w:type="dxa"/>
          </w:tcPr>
          <w:p w:rsidR="0091380A" w:rsidRPr="00305BB4" w:rsidRDefault="0091380A" w:rsidP="00F86EA2">
            <w:pPr>
              <w:jc w:val="both"/>
              <w:rPr>
                <w:sz w:val="20"/>
                <w:szCs w:val="20"/>
              </w:rPr>
            </w:pPr>
            <w:r w:rsidRPr="00305BB4">
              <w:rPr>
                <w:sz w:val="20"/>
                <w:szCs w:val="20"/>
              </w:rPr>
              <w:t>Mgr. Alexander Bellu</w:t>
            </w: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r w:rsidRPr="00305BB4">
              <w:rPr>
                <w:sz w:val="20"/>
                <w:szCs w:val="20"/>
              </w:rPr>
              <w:t xml:space="preserve"> </w:t>
            </w:r>
            <w:r>
              <w:rPr>
                <w:sz w:val="20"/>
                <w:szCs w:val="20"/>
              </w:rPr>
              <w:t xml:space="preserve">Ing. </w:t>
            </w:r>
            <w:r w:rsidRPr="002F127A">
              <w:rPr>
                <w:noProof/>
                <w:sz w:val="20"/>
                <w:szCs w:val="20"/>
              </w:rPr>
              <w:t>Adam</w:t>
            </w:r>
            <w:r w:rsidRPr="00305BB4">
              <w:rPr>
                <w:sz w:val="20"/>
                <w:szCs w:val="20"/>
              </w:rPr>
              <w:t xml:space="preserve"> </w:t>
            </w:r>
            <w:r w:rsidRPr="002F127A">
              <w:rPr>
                <w:noProof/>
                <w:sz w:val="20"/>
                <w:szCs w:val="20"/>
              </w:rPr>
              <w:t>Veselý</w:t>
            </w:r>
          </w:p>
        </w:tc>
      </w:tr>
      <w:tr w:rsidR="0091380A" w:rsidRPr="00305BB4" w:rsidTr="001835E8">
        <w:tc>
          <w:tcPr>
            <w:tcW w:w="3232" w:type="dxa"/>
          </w:tcPr>
          <w:p w:rsidR="0091380A" w:rsidRPr="00305BB4" w:rsidRDefault="0091380A" w:rsidP="00F86EA2">
            <w:pPr>
              <w:jc w:val="both"/>
              <w:rPr>
                <w:sz w:val="20"/>
                <w:szCs w:val="20"/>
              </w:rPr>
            </w:pPr>
            <w:r w:rsidRPr="00305BB4">
              <w:rPr>
                <w:sz w:val="20"/>
                <w:szCs w:val="20"/>
              </w:rPr>
              <w:t>starosta městské části</w:t>
            </w: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r w:rsidRPr="002F127A">
              <w:rPr>
                <w:noProof/>
                <w:sz w:val="20"/>
                <w:szCs w:val="20"/>
              </w:rPr>
              <w:t>.................................................</w:t>
            </w: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r w:rsidRPr="00305BB4">
              <w:rPr>
                <w:sz w:val="20"/>
                <w:szCs w:val="20"/>
              </w:rPr>
              <w:t xml:space="preserve"> </w:t>
            </w:r>
            <w:r w:rsidRPr="002F127A">
              <w:rPr>
                <w:noProof/>
                <w:sz w:val="20"/>
                <w:szCs w:val="20"/>
              </w:rPr>
              <w:t>Renáta</w:t>
            </w:r>
            <w:r w:rsidRPr="00305BB4">
              <w:rPr>
                <w:sz w:val="20"/>
                <w:szCs w:val="20"/>
              </w:rPr>
              <w:t xml:space="preserve"> </w:t>
            </w:r>
            <w:r w:rsidRPr="002F127A">
              <w:rPr>
                <w:noProof/>
                <w:sz w:val="20"/>
                <w:szCs w:val="20"/>
              </w:rPr>
              <w:t>Veselá</w:t>
            </w: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r w:rsidR="0091380A" w:rsidRPr="00305BB4" w:rsidTr="001835E8">
        <w:tc>
          <w:tcPr>
            <w:tcW w:w="3232" w:type="dxa"/>
          </w:tcPr>
          <w:p w:rsidR="0091380A" w:rsidRPr="00305BB4" w:rsidRDefault="0091380A" w:rsidP="00F86EA2">
            <w:pPr>
              <w:jc w:val="both"/>
              <w:rPr>
                <w:sz w:val="20"/>
                <w:szCs w:val="20"/>
              </w:rPr>
            </w:pPr>
          </w:p>
        </w:tc>
        <w:tc>
          <w:tcPr>
            <w:tcW w:w="1971" w:type="dxa"/>
          </w:tcPr>
          <w:p w:rsidR="0091380A" w:rsidRPr="00305BB4" w:rsidRDefault="0091380A" w:rsidP="00F86EA2">
            <w:pPr>
              <w:jc w:val="both"/>
              <w:rPr>
                <w:sz w:val="20"/>
                <w:szCs w:val="20"/>
              </w:rPr>
            </w:pPr>
          </w:p>
        </w:tc>
        <w:tc>
          <w:tcPr>
            <w:tcW w:w="4083" w:type="dxa"/>
          </w:tcPr>
          <w:p w:rsidR="0091380A" w:rsidRPr="00305BB4" w:rsidRDefault="0091380A" w:rsidP="00F86EA2">
            <w:pPr>
              <w:jc w:val="both"/>
              <w:rPr>
                <w:sz w:val="20"/>
                <w:szCs w:val="20"/>
              </w:rPr>
            </w:pPr>
          </w:p>
        </w:tc>
      </w:tr>
    </w:tbl>
    <w:p w:rsidR="00A12018" w:rsidRDefault="00A12018" w:rsidP="0091380A">
      <w:pPr>
        <w:jc w:val="both"/>
        <w:rPr>
          <w:sz w:val="20"/>
          <w:szCs w:val="20"/>
        </w:rPr>
      </w:pPr>
    </w:p>
    <w:p w:rsidR="00A12018" w:rsidRDefault="00A12018" w:rsidP="0091380A">
      <w:pPr>
        <w:jc w:val="both"/>
        <w:rPr>
          <w:sz w:val="20"/>
          <w:szCs w:val="20"/>
        </w:rPr>
      </w:pPr>
    </w:p>
    <w:p w:rsidR="00A12018" w:rsidRDefault="00A12018" w:rsidP="0091380A">
      <w:pPr>
        <w:jc w:val="both"/>
        <w:rPr>
          <w:sz w:val="20"/>
          <w:szCs w:val="20"/>
        </w:rPr>
      </w:pPr>
    </w:p>
    <w:p w:rsidR="00A12018" w:rsidRDefault="00A12018" w:rsidP="0091380A">
      <w:pPr>
        <w:jc w:val="both"/>
        <w:rPr>
          <w:sz w:val="20"/>
          <w:szCs w:val="20"/>
        </w:rPr>
      </w:pPr>
    </w:p>
    <w:p w:rsidR="0091380A" w:rsidRPr="00305BB4" w:rsidRDefault="0091380A" w:rsidP="0091380A">
      <w:pPr>
        <w:jc w:val="both"/>
        <w:rPr>
          <w:sz w:val="20"/>
          <w:szCs w:val="20"/>
        </w:rPr>
      </w:pPr>
      <w:r w:rsidRPr="00305BB4">
        <w:rPr>
          <w:sz w:val="20"/>
          <w:szCs w:val="20"/>
        </w:rPr>
        <w:lastRenderedPageBreak/>
        <w:t xml:space="preserve">Podle ustanovení §43, </w:t>
      </w:r>
      <w:proofErr w:type="spellStart"/>
      <w:r w:rsidRPr="00305BB4">
        <w:rPr>
          <w:sz w:val="20"/>
          <w:szCs w:val="20"/>
        </w:rPr>
        <w:t>zák.č</w:t>
      </w:r>
      <w:proofErr w:type="spellEnd"/>
      <w:r w:rsidRPr="00305BB4">
        <w:rPr>
          <w:sz w:val="20"/>
          <w:szCs w:val="20"/>
        </w:rPr>
        <w:t xml:space="preserve">. 131/2000 Sb., v platném znění, o hlavním městě Praze, potvrzuji svým podpisem, že byly splněny podmínky pro platnost tohoto právního úkonu. Záměr byl zveřejněn </w:t>
      </w:r>
      <w:r w:rsidRPr="002F127A">
        <w:rPr>
          <w:noProof/>
          <w:sz w:val="20"/>
          <w:szCs w:val="20"/>
        </w:rPr>
        <w:t>od 19.7.2018 do 6.8.2018</w:t>
      </w:r>
      <w:r w:rsidRPr="00305BB4">
        <w:rPr>
          <w:sz w:val="20"/>
          <w:szCs w:val="20"/>
        </w:rPr>
        <w:t>.</w:t>
      </w:r>
    </w:p>
    <w:p w:rsidR="0091380A" w:rsidRPr="00305BB4" w:rsidRDefault="0091380A" w:rsidP="0091380A">
      <w:pPr>
        <w:jc w:val="both"/>
        <w:rPr>
          <w:sz w:val="20"/>
          <w:szCs w:val="20"/>
        </w:rPr>
      </w:pPr>
      <w:r w:rsidRPr="00305BB4">
        <w:rPr>
          <w:sz w:val="20"/>
          <w:szCs w:val="20"/>
        </w:rPr>
        <w:t xml:space="preserve"> </w:t>
      </w:r>
    </w:p>
    <w:p w:rsidR="0091380A" w:rsidRPr="00305BB4" w:rsidRDefault="0091380A" w:rsidP="0091380A">
      <w:pPr>
        <w:jc w:val="both"/>
        <w:rPr>
          <w:sz w:val="20"/>
          <w:szCs w:val="20"/>
        </w:rPr>
      </w:pPr>
      <w:r w:rsidRPr="00305BB4">
        <w:rPr>
          <w:sz w:val="20"/>
          <w:szCs w:val="20"/>
        </w:rPr>
        <w:t xml:space="preserve">Prodej byl schválen usnesením ZMČ č. </w:t>
      </w:r>
      <w:r w:rsidRPr="002F127A">
        <w:rPr>
          <w:noProof/>
          <w:sz w:val="20"/>
          <w:szCs w:val="20"/>
        </w:rPr>
        <w:t>425 ze dne 18.9.2018</w:t>
      </w:r>
      <w:r w:rsidRPr="00305BB4">
        <w:rPr>
          <w:sz w:val="20"/>
          <w:szCs w:val="20"/>
        </w:rPr>
        <w:t>.</w:t>
      </w:r>
    </w:p>
    <w:p w:rsidR="0091380A" w:rsidRPr="00305BB4" w:rsidRDefault="0091380A" w:rsidP="0091380A">
      <w:pPr>
        <w:jc w:val="both"/>
        <w:rPr>
          <w:sz w:val="20"/>
          <w:szCs w:val="20"/>
        </w:rPr>
      </w:pPr>
    </w:p>
    <w:p w:rsidR="0091380A" w:rsidRDefault="0091380A" w:rsidP="0091380A">
      <w:pPr>
        <w:jc w:val="both"/>
        <w:rPr>
          <w:sz w:val="20"/>
          <w:szCs w:val="20"/>
        </w:rPr>
      </w:pPr>
    </w:p>
    <w:p w:rsidR="001835E8" w:rsidRDefault="001835E8" w:rsidP="0091380A">
      <w:pPr>
        <w:jc w:val="both"/>
        <w:rPr>
          <w:sz w:val="20"/>
          <w:szCs w:val="20"/>
        </w:rPr>
      </w:pPr>
    </w:p>
    <w:p w:rsidR="001835E8" w:rsidRDefault="001835E8" w:rsidP="0091380A">
      <w:pPr>
        <w:jc w:val="both"/>
        <w:rPr>
          <w:sz w:val="20"/>
          <w:szCs w:val="20"/>
        </w:rPr>
      </w:pPr>
    </w:p>
    <w:p w:rsidR="001835E8" w:rsidRPr="00305BB4" w:rsidRDefault="001835E8" w:rsidP="0091380A">
      <w:pPr>
        <w:jc w:val="both"/>
        <w:rPr>
          <w:sz w:val="20"/>
          <w:szCs w:val="20"/>
        </w:rPr>
      </w:pPr>
    </w:p>
    <w:tbl>
      <w:tblPr>
        <w:tblW w:w="0" w:type="auto"/>
        <w:tblLook w:val="04A0" w:firstRow="1" w:lastRow="0" w:firstColumn="1" w:lastColumn="0" w:noHBand="0" w:noVBand="1"/>
      </w:tblPr>
      <w:tblGrid>
        <w:gridCol w:w="5218"/>
        <w:gridCol w:w="4068"/>
      </w:tblGrid>
      <w:tr w:rsidR="0091380A" w:rsidRPr="00305BB4" w:rsidTr="00F86EA2">
        <w:tc>
          <w:tcPr>
            <w:tcW w:w="6062" w:type="dxa"/>
          </w:tcPr>
          <w:p w:rsidR="0091380A" w:rsidRPr="00305BB4" w:rsidRDefault="0091380A" w:rsidP="00F86EA2">
            <w:pPr>
              <w:jc w:val="both"/>
              <w:rPr>
                <w:sz w:val="20"/>
                <w:szCs w:val="20"/>
              </w:rPr>
            </w:pPr>
            <w:r w:rsidRPr="00305BB4">
              <w:rPr>
                <w:sz w:val="20"/>
                <w:szCs w:val="20"/>
              </w:rPr>
              <w:t>.......................................................</w:t>
            </w:r>
          </w:p>
        </w:tc>
        <w:tc>
          <w:tcPr>
            <w:tcW w:w="4557" w:type="dxa"/>
          </w:tcPr>
          <w:p w:rsidR="0091380A" w:rsidRPr="00305BB4" w:rsidRDefault="0091380A" w:rsidP="00F86EA2">
            <w:pPr>
              <w:jc w:val="both"/>
              <w:rPr>
                <w:sz w:val="20"/>
                <w:szCs w:val="20"/>
              </w:rPr>
            </w:pPr>
            <w:r w:rsidRPr="00305BB4">
              <w:rPr>
                <w:sz w:val="20"/>
                <w:szCs w:val="20"/>
              </w:rPr>
              <w:t>...................................................</w:t>
            </w:r>
          </w:p>
        </w:tc>
      </w:tr>
      <w:tr w:rsidR="0091380A" w:rsidRPr="00305BB4" w:rsidTr="00F86EA2">
        <w:tc>
          <w:tcPr>
            <w:tcW w:w="6062" w:type="dxa"/>
          </w:tcPr>
          <w:p w:rsidR="0091380A" w:rsidRPr="00305BB4" w:rsidRDefault="0091380A" w:rsidP="00F86EA2">
            <w:pPr>
              <w:jc w:val="both"/>
              <w:rPr>
                <w:sz w:val="20"/>
                <w:szCs w:val="20"/>
              </w:rPr>
            </w:pPr>
            <w:r w:rsidRPr="00305BB4">
              <w:rPr>
                <w:sz w:val="20"/>
                <w:szCs w:val="20"/>
              </w:rPr>
              <w:t>pověřený člen zastupitelstva</w:t>
            </w:r>
          </w:p>
        </w:tc>
        <w:tc>
          <w:tcPr>
            <w:tcW w:w="4557" w:type="dxa"/>
          </w:tcPr>
          <w:p w:rsidR="0091380A" w:rsidRPr="00305BB4" w:rsidRDefault="0091380A" w:rsidP="00F86EA2">
            <w:pPr>
              <w:jc w:val="both"/>
              <w:rPr>
                <w:sz w:val="20"/>
                <w:szCs w:val="20"/>
              </w:rPr>
            </w:pPr>
            <w:r w:rsidRPr="00305BB4">
              <w:rPr>
                <w:sz w:val="20"/>
                <w:szCs w:val="20"/>
              </w:rPr>
              <w:t>pověřený člen zastupitelstva</w:t>
            </w:r>
          </w:p>
        </w:tc>
      </w:tr>
    </w:tbl>
    <w:p w:rsidR="00C81E45" w:rsidRDefault="002363D2"/>
    <w:sectPr w:rsidR="00C81E45" w:rsidSect="001835E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1380A"/>
    <w:rsid w:val="001835E8"/>
    <w:rsid w:val="002363D2"/>
    <w:rsid w:val="0091380A"/>
    <w:rsid w:val="009A712B"/>
    <w:rsid w:val="00A00E68"/>
    <w:rsid w:val="00A12018"/>
    <w:rsid w:val="00B964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3B58F-5FFF-4888-ABE8-3ABF988B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380A"/>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380A"/>
    <w:pPr>
      <w:ind w:left="708"/>
    </w:pPr>
  </w:style>
  <w:style w:type="paragraph" w:styleId="Textbubliny">
    <w:name w:val="Balloon Text"/>
    <w:basedOn w:val="Normln"/>
    <w:link w:val="TextbublinyChar"/>
    <w:uiPriority w:val="99"/>
    <w:semiHidden/>
    <w:unhideWhenUsed/>
    <w:rsid w:val="0091380A"/>
    <w:rPr>
      <w:rFonts w:ascii="Tahoma" w:hAnsi="Tahoma" w:cs="Tahoma"/>
      <w:sz w:val="16"/>
      <w:szCs w:val="16"/>
    </w:rPr>
  </w:style>
  <w:style w:type="character" w:customStyle="1" w:styleId="TextbublinyChar">
    <w:name w:val="Text bubliny Char"/>
    <w:basedOn w:val="Standardnpsmoodstavce"/>
    <w:link w:val="Textbubliny"/>
    <w:uiPriority w:val="99"/>
    <w:semiHidden/>
    <w:rsid w:val="0091380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E863A288874C77A5A175E5EB05614A"/>
        <w:category>
          <w:name w:val="Obecné"/>
          <w:gallery w:val="placeholder"/>
        </w:category>
        <w:types>
          <w:type w:val="bbPlcHdr"/>
        </w:types>
        <w:behaviors>
          <w:behavior w:val="content"/>
        </w:behaviors>
        <w:guid w:val="{6F730F50-4EEB-4D92-AF42-F8A171A24A40}"/>
      </w:docPartPr>
      <w:docPartBody>
        <w:p w:rsidR="00830A92" w:rsidRDefault="004D3B52" w:rsidP="004D3B52">
          <w:pPr>
            <w:pStyle w:val="F0E863A288874C77A5A175E5EB05614A"/>
          </w:pPr>
          <w:r w:rsidRPr="00832F2C">
            <w:rPr>
              <w:rStyle w:val="Zstupntext"/>
            </w:rPr>
            <w:t>Klepněte sem a zadejte text.</w:t>
          </w:r>
        </w:p>
      </w:docPartBody>
    </w:docPart>
    <w:docPart>
      <w:docPartPr>
        <w:name w:val="D2737AEA847C4CB3A6329AEF89EF4EC5"/>
        <w:category>
          <w:name w:val="Obecné"/>
          <w:gallery w:val="placeholder"/>
        </w:category>
        <w:types>
          <w:type w:val="bbPlcHdr"/>
        </w:types>
        <w:behaviors>
          <w:behavior w:val="content"/>
        </w:behaviors>
        <w:guid w:val="{C630DEB4-FD73-4C26-B82D-AC44A5D408B4}"/>
      </w:docPartPr>
      <w:docPartBody>
        <w:p w:rsidR="00830A92" w:rsidRDefault="004D3B52" w:rsidP="004D3B52">
          <w:pPr>
            <w:pStyle w:val="D2737AEA847C4CB3A6329AEF89EF4EC5"/>
          </w:pPr>
          <w:r w:rsidRPr="00241934">
            <w:rPr>
              <w:rStyle w:val="Zstupntext"/>
            </w:rPr>
            <w:t>Klikněte sem a zadejte text.</w:t>
          </w:r>
        </w:p>
      </w:docPartBody>
    </w:docPart>
    <w:docPart>
      <w:docPartPr>
        <w:name w:val="081893FD5CBE4290B3FBEAEA182FE2FE"/>
        <w:category>
          <w:name w:val="Obecné"/>
          <w:gallery w:val="placeholder"/>
        </w:category>
        <w:types>
          <w:type w:val="bbPlcHdr"/>
        </w:types>
        <w:behaviors>
          <w:behavior w:val="content"/>
        </w:behaviors>
        <w:guid w:val="{2A529735-5681-42D7-88F9-56CCCAF4C368}"/>
      </w:docPartPr>
      <w:docPartBody>
        <w:p w:rsidR="00830A92" w:rsidRDefault="004D3B52" w:rsidP="004D3B52">
          <w:pPr>
            <w:pStyle w:val="081893FD5CBE4290B3FBEAEA182FE2FE"/>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4D3B52"/>
    <w:rsid w:val="004D3B52"/>
    <w:rsid w:val="00830A92"/>
    <w:rsid w:val="00B723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D3B52"/>
    <w:rPr>
      <w:color w:val="808080"/>
    </w:rPr>
  </w:style>
  <w:style w:type="paragraph" w:customStyle="1" w:styleId="F0E863A288874C77A5A175E5EB05614A">
    <w:name w:val="F0E863A288874C77A5A175E5EB05614A"/>
    <w:rsid w:val="004D3B52"/>
  </w:style>
  <w:style w:type="paragraph" w:customStyle="1" w:styleId="D2737AEA847C4CB3A6329AEF89EF4EC5">
    <w:name w:val="D2737AEA847C4CB3A6329AEF89EF4EC5"/>
    <w:rsid w:val="004D3B52"/>
  </w:style>
  <w:style w:type="paragraph" w:customStyle="1" w:styleId="081893FD5CBE4290B3FBEAEA182FE2FE">
    <w:name w:val="081893FD5CBE4290B3FBEAEA182FE2FE"/>
    <w:rsid w:val="004D3B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7F80D14C</Template>
  <TotalTime>16</TotalTime>
  <Pages>1</Pages>
  <Words>2915</Words>
  <Characters>17202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Václavíčková</dc:creator>
  <cp:lastModifiedBy>Bartošová Eliška Bc. (ÚMČ Praha 3)</cp:lastModifiedBy>
  <cp:revision>4</cp:revision>
  <cp:lastPrinted>2018-10-31T14:25:00Z</cp:lastPrinted>
  <dcterms:created xsi:type="dcterms:W3CDTF">2018-10-31T14:11:00Z</dcterms:created>
  <dcterms:modified xsi:type="dcterms:W3CDTF">2019-01-02T16:43:00Z</dcterms:modified>
</cp:coreProperties>
</file>