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7326F5">
        <w:rPr>
          <w:rFonts w:asciiTheme="minorHAnsi" w:hAnsiTheme="minorHAnsi" w:cs="Arial"/>
          <w:b/>
          <w:bCs/>
          <w:sz w:val="28"/>
          <w:szCs w:val="28"/>
        </w:rPr>
        <w:t>4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A56DD0">
        <w:rPr>
          <w:rFonts w:asciiTheme="minorHAnsi" w:hAnsiTheme="minorHAnsi" w:cs="Arial"/>
          <w:b/>
          <w:bCs/>
          <w:sz w:val="28"/>
          <w:szCs w:val="28"/>
        </w:rPr>
        <w:t>8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AF5DF0">
        <w:rPr>
          <w:rFonts w:asciiTheme="minorHAnsi" w:hAnsiTheme="minorHAnsi" w:cs="Arial"/>
          <w:b/>
          <w:sz w:val="22"/>
          <w:szCs w:val="22"/>
        </w:rPr>
        <w:t>3110251</w:t>
      </w:r>
      <w:r w:rsidR="007F1106">
        <w:rPr>
          <w:rFonts w:asciiTheme="minorHAnsi" w:hAnsiTheme="minorHAnsi" w:cs="Arial"/>
          <w:b/>
          <w:sz w:val="22"/>
          <w:szCs w:val="22"/>
        </w:rPr>
        <w:t>5</w:t>
      </w:r>
    </w:p>
    <w:p w:rsidR="0040484B" w:rsidRPr="00C15C9E" w:rsidRDefault="002808DE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dle </w:t>
      </w:r>
    </w:p>
    <w:p w:rsidR="0040484B" w:rsidRPr="00C15C9E" w:rsidRDefault="0040484B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proofErr w:type="spellStart"/>
      <w:r w:rsidR="00942519">
        <w:rPr>
          <w:rFonts w:asciiTheme="minorHAnsi" w:hAnsiTheme="minorHAnsi" w:cs="Arial"/>
          <w:b/>
          <w:bCs/>
          <w:sz w:val="22"/>
          <w:szCs w:val="22"/>
        </w:rPr>
        <w:t>Arcona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15C9E">
        <w:rPr>
          <w:rFonts w:asciiTheme="minorHAnsi" w:hAnsiTheme="minorHAnsi" w:cs="Arial"/>
          <w:b/>
          <w:bCs/>
          <w:sz w:val="22"/>
          <w:szCs w:val="22"/>
        </w:rPr>
        <w:t>Capital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 w:rsidR="00F5748A"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6A3EAD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proofErr w:type="spellStart"/>
      <w:r w:rsidR="006A3EAD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4F494B" w:rsidRDefault="004F494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4F494B" w:rsidRDefault="004F494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BF7B32" w:rsidRPr="00971ABE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</w:t>
      </w:r>
      <w:r w:rsidR="00714FA3">
        <w:rPr>
          <w:rFonts w:ascii="Calibri" w:eastAsia="Calibri" w:hAnsi="Calibri" w:cs="Arial"/>
          <w:sz w:val="22"/>
          <w:szCs w:val="22"/>
          <w:lang w:eastAsia="en-US"/>
        </w:rPr>
        <w:t>upena:</w:t>
      </w:r>
      <w:r w:rsidR="00714FA3">
        <w:rPr>
          <w:rFonts w:ascii="Calibri" w:eastAsia="Calibri" w:hAnsi="Calibri" w:cs="Arial"/>
          <w:sz w:val="22"/>
          <w:szCs w:val="22"/>
          <w:lang w:eastAsia="en-US"/>
        </w:rPr>
        <w:tab/>
      </w:r>
      <w:r w:rsidR="00714FA3">
        <w:rPr>
          <w:rFonts w:ascii="Calibri" w:eastAsia="Calibri" w:hAnsi="Calibri" w:cs="Arial"/>
          <w:sz w:val="22"/>
          <w:szCs w:val="22"/>
          <w:lang w:eastAsia="en-US"/>
        </w:rPr>
        <w:tab/>
      </w:r>
      <w:r w:rsidR="00714FA3" w:rsidRPr="00971ABE">
        <w:rPr>
          <w:rFonts w:ascii="Calibri" w:eastAsia="Calibri" w:hAnsi="Calibri" w:cs="Arial"/>
          <w:sz w:val="22"/>
          <w:szCs w:val="22"/>
          <w:lang w:eastAsia="en-US"/>
        </w:rPr>
        <w:t xml:space="preserve">Ing. Josefem </w:t>
      </w:r>
      <w:proofErr w:type="spellStart"/>
      <w:r w:rsidR="00714FA3" w:rsidRPr="00971ABE">
        <w:rPr>
          <w:rFonts w:ascii="Calibri" w:eastAsia="Calibri" w:hAnsi="Calibri" w:cs="Arial"/>
          <w:sz w:val="22"/>
          <w:szCs w:val="22"/>
          <w:lang w:eastAsia="en-US"/>
        </w:rPr>
        <w:t>Bürgerem</w:t>
      </w:r>
      <w:proofErr w:type="spellEnd"/>
      <w:r w:rsidRPr="00971ABE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</w:t>
      </w: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  <w:r w:rsidRPr="00971ABE">
        <w:rPr>
          <w:rFonts w:ascii="Calibri" w:eastAsia="Calibri" w:hAnsi="Calibri" w:cs="Arial"/>
          <w:sz w:val="22"/>
          <w:szCs w:val="22"/>
          <w:lang w:eastAsia="en-US"/>
        </w:rPr>
        <w:tab/>
      </w:r>
      <w:r w:rsidR="00714FA3" w:rsidRPr="00971ABE">
        <w:rPr>
          <w:rFonts w:ascii="Calibri" w:eastAsia="Calibri" w:hAnsi="Calibri" w:cs="Arial"/>
          <w:sz w:val="22"/>
          <w:szCs w:val="22"/>
          <w:lang w:eastAsia="en-US"/>
        </w:rPr>
        <w:t xml:space="preserve">ředitelem </w:t>
      </w:r>
      <w:r w:rsidRPr="00971ABE">
        <w:rPr>
          <w:rFonts w:ascii="Calibri" w:eastAsia="Calibri" w:hAnsi="Calibri" w:cs="Arial"/>
          <w:sz w:val="22"/>
          <w:szCs w:val="22"/>
          <w:lang w:eastAsia="en-US"/>
        </w:rPr>
        <w:t xml:space="preserve">Krajské pobočky </w:t>
      </w:r>
      <w:r w:rsidR="002E680E" w:rsidRPr="00971ABE">
        <w:rPr>
          <w:rFonts w:ascii="Calibri" w:eastAsia="Calibri" w:hAnsi="Calibri" w:cs="Arial"/>
          <w:sz w:val="22"/>
          <w:szCs w:val="22"/>
          <w:lang w:eastAsia="en-US"/>
        </w:rPr>
        <w:t>úřadu</w:t>
      </w:r>
      <w:r w:rsidR="00714FA3" w:rsidRPr="00971ABE">
        <w:rPr>
          <w:rFonts w:ascii="Calibri" w:eastAsia="Calibri" w:hAnsi="Calibri" w:cs="Arial"/>
          <w:sz w:val="22"/>
          <w:szCs w:val="22"/>
          <w:lang w:eastAsia="en-US"/>
        </w:rPr>
        <w:t xml:space="preserve"> ČR </w:t>
      </w:r>
      <w:r w:rsidRPr="00971ABE">
        <w:rPr>
          <w:rFonts w:ascii="Calibri" w:eastAsia="Calibri" w:hAnsi="Calibri" w:cs="Arial"/>
          <w:sz w:val="22"/>
          <w:szCs w:val="22"/>
          <w:lang w:eastAsia="en-US"/>
        </w:rPr>
        <w:t>v Brně</w:t>
      </w: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</w:p>
    <w:p w:rsidR="007F1106" w:rsidRDefault="007F1106" w:rsidP="007F1106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Název projektu I.: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 „Záruky pro mladé v Jihomoravském kraji“</w:t>
      </w:r>
    </w:p>
    <w:p w:rsidR="007F1106" w:rsidRPr="00BF7B32" w:rsidRDefault="007F1106" w:rsidP="007F1106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Název projektu 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II.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: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>„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>50</w:t>
      </w:r>
      <w:proofErr w:type="gramEnd"/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lang w:eastAsia="en-US"/>
        </w:rPr>
        <w:t>PLUS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v Jihomoravském kraji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“</w:t>
      </w:r>
    </w:p>
    <w:p w:rsidR="002808DE" w:rsidRDefault="002808DE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EC3194" w:rsidRPr="00C15C9E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Pr="00C15C9E" w:rsidRDefault="002808DE" w:rsidP="00BF7B32">
      <w:pPr>
        <w:pStyle w:val="Odstavecseseznamem"/>
        <w:widowControl w:val="0"/>
        <w:numPr>
          <w:ilvl w:val="1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6C5765">
        <w:rPr>
          <w:rFonts w:asciiTheme="minorHAnsi" w:hAnsiTheme="minorHAnsi" w:cs="Arial"/>
          <w:sz w:val="22"/>
          <w:szCs w:val="22"/>
        </w:rPr>
        <w:t>5</w:t>
      </w:r>
      <w:r w:rsidR="000F2D7E" w:rsidRPr="00C15C9E">
        <w:rPr>
          <w:rFonts w:asciiTheme="minorHAnsi" w:hAnsiTheme="minorHAnsi" w:cs="Arial"/>
          <w:sz w:val="22"/>
          <w:szCs w:val="22"/>
        </w:rPr>
        <w:t xml:space="preserve">.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BF7B32">
        <w:rPr>
          <w:rFonts w:asciiTheme="minorHAnsi" w:hAnsiTheme="minorHAnsi" w:cs="Arial"/>
          <w:sz w:val="22"/>
          <w:szCs w:val="22"/>
        </w:rPr>
        <w:t>2</w:t>
      </w:r>
      <w:r w:rsidR="000F2D7E" w:rsidRPr="00C15C9E">
        <w:rPr>
          <w:rFonts w:asciiTheme="minorHAnsi" w:hAnsiTheme="minorHAnsi" w:cs="Arial"/>
          <w:sz w:val="22"/>
          <w:szCs w:val="22"/>
        </w:rPr>
        <w:t>. 201</w:t>
      </w:r>
      <w:r w:rsidR="002C1EE6" w:rsidRPr="00C15C9E">
        <w:rPr>
          <w:rFonts w:asciiTheme="minorHAnsi" w:hAnsiTheme="minorHAnsi" w:cs="Arial"/>
          <w:sz w:val="22"/>
          <w:szCs w:val="22"/>
        </w:rPr>
        <w:t>5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smlouvu o nájmu prostor </w:t>
      </w:r>
      <w:r w:rsidR="00A56DD0">
        <w:rPr>
          <w:rFonts w:asciiTheme="minorHAnsi" w:hAnsiTheme="minorHAnsi" w:cs="Arial"/>
          <w:sz w:val="22"/>
          <w:szCs w:val="22"/>
        </w:rPr>
        <w:t>sloužící k </w:t>
      </w:r>
      <w:proofErr w:type="gramStart"/>
      <w:r w:rsidR="00A56DD0">
        <w:rPr>
          <w:rFonts w:asciiTheme="minorHAnsi" w:hAnsiTheme="minorHAnsi" w:cs="Arial"/>
          <w:sz w:val="22"/>
          <w:szCs w:val="22"/>
        </w:rPr>
        <w:t>podnikáni</w:t>
      </w:r>
      <w:proofErr w:type="gramEnd"/>
      <w:r w:rsidR="00A56DD0">
        <w:rPr>
          <w:rFonts w:asciiTheme="minorHAnsi" w:hAnsiTheme="minorHAnsi" w:cs="Arial"/>
          <w:sz w:val="22"/>
          <w:szCs w:val="22"/>
        </w:rPr>
        <w:t xml:space="preserve">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číslo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7F1106">
        <w:rPr>
          <w:rFonts w:asciiTheme="minorHAnsi" w:hAnsiTheme="minorHAnsi" w:cs="Arial"/>
          <w:sz w:val="22"/>
          <w:szCs w:val="22"/>
        </w:rPr>
        <w:t>5</w:t>
      </w:r>
      <w:r w:rsidR="00CF3628" w:rsidRPr="00C15C9E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C15C9E">
        <w:rPr>
          <w:rFonts w:asciiTheme="minorHAnsi" w:hAnsiTheme="minorHAnsi" w:cs="Arial"/>
          <w:sz w:val="22"/>
          <w:szCs w:val="22"/>
        </w:rPr>
        <w:t>(dále jen „</w:t>
      </w:r>
      <w:r w:rsidR="00A13EF7" w:rsidRPr="00C15C9E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C15C9E">
        <w:rPr>
          <w:rFonts w:asciiTheme="minorHAnsi" w:hAnsiTheme="minorHAnsi" w:cs="Arial"/>
          <w:sz w:val="22"/>
          <w:szCs w:val="22"/>
        </w:rPr>
        <w:t>“)</w:t>
      </w:r>
      <w:r w:rsidR="00C43BE8" w:rsidRPr="00C15C9E">
        <w:rPr>
          <w:rFonts w:asciiTheme="minorHAnsi" w:hAnsiTheme="minorHAnsi" w:cs="Arial"/>
          <w:sz w:val="22"/>
          <w:szCs w:val="22"/>
        </w:rPr>
        <w:t>,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na základě které Nájemce užívá prostory, jak jsou definovány ve Smlouvě.</w:t>
      </w:r>
      <w:r w:rsidR="00A13EF7"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295A23" w:rsidRDefault="00295A23" w:rsidP="00295A23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2123F8" w:rsidRDefault="002123F8" w:rsidP="002123F8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>
        <w:rPr>
          <w:rFonts w:asciiTheme="minorHAnsi" w:hAnsiTheme="minorHAnsi" w:cs="Arial"/>
          <w:sz w:val="22"/>
          <w:szCs w:val="22"/>
        </w:rPr>
        <w:t xml:space="preserve"> změně článku II., odstavec 2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2123F8" w:rsidRPr="002123F8" w:rsidRDefault="002123F8" w:rsidP="002123F8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123F8" w:rsidRPr="008072AA" w:rsidRDefault="002123F8" w:rsidP="002123F8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8072AA">
        <w:rPr>
          <w:rFonts w:asciiTheme="minorHAnsi" w:hAnsiTheme="minorHAnsi" w:cs="Arial"/>
          <w:i/>
          <w:sz w:val="22"/>
          <w:szCs w:val="22"/>
        </w:rPr>
        <w:t>„Pronajímatel dále prohlašuje, že v budově dle čl. II bod 1. této smlouvy se nachází nebytové prostory, a to nebytové prostory sestávající z kanceláře č. 606-2 v 6. NP</w:t>
      </w:r>
      <w:r w:rsidR="008072AA" w:rsidRPr="008072AA">
        <w:rPr>
          <w:rFonts w:asciiTheme="minorHAnsi" w:hAnsiTheme="minorHAnsi" w:cs="Arial"/>
          <w:i/>
          <w:sz w:val="22"/>
          <w:szCs w:val="22"/>
        </w:rPr>
        <w:t>. Soupis nebytových prostor včetně jejich výměr tvoří přílohu č. 2 nájemní smlouvy a je její nedílnou součástí. Pronajímatel dle prohlašuje, že nebytové prostory dle tohoto odstavce v 6. NP nemá ve svém užívání žádná další osoba.“</w:t>
      </w:r>
    </w:p>
    <w:p w:rsidR="002123F8" w:rsidRPr="002123F8" w:rsidRDefault="002123F8" w:rsidP="002123F8">
      <w:pPr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</w:p>
    <w:p w:rsidR="002123F8" w:rsidRPr="00C15C9E" w:rsidRDefault="002123F8" w:rsidP="00295A23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9"/>
        <w:jc w:val="both"/>
        <w:rPr>
          <w:rFonts w:asciiTheme="minorHAnsi" w:hAnsiTheme="minorHAnsi" w:cs="Arial"/>
          <w:sz w:val="22"/>
          <w:szCs w:val="22"/>
        </w:rPr>
      </w:pPr>
    </w:p>
    <w:p w:rsidR="00407855" w:rsidRPr="00C15C9E" w:rsidRDefault="00407855" w:rsidP="00407855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Pronajímatel a Nájemce se dohodli na</w:t>
      </w:r>
      <w:r w:rsidR="00A56DD0">
        <w:rPr>
          <w:rFonts w:asciiTheme="minorHAnsi" w:hAnsiTheme="minorHAnsi" w:cs="Arial"/>
          <w:sz w:val="22"/>
          <w:szCs w:val="22"/>
        </w:rPr>
        <w:t xml:space="preserve"> změně článku I</w:t>
      </w:r>
      <w:r w:rsidR="00BF7B32">
        <w:rPr>
          <w:rFonts w:asciiTheme="minorHAnsi" w:hAnsiTheme="minorHAnsi" w:cs="Arial"/>
          <w:sz w:val="22"/>
          <w:szCs w:val="22"/>
        </w:rPr>
        <w:t>I., odstavec 3</w:t>
      </w:r>
      <w:r w:rsidR="00A56DD0">
        <w:rPr>
          <w:rFonts w:asciiTheme="minorHAnsi" w:hAnsiTheme="minorHAnsi" w:cs="Arial"/>
          <w:sz w:val="22"/>
          <w:szCs w:val="22"/>
        </w:rPr>
        <w:t>.2</w:t>
      </w:r>
      <w:r w:rsidR="00BF7B32">
        <w:rPr>
          <w:rFonts w:asciiTheme="minorHAnsi" w:hAnsiTheme="minorHAnsi" w:cs="Arial"/>
          <w:sz w:val="22"/>
          <w:szCs w:val="22"/>
        </w:rPr>
        <w:t xml:space="preserve"> Smlouvy</w:t>
      </w:r>
      <w:r w:rsidRPr="00C15C9E">
        <w:rPr>
          <w:rFonts w:asciiTheme="minorHAnsi" w:hAnsiTheme="minorHAnsi" w:cs="Arial"/>
          <w:sz w:val="22"/>
          <w:szCs w:val="22"/>
        </w:rPr>
        <w:t>:</w:t>
      </w:r>
    </w:p>
    <w:p w:rsidR="00407855" w:rsidRPr="00C15C9E" w:rsidRDefault="00407855" w:rsidP="00407855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407855" w:rsidRDefault="00FF6620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t>„</w:t>
      </w:r>
      <w:r w:rsidR="00A56DD0">
        <w:rPr>
          <w:rFonts w:asciiTheme="minorHAnsi" w:hAnsiTheme="minorHAnsi" w:cs="Arial"/>
          <w:i/>
          <w:sz w:val="22"/>
          <w:szCs w:val="22"/>
        </w:rPr>
        <w:t>Nájem je sjednán na dobu urči</w:t>
      </w:r>
      <w:r w:rsidR="00701B7F">
        <w:rPr>
          <w:rFonts w:asciiTheme="minorHAnsi" w:hAnsiTheme="minorHAnsi" w:cs="Arial"/>
          <w:i/>
          <w:sz w:val="22"/>
          <w:szCs w:val="22"/>
        </w:rPr>
        <w:t>tou od 1. 2. 2016 do 31. 12. 2020</w:t>
      </w:r>
      <w:r w:rsidR="00A56DD0">
        <w:rPr>
          <w:rFonts w:asciiTheme="minorHAnsi" w:hAnsiTheme="minorHAnsi" w:cs="Arial"/>
          <w:i/>
          <w:sz w:val="22"/>
          <w:szCs w:val="22"/>
        </w:rPr>
        <w:t xml:space="preserve"> (dále jen „</w:t>
      </w:r>
      <w:r w:rsidR="00A56DD0" w:rsidRPr="00A56DD0">
        <w:rPr>
          <w:rFonts w:asciiTheme="minorHAnsi" w:hAnsiTheme="minorHAnsi" w:cs="Arial"/>
          <w:b/>
          <w:i/>
          <w:sz w:val="22"/>
          <w:szCs w:val="22"/>
        </w:rPr>
        <w:t>Doba nájmu</w:t>
      </w:r>
      <w:r w:rsidR="00A56DD0">
        <w:rPr>
          <w:rFonts w:asciiTheme="minorHAnsi" w:hAnsiTheme="minorHAnsi" w:cs="Arial"/>
          <w:i/>
          <w:sz w:val="22"/>
          <w:szCs w:val="22"/>
        </w:rPr>
        <w:t>“)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</w:t>
      </w:r>
      <w:r w:rsidR="00431E1C">
        <w:rPr>
          <w:rFonts w:asciiTheme="minorHAnsi" w:hAnsiTheme="minorHAnsi" w:cs="Arial"/>
          <w:i/>
          <w:sz w:val="22"/>
          <w:szCs w:val="22"/>
        </w:rPr>
        <w:t>“</w:t>
      </w:r>
    </w:p>
    <w:p w:rsidR="002123F8" w:rsidRPr="002123F8" w:rsidRDefault="002123F8" w:rsidP="002123F8">
      <w:pPr>
        <w:rPr>
          <w:rFonts w:asciiTheme="minorHAnsi" w:hAnsiTheme="minorHAnsi" w:cs="Arial"/>
          <w:i/>
          <w:sz w:val="22"/>
          <w:szCs w:val="22"/>
        </w:rPr>
      </w:pPr>
    </w:p>
    <w:p w:rsidR="002123F8" w:rsidRPr="00C15C9E" w:rsidRDefault="002123F8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A1146" w:rsidRDefault="00A56DD0" w:rsidP="007A1146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 účinností ke dni 1. </w:t>
      </w:r>
      <w:r w:rsidR="002123F8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 201</w:t>
      </w:r>
      <w:r w:rsidR="002123F8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se Nájemce zavazuje platit Pronajímateli Nájemné ve výši podle splátkového kalendáře tvořící Přílohu č. 1 tohoto Dodatku.</w:t>
      </w:r>
    </w:p>
    <w:p w:rsidR="00A56DD0" w:rsidRPr="00A56DD0" w:rsidRDefault="00A56DD0" w:rsidP="00A56DD0">
      <w:pPr>
        <w:rPr>
          <w:rFonts w:asciiTheme="minorHAnsi" w:hAnsiTheme="minorHAnsi" w:cs="Arial"/>
          <w:sz w:val="22"/>
          <w:szCs w:val="22"/>
        </w:rPr>
      </w:pPr>
    </w:p>
    <w:p w:rsidR="00D978F1" w:rsidRDefault="00D978F1" w:rsidP="00D978F1">
      <w:pPr>
        <w:pStyle w:val="Odstavecseseznamem"/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BF7B32">
      <w:pPr>
        <w:pStyle w:val="Odstavecseseznamem"/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7F1106">
        <w:rPr>
          <w:rFonts w:asciiTheme="minorHAnsi" w:hAnsiTheme="minorHAnsi" w:cs="Arial"/>
          <w:sz w:val="22"/>
          <w:szCs w:val="22"/>
        </w:rPr>
        <w:t>5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A2370C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6C5765">
        <w:rPr>
          <w:rFonts w:asciiTheme="minorHAnsi" w:hAnsiTheme="minorHAnsi" w:cs="Arial"/>
          <w:sz w:val="22"/>
          <w:szCs w:val="22"/>
        </w:rPr>
        <w:t>čtyřech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6C5765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stejnopisech s platností originálu, z nichž po </w:t>
      </w:r>
      <w:r w:rsidR="006C5765">
        <w:rPr>
          <w:rFonts w:asciiTheme="minorHAnsi" w:hAnsiTheme="minorHAnsi" w:cs="Arial"/>
          <w:sz w:val="22"/>
          <w:szCs w:val="22"/>
        </w:rPr>
        <w:t>dvou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6C5765">
        <w:rPr>
          <w:rFonts w:asciiTheme="minorHAnsi" w:hAnsiTheme="minorHAnsi" w:cs="Arial"/>
          <w:sz w:val="22"/>
          <w:szCs w:val="22"/>
        </w:rPr>
        <w:t>2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C15C9E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58181D" w:rsidP="00EC5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7C200D"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8072AA" w:rsidRDefault="008072AA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Příloha č</w:t>
      </w:r>
      <w:r w:rsidRPr="008072AA">
        <w:rPr>
          <w:rFonts w:asciiTheme="minorHAnsi" w:hAnsiTheme="minorHAnsi" w:cs="Arial"/>
          <w:b/>
          <w:sz w:val="22"/>
          <w:szCs w:val="22"/>
        </w:rPr>
        <w:t>. 2</w:t>
      </w:r>
      <w:r>
        <w:rPr>
          <w:rFonts w:asciiTheme="minorHAnsi" w:hAnsiTheme="minorHAnsi" w:cs="Arial"/>
          <w:sz w:val="22"/>
          <w:szCs w:val="22"/>
        </w:rPr>
        <w:t xml:space="preserve"> – Identifikace předmětu nájmu a grafické schéma předmětu nájmu</w:t>
      </w:r>
    </w:p>
    <w:p w:rsidR="00105B5D" w:rsidRPr="00C15C9E" w:rsidRDefault="0058181D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05B5D" w:rsidRPr="00C15C9E" w:rsidRDefault="00714FA3" w:rsidP="00714FA3">
      <w:pPr>
        <w:pStyle w:val="Norma"/>
        <w:tabs>
          <w:tab w:val="left" w:pos="4253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Pronajímatel:</w:t>
      </w:r>
      <w:r>
        <w:rPr>
          <w:rFonts w:asciiTheme="minorHAnsi" w:hAnsiTheme="minorHAnsi" w:cs="Arial"/>
          <w:sz w:val="22"/>
          <w:szCs w:val="22"/>
        </w:rPr>
        <w:tab/>
      </w:r>
      <w:r w:rsidR="00105B5D" w:rsidRPr="00C15C9E">
        <w:rPr>
          <w:rFonts w:asciiTheme="minorHAnsi" w:hAnsiTheme="minorHAnsi" w:cs="Arial"/>
          <w:sz w:val="22"/>
          <w:szCs w:val="22"/>
        </w:rPr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524944" w:rsidRDefault="00105B5D" w:rsidP="00714FA3">
      <w:pPr>
        <w:pStyle w:val="Norma"/>
        <w:tabs>
          <w:tab w:val="left" w:pos="4253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6A3EAD">
        <w:rPr>
          <w:rFonts w:asciiTheme="minorHAnsi" w:hAnsiTheme="minorHAnsi" w:cs="Arial"/>
          <w:sz w:val="22"/>
          <w:szCs w:val="22"/>
        </w:rPr>
        <w:t xml:space="preserve"> 10.12.2018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V</w:t>
      </w:r>
      <w:r w:rsidR="007D654C">
        <w:rPr>
          <w:rFonts w:asciiTheme="minorHAnsi" w:hAnsiTheme="minorHAnsi" w:cs="Arial"/>
          <w:sz w:val="22"/>
          <w:szCs w:val="22"/>
        </w:rPr>
        <w:t> Brně dne:  10.12.2018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F5748A" w:rsidRDefault="00F5748A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7326F5" w:rsidRDefault="007326F5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7326F5" w:rsidRPr="00C15C9E" w:rsidRDefault="007326F5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714FA3">
      <w:pPr>
        <w:pStyle w:val="Norma"/>
        <w:tabs>
          <w:tab w:val="left" w:pos="4253"/>
          <w:tab w:val="left" w:pos="6096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</w:t>
      </w:r>
      <w:r w:rsidR="00714FA3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C15C9E">
        <w:rPr>
          <w:rFonts w:asciiTheme="minorHAnsi" w:hAnsiTheme="minorHAnsi" w:cs="Arial"/>
          <w:sz w:val="22"/>
          <w:szCs w:val="22"/>
        </w:rPr>
        <w:t>_________</w:t>
      </w:r>
      <w:r w:rsidR="00714FA3">
        <w:rPr>
          <w:rFonts w:asciiTheme="minorHAnsi" w:hAnsiTheme="minorHAnsi" w:cs="Arial"/>
          <w:sz w:val="22"/>
          <w:szCs w:val="22"/>
        </w:rPr>
        <w:t>___________</w:t>
      </w:r>
      <w:r w:rsidRPr="00C15C9E">
        <w:rPr>
          <w:rFonts w:asciiTheme="minorHAnsi" w:hAnsiTheme="minorHAnsi" w:cs="Arial"/>
          <w:sz w:val="22"/>
          <w:szCs w:val="22"/>
        </w:rPr>
        <w:t>________________</w:t>
      </w:r>
      <w:proofErr w:type="gramEnd"/>
    </w:p>
    <w:p w:rsidR="00105B5D" w:rsidRPr="00971ABE" w:rsidRDefault="007A1146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Arcona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5B5D" w:rsidRPr="00C15C9E">
        <w:rPr>
          <w:rFonts w:asciiTheme="minorHAnsi" w:hAnsiTheme="minorHAnsi" w:cs="Arial"/>
          <w:sz w:val="22"/>
          <w:szCs w:val="22"/>
        </w:rPr>
        <w:t>Capital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</w:t>
      </w:r>
      <w:r w:rsidR="00714FA3">
        <w:rPr>
          <w:rFonts w:asciiTheme="minorHAnsi" w:hAnsiTheme="minorHAnsi" w:cs="Arial"/>
          <w:sz w:val="22"/>
          <w:szCs w:val="22"/>
        </w:rPr>
        <w:t xml:space="preserve">  </w:t>
      </w:r>
      <w:r w:rsidR="00714FA3" w:rsidRPr="00971ABE">
        <w:rPr>
          <w:rFonts w:asciiTheme="minorHAnsi" w:hAnsiTheme="minorHAnsi" w:cs="Arial"/>
          <w:sz w:val="22"/>
          <w:szCs w:val="22"/>
        </w:rPr>
        <w:t>Česká republika-Úřad práce České republiky</w:t>
      </w:r>
      <w:r w:rsidR="00105B5D" w:rsidRPr="00971ABE">
        <w:rPr>
          <w:rFonts w:asciiTheme="minorHAnsi" w:hAnsiTheme="minorHAnsi" w:cs="Arial"/>
          <w:sz w:val="22"/>
          <w:szCs w:val="22"/>
        </w:rPr>
        <w:t xml:space="preserve">    </w:t>
      </w:r>
    </w:p>
    <w:p w:rsidR="00105B5D" w:rsidRPr="00971ABE" w:rsidRDefault="00105B5D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971ABE">
        <w:rPr>
          <w:rFonts w:asciiTheme="minorHAnsi" w:hAnsiTheme="minorHAnsi" w:cs="Arial"/>
          <w:sz w:val="22"/>
          <w:szCs w:val="22"/>
        </w:rPr>
        <w:t xml:space="preserve">Ing. Zbyněk </w:t>
      </w:r>
      <w:proofErr w:type="gramStart"/>
      <w:r w:rsidRPr="00971ABE">
        <w:rPr>
          <w:rFonts w:asciiTheme="minorHAnsi" w:hAnsiTheme="minorHAnsi" w:cs="Arial"/>
          <w:sz w:val="22"/>
          <w:szCs w:val="22"/>
        </w:rPr>
        <w:t xml:space="preserve">Laube                            </w:t>
      </w:r>
      <w:r w:rsidR="008309E6" w:rsidRPr="00971ABE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714FA3" w:rsidRPr="00971ABE">
        <w:rPr>
          <w:rFonts w:asciiTheme="minorHAnsi" w:hAnsiTheme="minorHAnsi" w:cs="Arial"/>
          <w:sz w:val="22"/>
          <w:szCs w:val="22"/>
        </w:rPr>
        <w:t>I</w:t>
      </w:r>
      <w:r w:rsidR="00EC3194" w:rsidRPr="00971ABE">
        <w:rPr>
          <w:rFonts w:asciiTheme="minorHAnsi" w:hAnsiTheme="minorHAnsi" w:cs="Arial"/>
          <w:sz w:val="22"/>
          <w:szCs w:val="22"/>
          <w:shd w:val="clear" w:color="auto" w:fill="FFFFFF"/>
        </w:rPr>
        <w:t>ng.</w:t>
      </w:r>
      <w:proofErr w:type="gramEnd"/>
      <w:r w:rsidR="00EC3194" w:rsidRPr="00971AB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Josef Bürger</w:t>
      </w:r>
    </w:p>
    <w:p w:rsidR="002808DE" w:rsidRPr="00971ABE" w:rsidRDefault="007A1146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71ABE">
        <w:rPr>
          <w:rFonts w:asciiTheme="minorHAnsi" w:hAnsiTheme="minorHAnsi" w:cs="Arial"/>
          <w:sz w:val="22"/>
          <w:szCs w:val="22"/>
        </w:rPr>
        <w:t>jednatel</w:t>
      </w:r>
      <w:r w:rsidR="00105B5D" w:rsidRPr="00971ABE">
        <w:rPr>
          <w:rFonts w:asciiTheme="minorHAnsi" w:hAnsiTheme="minorHAnsi" w:cs="Arial"/>
          <w:sz w:val="22"/>
          <w:szCs w:val="22"/>
        </w:rPr>
        <w:t xml:space="preserve"> </w:t>
      </w:r>
      <w:r w:rsidRPr="00971ABE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105B5D" w:rsidRPr="00971ABE">
        <w:rPr>
          <w:rFonts w:asciiTheme="minorHAnsi" w:hAnsiTheme="minorHAnsi" w:cs="Arial"/>
          <w:sz w:val="22"/>
          <w:szCs w:val="22"/>
        </w:rPr>
        <w:t xml:space="preserve">                    </w:t>
      </w:r>
      <w:r w:rsidR="00714FA3" w:rsidRPr="00971ABE">
        <w:rPr>
          <w:rFonts w:asciiTheme="minorHAnsi" w:hAnsiTheme="minorHAnsi" w:cs="Arial"/>
          <w:sz w:val="22"/>
          <w:szCs w:val="22"/>
        </w:rPr>
        <w:t xml:space="preserve">                           ředitel</w:t>
      </w:r>
      <w:proofErr w:type="gramEnd"/>
      <w:r w:rsidR="00714FA3" w:rsidRPr="00971ABE">
        <w:rPr>
          <w:rFonts w:asciiTheme="minorHAnsi" w:hAnsiTheme="minorHAnsi" w:cs="Arial"/>
          <w:sz w:val="22"/>
          <w:szCs w:val="22"/>
        </w:rPr>
        <w:t xml:space="preserve"> Krajské pobočky Úřadu práce ČR v Brně</w:t>
      </w:r>
    </w:p>
    <w:sectPr w:rsidR="002808DE" w:rsidRPr="00971ABE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86" w:rsidRDefault="007B5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686" w:rsidRDefault="007B5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86" w:rsidRDefault="007B5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686" w:rsidRDefault="007B5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="00AF5DF0" w:rsidRPr="00BF7B32">
      <w:rPr>
        <w:rFonts w:ascii="Arial" w:hAnsi="Arial" w:cs="Arial"/>
        <w:sz w:val="22"/>
        <w:szCs w:val="22"/>
      </w:rPr>
      <w:t>3110251</w:t>
    </w:r>
    <w:r w:rsidR="007F1106">
      <w:rPr>
        <w:rFonts w:ascii="Arial" w:hAnsi="Arial" w:cs="Arial"/>
        <w:sz w:val="22"/>
        <w:szCs w:val="22"/>
      </w:rPr>
      <w:t>5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202BB"/>
    <w:rsid w:val="000356E8"/>
    <w:rsid w:val="000725A4"/>
    <w:rsid w:val="00094CF1"/>
    <w:rsid w:val="000B77A5"/>
    <w:rsid w:val="000B7CF9"/>
    <w:rsid w:val="000F0906"/>
    <w:rsid w:val="000F2D7E"/>
    <w:rsid w:val="00105B5D"/>
    <w:rsid w:val="00130031"/>
    <w:rsid w:val="001858AE"/>
    <w:rsid w:val="001A1797"/>
    <w:rsid w:val="001A417C"/>
    <w:rsid w:val="001D1D18"/>
    <w:rsid w:val="001D67F7"/>
    <w:rsid w:val="001F1F6A"/>
    <w:rsid w:val="001F6120"/>
    <w:rsid w:val="002123F8"/>
    <w:rsid w:val="002808DE"/>
    <w:rsid w:val="002938BD"/>
    <w:rsid w:val="00295A23"/>
    <w:rsid w:val="002C1EE6"/>
    <w:rsid w:val="002D0FC8"/>
    <w:rsid w:val="002E0C50"/>
    <w:rsid w:val="002E0F24"/>
    <w:rsid w:val="002E1169"/>
    <w:rsid w:val="002E680E"/>
    <w:rsid w:val="00311E4E"/>
    <w:rsid w:val="00395B75"/>
    <w:rsid w:val="003A4484"/>
    <w:rsid w:val="003A5DD7"/>
    <w:rsid w:val="003B2DB6"/>
    <w:rsid w:val="003C6E6D"/>
    <w:rsid w:val="003D42BB"/>
    <w:rsid w:val="003F21EE"/>
    <w:rsid w:val="0040484B"/>
    <w:rsid w:val="00407855"/>
    <w:rsid w:val="00431E1C"/>
    <w:rsid w:val="00433A55"/>
    <w:rsid w:val="004932F1"/>
    <w:rsid w:val="00497693"/>
    <w:rsid w:val="004F494B"/>
    <w:rsid w:val="00516916"/>
    <w:rsid w:val="00524944"/>
    <w:rsid w:val="0058181D"/>
    <w:rsid w:val="005C0784"/>
    <w:rsid w:val="005C3D73"/>
    <w:rsid w:val="005D3C56"/>
    <w:rsid w:val="005E05BC"/>
    <w:rsid w:val="005E70E9"/>
    <w:rsid w:val="00620E39"/>
    <w:rsid w:val="006403E4"/>
    <w:rsid w:val="00652CDC"/>
    <w:rsid w:val="006A3EAD"/>
    <w:rsid w:val="006C37E2"/>
    <w:rsid w:val="006C5765"/>
    <w:rsid w:val="006F088D"/>
    <w:rsid w:val="007001B6"/>
    <w:rsid w:val="007005D8"/>
    <w:rsid w:val="00701B7F"/>
    <w:rsid w:val="00714FA3"/>
    <w:rsid w:val="007326F5"/>
    <w:rsid w:val="00740E3E"/>
    <w:rsid w:val="0074726B"/>
    <w:rsid w:val="007546E3"/>
    <w:rsid w:val="0076528F"/>
    <w:rsid w:val="007A1146"/>
    <w:rsid w:val="007A467D"/>
    <w:rsid w:val="007B0122"/>
    <w:rsid w:val="007B5686"/>
    <w:rsid w:val="007C200D"/>
    <w:rsid w:val="007D654C"/>
    <w:rsid w:val="007F1106"/>
    <w:rsid w:val="00805745"/>
    <w:rsid w:val="008072AA"/>
    <w:rsid w:val="008309E6"/>
    <w:rsid w:val="008E7102"/>
    <w:rsid w:val="008E7DD0"/>
    <w:rsid w:val="008F300E"/>
    <w:rsid w:val="00942519"/>
    <w:rsid w:val="00971ABE"/>
    <w:rsid w:val="009822A9"/>
    <w:rsid w:val="009971C3"/>
    <w:rsid w:val="009C2440"/>
    <w:rsid w:val="009D5F75"/>
    <w:rsid w:val="009D7F38"/>
    <w:rsid w:val="009F1134"/>
    <w:rsid w:val="009F7B89"/>
    <w:rsid w:val="00A046BD"/>
    <w:rsid w:val="00A13EF7"/>
    <w:rsid w:val="00A14B73"/>
    <w:rsid w:val="00A2345F"/>
    <w:rsid w:val="00A2370C"/>
    <w:rsid w:val="00A56DD0"/>
    <w:rsid w:val="00AB5B72"/>
    <w:rsid w:val="00AB6BE3"/>
    <w:rsid w:val="00AF5DF0"/>
    <w:rsid w:val="00B122DE"/>
    <w:rsid w:val="00B40FDD"/>
    <w:rsid w:val="00B94798"/>
    <w:rsid w:val="00B949E2"/>
    <w:rsid w:val="00BE4263"/>
    <w:rsid w:val="00BF580C"/>
    <w:rsid w:val="00BF7B32"/>
    <w:rsid w:val="00C0460B"/>
    <w:rsid w:val="00C15C9E"/>
    <w:rsid w:val="00C43BE8"/>
    <w:rsid w:val="00C544F1"/>
    <w:rsid w:val="00C611A9"/>
    <w:rsid w:val="00CF3628"/>
    <w:rsid w:val="00D978F1"/>
    <w:rsid w:val="00DA5059"/>
    <w:rsid w:val="00DB667F"/>
    <w:rsid w:val="00DE3C9B"/>
    <w:rsid w:val="00E4424C"/>
    <w:rsid w:val="00E448B8"/>
    <w:rsid w:val="00E632EA"/>
    <w:rsid w:val="00E8796C"/>
    <w:rsid w:val="00E96D8C"/>
    <w:rsid w:val="00EA35B0"/>
    <w:rsid w:val="00EA7936"/>
    <w:rsid w:val="00EB4057"/>
    <w:rsid w:val="00EC3194"/>
    <w:rsid w:val="00EC58E6"/>
    <w:rsid w:val="00F5748A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FFC1-CBBF-4873-BB40-ABC7874B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2794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2</cp:revision>
  <cp:lastPrinted>2018-12-10T13:23:00Z</cp:lastPrinted>
  <dcterms:created xsi:type="dcterms:W3CDTF">2018-12-31T09:48:00Z</dcterms:created>
  <dcterms:modified xsi:type="dcterms:W3CDTF">2018-12-31T09:48:00Z</dcterms:modified>
</cp:coreProperties>
</file>