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E0" w:rsidRDefault="00B46BE0">
      <w:pPr>
        <w:spacing w:line="1" w:lineRule="exact"/>
      </w:pPr>
    </w:p>
    <w:p w:rsidR="00B46BE0" w:rsidRDefault="005B14AB">
      <w:pPr>
        <w:pStyle w:val="Zkladntext1"/>
        <w:shd w:val="clear" w:color="auto" w:fill="auto"/>
        <w:spacing w:after="580" w:line="240" w:lineRule="auto"/>
        <w:jc w:val="right"/>
      </w:pPr>
      <w:r>
        <w:t>Čj.NG/2181/</w:t>
      </w:r>
      <w:r w:rsidR="000F44B6">
        <w:t>2018</w:t>
      </w:r>
    </w:p>
    <w:p w:rsidR="005B14AB" w:rsidRDefault="005B14AB">
      <w:pPr>
        <w:pStyle w:val="Nadpis10"/>
        <w:keepNext/>
        <w:keepLines/>
        <w:shd w:val="clear" w:color="auto" w:fill="auto"/>
        <w:rPr>
          <w:sz w:val="32"/>
          <w:szCs w:val="32"/>
        </w:rPr>
      </w:pPr>
      <w:bookmarkStart w:id="0" w:name="bookmark0"/>
      <w:bookmarkStart w:id="1" w:name="bookmark1"/>
    </w:p>
    <w:p w:rsidR="00B46BE0" w:rsidRDefault="000F44B6">
      <w:pPr>
        <w:pStyle w:val="Nadpis10"/>
        <w:keepNext/>
        <w:keepLines/>
        <w:shd w:val="clear" w:color="auto" w:fill="auto"/>
      </w:pPr>
      <w:r>
        <w:rPr>
          <w:sz w:val="32"/>
          <w:szCs w:val="32"/>
        </w:rPr>
        <w:t>Dodatek č. 3</w:t>
      </w:r>
      <w:r>
        <w:rPr>
          <w:sz w:val="32"/>
          <w:szCs w:val="32"/>
        </w:rPr>
        <w:br/>
      </w:r>
      <w:r>
        <w:t>KE SMLOUVĚ O IMPLEMENTACI SOFTWARE A O POSKYTOVÁNÍ SLUŽEB</w:t>
      </w:r>
      <w:r>
        <w:br/>
        <w:t>ÚDRŽBY A PODPORY</w:t>
      </w:r>
      <w:bookmarkEnd w:id="0"/>
      <w:bookmarkEnd w:id="1"/>
    </w:p>
    <w:p w:rsidR="00B46BE0" w:rsidRDefault="000F44B6">
      <w:pPr>
        <w:pStyle w:val="Titulektabulky0"/>
        <w:shd w:val="clear" w:color="auto" w:fill="auto"/>
        <w:rPr>
          <w:b/>
          <w:bCs/>
        </w:rPr>
      </w:pPr>
      <w:r>
        <w:rPr>
          <w:b/>
          <w:bCs/>
        </w:rPr>
        <w:t>Objednatel:</w:t>
      </w:r>
    </w:p>
    <w:p w:rsidR="005B14AB" w:rsidRDefault="005B14AB">
      <w:pPr>
        <w:pStyle w:val="Titulektabulky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599"/>
      </w:tblGrid>
      <w:tr w:rsidR="00B46BE0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2376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</w:pPr>
            <w:r>
              <w:t>Název:</w:t>
            </w:r>
          </w:p>
        </w:tc>
        <w:tc>
          <w:tcPr>
            <w:tcW w:w="6599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rPr>
                <w:b/>
                <w:bCs/>
              </w:rPr>
              <w:t>Národní galerie</w:t>
            </w:r>
          </w:p>
        </w:tc>
      </w:tr>
      <w:tr w:rsidR="00B46BE0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2376" w:type="dxa"/>
            <w:shd w:val="clear" w:color="auto" w:fill="FFFFFF"/>
          </w:tcPr>
          <w:p w:rsidR="00B46BE0" w:rsidRDefault="000F44B6">
            <w:pPr>
              <w:pStyle w:val="Jin0"/>
              <w:shd w:val="clear" w:color="auto" w:fill="auto"/>
              <w:spacing w:before="120" w:after="0" w:line="240" w:lineRule="auto"/>
            </w:pPr>
            <w:r>
              <w:t>Sídlo:</w:t>
            </w:r>
          </w:p>
        </w:tc>
        <w:tc>
          <w:tcPr>
            <w:tcW w:w="6599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>Staroměstské náměstí 606/12</w:t>
            </w:r>
          </w:p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>110 00 Praha 1 - Staré Město, Hlavní město Praha</w:t>
            </w:r>
          </w:p>
        </w:tc>
      </w:tr>
      <w:tr w:rsidR="00B46BE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376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66" w:lineRule="auto"/>
            </w:pPr>
            <w:r>
              <w:t>Adresa pro písemný styk:</w:t>
            </w:r>
          </w:p>
        </w:tc>
        <w:tc>
          <w:tcPr>
            <w:tcW w:w="6599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>Staroměstské náměstí 606/12</w:t>
            </w:r>
          </w:p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>110 00 Praha 1 - Staré Město, Hlavní město Praha</w:t>
            </w:r>
          </w:p>
        </w:tc>
      </w:tr>
      <w:tr w:rsidR="00B46BE0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2376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</w:pPr>
            <w:r>
              <w:t>Zastoupen:</w:t>
            </w:r>
          </w:p>
          <w:p w:rsidR="00B46BE0" w:rsidRDefault="000F44B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IČ: 00023281</w:t>
            </w:r>
          </w:p>
          <w:p w:rsidR="00B46BE0" w:rsidRDefault="000F44B6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6599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rPr>
                <w:lang w:val="en-US" w:eastAsia="en-US" w:bidi="en-US"/>
              </w:rPr>
              <w:t xml:space="preserve">Doc. </w:t>
            </w:r>
            <w:r>
              <w:t>Dr. et Ing. Jiřím Fajtem, Ph.D., generálním ředitelem</w:t>
            </w:r>
          </w:p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240"/>
            </w:pPr>
            <w:r>
              <w:t xml:space="preserve">DIČ: </w:t>
            </w:r>
            <w:r>
              <w:rPr>
                <w:b/>
                <w:bCs/>
              </w:rPr>
              <w:t>CZ00023281</w:t>
            </w:r>
          </w:p>
          <w:p w:rsidR="00B46BE0" w:rsidRDefault="000F44B6">
            <w:pPr>
              <w:pStyle w:val="Jin0"/>
              <w:shd w:val="clear" w:color="auto" w:fill="auto"/>
              <w:tabs>
                <w:tab w:val="left" w:pos="2519"/>
                <w:tab w:val="left" w:pos="3988"/>
              </w:tabs>
              <w:spacing w:after="0" w:line="240" w:lineRule="auto"/>
              <w:ind w:firstLine="240"/>
            </w:pPr>
            <w:r>
              <w:t>ČNB</w:t>
            </w:r>
            <w:r>
              <w:tab/>
              <w:t>číslo účtu</w:t>
            </w:r>
            <w:r>
              <w:tab/>
              <w:t>050008-0008839011/0710</w:t>
            </w:r>
          </w:p>
        </w:tc>
      </w:tr>
    </w:tbl>
    <w:p w:rsidR="005B14AB" w:rsidRDefault="005B14AB">
      <w:pPr>
        <w:pStyle w:val="Titulektabulky0"/>
        <w:shd w:val="clear" w:color="auto" w:fill="auto"/>
      </w:pPr>
    </w:p>
    <w:p w:rsidR="00B46BE0" w:rsidRDefault="000F44B6">
      <w:pPr>
        <w:pStyle w:val="Titulektabulky0"/>
        <w:shd w:val="clear" w:color="auto" w:fill="auto"/>
      </w:pPr>
      <w:r>
        <w:t xml:space="preserve">jako objednatel na </w:t>
      </w:r>
      <w:r>
        <w:t>straně jedné (dále také jako „Objednatel“)</w:t>
      </w:r>
    </w:p>
    <w:p w:rsidR="005B14AB" w:rsidRDefault="005B14AB">
      <w:pPr>
        <w:pStyle w:val="Titulektabulky0"/>
        <w:shd w:val="clear" w:color="auto" w:fill="auto"/>
      </w:pPr>
    </w:p>
    <w:p w:rsidR="00B46BE0" w:rsidRDefault="005B14AB" w:rsidP="005B14AB">
      <w:pPr>
        <w:pStyle w:val="Titulektabulky0"/>
        <w:shd w:val="clear" w:color="auto" w:fill="auto"/>
      </w:pPr>
      <w:r>
        <w:t>a</w:t>
      </w:r>
    </w:p>
    <w:p w:rsidR="005B14AB" w:rsidRDefault="005B14AB" w:rsidP="005B14AB">
      <w:pPr>
        <w:pStyle w:val="Titulektabulky0"/>
        <w:shd w:val="clear" w:color="auto" w:fill="auto"/>
      </w:pPr>
    </w:p>
    <w:p w:rsidR="00B46BE0" w:rsidRDefault="00B46BE0">
      <w:pPr>
        <w:spacing w:line="1" w:lineRule="exact"/>
      </w:pPr>
    </w:p>
    <w:p w:rsidR="00B46BE0" w:rsidRDefault="000F44B6">
      <w:pPr>
        <w:pStyle w:val="Titulektabulky0"/>
        <w:shd w:val="clear" w:color="auto" w:fill="auto"/>
        <w:rPr>
          <w:b/>
          <w:bCs/>
        </w:rPr>
      </w:pPr>
      <w:r>
        <w:rPr>
          <w:b/>
          <w:bCs/>
        </w:rPr>
        <w:t>Zhotovitel:</w:t>
      </w:r>
    </w:p>
    <w:p w:rsidR="005B14AB" w:rsidRDefault="005B14AB">
      <w:pPr>
        <w:pStyle w:val="Titulektabulky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7"/>
        <w:gridCol w:w="6430"/>
      </w:tblGrid>
      <w:tr w:rsidR="00B46BE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257" w:type="dxa"/>
            <w:shd w:val="clear" w:color="auto" w:fill="FFFFFF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</w:pPr>
            <w:r>
              <w:t>Název:</w:t>
            </w:r>
          </w:p>
        </w:tc>
        <w:tc>
          <w:tcPr>
            <w:tcW w:w="6430" w:type="dxa"/>
            <w:shd w:val="clear" w:color="auto" w:fill="FFFFFF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rPr>
                <w:b/>
                <w:bCs/>
                <w:lang w:val="en-US" w:eastAsia="en-US" w:bidi="en-US"/>
              </w:rPr>
              <w:t xml:space="preserve">Altus </w:t>
            </w:r>
            <w:r>
              <w:rPr>
                <w:b/>
                <w:bCs/>
              </w:rPr>
              <w:t>software s.r.o.</w:t>
            </w:r>
          </w:p>
        </w:tc>
      </w:tr>
      <w:tr w:rsidR="00B46BE0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257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6430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380"/>
            </w:pPr>
            <w:proofErr w:type="spellStart"/>
            <w:r>
              <w:t>Rubeška</w:t>
            </w:r>
            <w:proofErr w:type="spellEnd"/>
            <w:r>
              <w:t xml:space="preserve"> 215/1, 190 00, Praha 9</w:t>
            </w:r>
          </w:p>
        </w:tc>
      </w:tr>
      <w:tr w:rsidR="00B46BE0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257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</w:pPr>
            <w:r>
              <w:t>Zastoupen:</w:t>
            </w:r>
          </w:p>
        </w:tc>
        <w:tc>
          <w:tcPr>
            <w:tcW w:w="6430" w:type="dxa"/>
            <w:shd w:val="clear" w:color="auto" w:fill="FFFFFF"/>
            <w:vAlign w:val="bottom"/>
          </w:tcPr>
          <w:p w:rsidR="00B46BE0" w:rsidRDefault="000F44B6">
            <w:pPr>
              <w:pStyle w:val="Jin0"/>
              <w:shd w:val="clear" w:color="auto" w:fill="auto"/>
              <w:spacing w:after="0" w:line="259" w:lineRule="auto"/>
              <w:ind w:left="380"/>
            </w:pPr>
            <w:r>
              <w:t xml:space="preserve">Mgr. Klárou </w:t>
            </w:r>
            <w:proofErr w:type="spellStart"/>
            <w:r>
              <w:t>Cerovskou</w:t>
            </w:r>
            <w:proofErr w:type="spellEnd"/>
            <w:r>
              <w:t>, výkonnou ředitelkou; na základě plné moci</w:t>
            </w:r>
          </w:p>
        </w:tc>
      </w:tr>
      <w:tr w:rsidR="00B46BE0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257" w:type="dxa"/>
            <w:shd w:val="clear" w:color="auto" w:fill="FFFFFF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IČ: 61681202</w:t>
            </w:r>
          </w:p>
        </w:tc>
        <w:tc>
          <w:tcPr>
            <w:tcW w:w="6430" w:type="dxa"/>
            <w:shd w:val="clear" w:color="auto" w:fill="FFFFFF"/>
          </w:tcPr>
          <w:p w:rsidR="00B46BE0" w:rsidRDefault="000F44B6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 xml:space="preserve">DIČ: </w:t>
            </w:r>
            <w:r>
              <w:rPr>
                <w:b/>
                <w:bCs/>
              </w:rPr>
              <w:t>CZ61681202</w:t>
            </w:r>
          </w:p>
        </w:tc>
      </w:tr>
    </w:tbl>
    <w:p w:rsidR="00B46BE0" w:rsidRDefault="000F44B6">
      <w:pPr>
        <w:pStyle w:val="Titulektabulky0"/>
        <w:shd w:val="clear" w:color="auto" w:fill="auto"/>
        <w:tabs>
          <w:tab w:val="left" w:pos="2621"/>
        </w:tabs>
        <w:ind w:left="108"/>
      </w:pPr>
      <w:r>
        <w:t>Bankovní spojení:</w:t>
      </w:r>
      <w:r>
        <w:tab/>
      </w:r>
      <w:r w:rsidR="005B14AB">
        <w:t xml:space="preserve">       </w:t>
      </w:r>
      <w:proofErr w:type="spellStart"/>
      <w:r>
        <w:rPr>
          <w:lang w:val="en-US" w:eastAsia="en-US" w:bidi="en-US"/>
        </w:rPr>
        <w:t>Raiffeisen</w:t>
      </w:r>
      <w:proofErr w:type="spellEnd"/>
      <w:r>
        <w:rPr>
          <w:lang w:val="en-US" w:eastAsia="en-US" w:bidi="en-US"/>
        </w:rPr>
        <w:t xml:space="preserve"> </w:t>
      </w:r>
      <w:r>
        <w:t xml:space="preserve">bank </w:t>
      </w:r>
      <w:r w:rsidR="005B14AB">
        <w:t xml:space="preserve">             </w:t>
      </w:r>
      <w:r>
        <w:t>číslo účtu 97643001/5500</w:t>
      </w:r>
    </w:p>
    <w:p w:rsidR="00B46BE0" w:rsidRDefault="000F44B6">
      <w:pPr>
        <w:pStyle w:val="Titulektabulky0"/>
        <w:shd w:val="clear" w:color="auto" w:fill="auto"/>
        <w:ind w:left="108"/>
      </w:pPr>
      <w:r>
        <w:t xml:space="preserve">Spol. je zapsána v </w:t>
      </w:r>
      <w:r>
        <w:rPr>
          <w:lang w:val="en-US" w:eastAsia="en-US" w:bidi="en-US"/>
        </w:rPr>
        <w:t xml:space="preserve">OR, </w:t>
      </w:r>
      <w:r>
        <w:t>spisová značka C 36329 vedená u Městského soudu v Praze.</w:t>
      </w:r>
    </w:p>
    <w:p w:rsidR="00B46BE0" w:rsidRDefault="00B46BE0">
      <w:pPr>
        <w:spacing w:after="359" w:line="1" w:lineRule="exact"/>
      </w:pPr>
    </w:p>
    <w:p w:rsidR="00B46BE0" w:rsidRDefault="000F44B6">
      <w:pPr>
        <w:pStyle w:val="Zkladntext1"/>
        <w:shd w:val="clear" w:color="auto" w:fill="auto"/>
        <w:spacing w:after="360" w:line="262" w:lineRule="auto"/>
      </w:pPr>
      <w:r>
        <w:t>Jako zhotovitel na straně druhé (dále také jako „Zhotovitel“)</w:t>
      </w:r>
    </w:p>
    <w:p w:rsidR="00B46BE0" w:rsidRDefault="000F44B6">
      <w:pPr>
        <w:pStyle w:val="Zkladntext1"/>
        <w:shd w:val="clear" w:color="auto" w:fill="auto"/>
        <w:spacing w:after="0" w:line="262" w:lineRule="auto"/>
        <w:jc w:val="both"/>
        <w:rPr>
          <w:b/>
          <w:bCs/>
        </w:rPr>
      </w:pPr>
      <w:r>
        <w:t>Uzavřeli dne 26. 6. 2017 Smlouvu o implementaci software a o poskytování</w:t>
      </w:r>
      <w:r>
        <w:t xml:space="preserve"> služeb údržby a podpory </w:t>
      </w:r>
      <w:proofErr w:type="gramStart"/>
      <w:r>
        <w:t>Č.j.</w:t>
      </w:r>
      <w:proofErr w:type="gramEnd"/>
      <w:r>
        <w:t xml:space="preserve"> NG 1276/2017 ve znění jejího Dodatku č. 1 ze dne 31. 5. 2018 a Dodatku č. 2 ze dne 29. 10. 2018, jejímž předmětem je implementace skladového a distribučního informačního systému </w:t>
      </w:r>
      <w:r>
        <w:rPr>
          <w:lang w:val="en-US" w:eastAsia="en-US" w:bidi="en-US"/>
        </w:rPr>
        <w:t xml:space="preserve">Altus </w:t>
      </w:r>
      <w:proofErr w:type="spellStart"/>
      <w:r>
        <w:t>Vario</w:t>
      </w:r>
      <w:proofErr w:type="spellEnd"/>
      <w:r>
        <w:t xml:space="preserve"> a poskytování služeb údržby a podpor</w:t>
      </w:r>
      <w:r>
        <w:t xml:space="preserve">y (dále jen </w:t>
      </w:r>
      <w:r>
        <w:rPr>
          <w:b/>
          <w:bCs/>
        </w:rPr>
        <w:t xml:space="preserve">„Smlouva“). </w:t>
      </w:r>
      <w:r>
        <w:t xml:space="preserve">Vzhledem k požadavku Objednatele na rozšíření funkčních vlastností informačního systému, konkrétně požadavku Objednatele na řešení automatického systému exportu objednávek ze systému </w:t>
      </w:r>
      <w:r>
        <w:rPr>
          <w:lang w:val="en-US" w:eastAsia="en-US" w:bidi="en-US"/>
        </w:rPr>
        <w:t xml:space="preserve">Altus </w:t>
      </w:r>
      <w:proofErr w:type="spellStart"/>
      <w:r>
        <w:t>Vario</w:t>
      </w:r>
      <w:proofErr w:type="spellEnd"/>
      <w:r>
        <w:t xml:space="preserve"> do účetního systému Objednatele, přič</w:t>
      </w:r>
      <w:r>
        <w:t xml:space="preserve">emž toto dodatečné plnění si vyžádá navýšení ceny plnění a vzhledem ke skutečnosti, že Smlouva v takovém případě předpokládá uzavření písemného dodatku (č/. 2.5, </w:t>
      </w:r>
      <w:r>
        <w:rPr>
          <w:i/>
          <w:iCs/>
        </w:rPr>
        <w:t>11.1, 13.7 Smlouvy)</w:t>
      </w:r>
      <w:r>
        <w:t xml:space="preserve"> uzavírají smluvní strany po vzájemném projednání níže uvedeného dne, měsíc</w:t>
      </w:r>
      <w:r>
        <w:t xml:space="preserve">e, roku tento dodatek č. 3 ke Smlouvě (dále jen </w:t>
      </w:r>
      <w:r>
        <w:rPr>
          <w:b/>
          <w:bCs/>
        </w:rPr>
        <w:t>„Dodatek“)</w:t>
      </w:r>
    </w:p>
    <w:p w:rsidR="005B14AB" w:rsidRDefault="005B14AB">
      <w:pPr>
        <w:pStyle w:val="Zkladntext1"/>
        <w:shd w:val="clear" w:color="auto" w:fill="auto"/>
        <w:spacing w:after="0" w:line="262" w:lineRule="auto"/>
        <w:jc w:val="both"/>
        <w:rPr>
          <w:b/>
          <w:bCs/>
        </w:rPr>
      </w:pPr>
    </w:p>
    <w:p w:rsidR="005B14AB" w:rsidRDefault="005B14AB">
      <w:pPr>
        <w:pStyle w:val="Zkladntext1"/>
        <w:shd w:val="clear" w:color="auto" w:fill="auto"/>
        <w:spacing w:after="0" w:line="262" w:lineRule="auto"/>
        <w:jc w:val="both"/>
        <w:rPr>
          <w:b/>
          <w:bCs/>
        </w:rPr>
      </w:pPr>
    </w:p>
    <w:p w:rsidR="005B14AB" w:rsidRDefault="005B14AB">
      <w:pPr>
        <w:pStyle w:val="Zkladntext1"/>
        <w:shd w:val="clear" w:color="auto" w:fill="auto"/>
        <w:spacing w:after="0" w:line="262" w:lineRule="auto"/>
        <w:jc w:val="both"/>
      </w:pPr>
    </w:p>
    <w:p w:rsidR="00B46BE0" w:rsidRDefault="000F44B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  <w:spacing w:line="240" w:lineRule="auto"/>
      </w:pPr>
      <w:bookmarkStart w:id="2" w:name="bookmark2"/>
      <w:bookmarkStart w:id="3" w:name="bookmark3"/>
      <w:r>
        <w:lastRenderedPageBreak/>
        <w:t>Předmět dodatku</w:t>
      </w:r>
      <w:bookmarkEnd w:id="2"/>
      <w:bookmarkEnd w:id="3"/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0" w:line="266" w:lineRule="auto"/>
        <w:ind w:left="720" w:hanging="720"/>
        <w:jc w:val="both"/>
      </w:pPr>
      <w:r>
        <w:t>Předmětem tohoto Dodatku je vymezení práv a povinností smluvních stran v návaznosti na nezbytnost provedení dodatečného, Smlouvou nepředpokládaného, plnění. Tento Dodatek se sjednáv</w:t>
      </w:r>
      <w:r>
        <w:t xml:space="preserve">á ve smyslu </w:t>
      </w:r>
      <w:r>
        <w:rPr>
          <w:i/>
          <w:iCs/>
        </w:rPr>
        <w:t>čl. 2.5, 11.1 s</w:t>
      </w:r>
      <w:r>
        <w:t xml:space="preserve"> 73.7 Smlouvy.</w:t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ind w:left="720" w:hanging="720"/>
        <w:jc w:val="both"/>
      </w:pPr>
      <w:r>
        <w:t>Ujednání Smlouvy nedotčená tímto Dodatkem zůstávají bez změny. V případě rozporu ustanovení tohoto Dodatku s ustanovením Smlouvy bude ustanovení Smlouvy vykládáno v souladu s účelem a zněním tohoto Dodatku</w:t>
      </w:r>
    </w:p>
    <w:p w:rsidR="00B46BE0" w:rsidRDefault="000F44B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</w:pPr>
      <w:bookmarkStart w:id="4" w:name="bookmark4"/>
      <w:bookmarkStart w:id="5" w:name="bookmark5"/>
      <w:r>
        <w:t xml:space="preserve">Změna </w:t>
      </w:r>
      <w:r>
        <w:t>předmětu plnění</w:t>
      </w:r>
      <w:bookmarkEnd w:id="4"/>
      <w:bookmarkEnd w:id="5"/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ind w:left="720" w:hanging="720"/>
        <w:jc w:val="both"/>
      </w:pPr>
      <w:r>
        <w:t xml:space="preserve">Smluvní strany tímto Dodatkem sjednávají změnu předmětu plnění Smlouvy, tj. doplnění plnění dle </w:t>
      </w:r>
      <w:r>
        <w:rPr>
          <w:i/>
          <w:iCs/>
        </w:rPr>
        <w:t>čl. 2.1</w:t>
      </w:r>
      <w:r>
        <w:t xml:space="preserve"> Smlouvy o dodatečné plnění spočívající ve vytvoření automatického systému exportu objednávek ze systému </w:t>
      </w:r>
      <w:r>
        <w:rPr>
          <w:lang w:val="en-US" w:eastAsia="en-US" w:bidi="en-US"/>
        </w:rPr>
        <w:t xml:space="preserve">Altus </w:t>
      </w:r>
      <w:proofErr w:type="spellStart"/>
      <w:r>
        <w:t>Vario</w:t>
      </w:r>
      <w:proofErr w:type="spellEnd"/>
      <w:r>
        <w:t xml:space="preserve"> do účetního systému </w:t>
      </w:r>
      <w:r>
        <w:t xml:space="preserve">Objednatele a jeho implementaci do stávajícího systému </w:t>
      </w:r>
      <w:r>
        <w:rPr>
          <w:lang w:val="en-US" w:eastAsia="en-US" w:bidi="en-US"/>
        </w:rPr>
        <w:t xml:space="preserve">Altus </w:t>
      </w:r>
      <w:proofErr w:type="spellStart"/>
      <w:r>
        <w:t>Vario</w:t>
      </w:r>
      <w:proofErr w:type="spellEnd"/>
      <w:r>
        <w:t xml:space="preserve"> a vytvoření a implementaci Doplňku na aktualizaci záznamů, a to v rozsahu a dle specifikace vyplývající z přílohy č. 1 tohoto Dodatku (nabídka Zhotovitele a návrh řešení + datová struktura)</w:t>
      </w:r>
      <w:r>
        <w:t>. Zhotovitel se zavazuje provést pro Objednatele dodatečné plnění specifikované v příloze č. 1 tohoto Dodatku a Objednatel se zavazuje uhradit za toto dodatečné plnění Zhotoviteli cenu.</w:t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jc w:val="both"/>
      </w:pPr>
      <w:r>
        <w:t xml:space="preserve">Vliv na dobu resp. termín plnění - </w:t>
      </w:r>
      <w:r>
        <w:rPr>
          <w:i/>
          <w:iCs/>
        </w:rPr>
        <w:t>oddíl 3. čl. 3.1</w:t>
      </w:r>
      <w:r>
        <w:t xml:space="preserve"> Smlouvy:</w:t>
      </w:r>
    </w:p>
    <w:p w:rsidR="00B46BE0" w:rsidRDefault="000F44B6">
      <w:pPr>
        <w:pStyle w:val="Zkladntext1"/>
        <w:shd w:val="clear" w:color="auto" w:fill="auto"/>
        <w:spacing w:after="240"/>
        <w:ind w:left="720" w:firstLine="20"/>
        <w:jc w:val="both"/>
      </w:pPr>
      <w:r>
        <w:t xml:space="preserve">Sjednání </w:t>
      </w:r>
      <w:r>
        <w:t xml:space="preserve">dodatečného plnění dle čl. 2.1 tohoto Dodatku nemá vliv na termín plnění původně sjednaného dle Smlouvy </w:t>
      </w:r>
      <w:r>
        <w:rPr>
          <w:i/>
          <w:iCs/>
        </w:rPr>
        <w:t>(čl. 2.1.1 a 2.1.2</w:t>
      </w:r>
      <w:r>
        <w:t xml:space="preserve"> ve spojení s </w:t>
      </w:r>
      <w:r>
        <w:rPr>
          <w:i/>
          <w:iCs/>
        </w:rPr>
        <w:t>čl. 3.1</w:t>
      </w:r>
      <w:r>
        <w:t xml:space="preserve"> Smlouvy).</w:t>
      </w:r>
    </w:p>
    <w:p w:rsidR="00B46BE0" w:rsidRDefault="000F44B6">
      <w:pPr>
        <w:pStyle w:val="Zkladntext1"/>
        <w:shd w:val="clear" w:color="auto" w:fill="auto"/>
        <w:spacing w:after="240"/>
        <w:ind w:left="720" w:firstLine="20"/>
        <w:jc w:val="both"/>
      </w:pPr>
      <w:r>
        <w:t xml:space="preserve">Dodatečné plnění dle čl. 2.1 Dodatku bude provedeno </w:t>
      </w:r>
      <w:r>
        <w:rPr>
          <w:b/>
          <w:bCs/>
        </w:rPr>
        <w:t xml:space="preserve">do 1 měsíce </w:t>
      </w:r>
      <w:r>
        <w:t>od nabytí účinnosti tohoto Dodatku.</w:t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jc w:val="both"/>
      </w:pPr>
      <w:r>
        <w:t>Vl</w:t>
      </w:r>
      <w:r>
        <w:t xml:space="preserve">iv na cenu - </w:t>
      </w:r>
      <w:r>
        <w:rPr>
          <w:i/>
          <w:iCs/>
        </w:rPr>
        <w:t>oddíl 6. čl. 5.1 - 5.4</w:t>
      </w:r>
      <w:r>
        <w:t xml:space="preserve"> Smlouvy:</w:t>
      </w:r>
    </w:p>
    <w:p w:rsidR="00B46BE0" w:rsidRDefault="000F44B6">
      <w:pPr>
        <w:pStyle w:val="Zkladntext1"/>
        <w:shd w:val="clear" w:color="auto" w:fill="auto"/>
        <w:spacing w:after="500"/>
        <w:ind w:left="720" w:firstLine="20"/>
        <w:jc w:val="both"/>
      </w:pPr>
      <w:r>
        <w:t xml:space="preserve">Cena dodatečného plnění dle čl. 2.1 tohoto Dodatku je smluvními stranami sjednána celkem ve výši </w:t>
      </w:r>
      <w:r>
        <w:rPr>
          <w:b/>
          <w:bCs/>
        </w:rPr>
        <w:t xml:space="preserve">94.000,- Kč </w:t>
      </w:r>
      <w:r>
        <w:t xml:space="preserve">bez DPH, tj. 113.740,- Kč včetně DPH. O tuto částku se zvyšuje celková cena dle </w:t>
      </w:r>
      <w:r>
        <w:rPr>
          <w:i/>
          <w:iCs/>
        </w:rPr>
        <w:t>čl. 5.1 resp. 5.2</w:t>
      </w:r>
      <w:r>
        <w:t xml:space="preserve"> Smlo</w:t>
      </w:r>
      <w:r>
        <w:t>uvy. Bližší specifikace ceny za jednotlivé dílčí složky dodatečného plnění dle čl. 2.1 tohoto Dodatku je obsažena v příloze č. 1 tohoto Dodatku. Tato cena je konečná a nejvýše přípustná.</w:t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jc w:val="both"/>
      </w:pPr>
      <w:r>
        <w:t xml:space="preserve">Vliv na platební podmínky - </w:t>
      </w:r>
      <w:r>
        <w:rPr>
          <w:i/>
          <w:iCs/>
        </w:rPr>
        <w:t>oddíl 6. Smlouvy.</w:t>
      </w:r>
    </w:p>
    <w:p w:rsidR="00B46BE0" w:rsidRDefault="000F44B6">
      <w:pPr>
        <w:pStyle w:val="Zkladntext1"/>
        <w:shd w:val="clear" w:color="auto" w:fill="auto"/>
        <w:spacing w:after="240" w:line="262" w:lineRule="auto"/>
        <w:ind w:left="720" w:firstLine="20"/>
        <w:jc w:val="both"/>
      </w:pPr>
      <w:r>
        <w:t>Cena za dodatečné plněn</w:t>
      </w:r>
      <w:r>
        <w:t xml:space="preserve">í dle čl. 2.1 Dodatku bude Zhotovitelem fakturována po převzetí celého dodatečného plnění a jeho akceptaci ze strany Objednatele </w:t>
      </w:r>
      <w:r>
        <w:rPr>
          <w:i/>
          <w:iCs/>
        </w:rPr>
        <w:t xml:space="preserve">(oddíl 8 Smlouvy). </w:t>
      </w:r>
      <w:r>
        <w:t>Splatnost faktury je 30 dní od doručení.</w:t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500" w:line="262" w:lineRule="auto"/>
        <w:ind w:left="720" w:hanging="720"/>
        <w:jc w:val="both"/>
      </w:pPr>
      <w:r>
        <w:t xml:space="preserve">Pro vyloučení pochybností smluvní strany uvádějí, že na dodatečná </w:t>
      </w:r>
      <w:r>
        <w:t>plnění poskytnutá na základě Dodatků ke Smlouvě se vztahují licenční ujednání dle Smlouvy, přičemž cena za poskytnutí licence je vždy zahrnuta v ceně za dodatečné plnění, nebude-li mezi smluvními stranami ujednáno jinak.</w:t>
      </w:r>
    </w:p>
    <w:p w:rsidR="00B46BE0" w:rsidRDefault="000F44B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</w:pPr>
      <w:bookmarkStart w:id="6" w:name="bookmark6"/>
      <w:bookmarkStart w:id="7" w:name="bookmark7"/>
      <w:r>
        <w:t>Závěrečná ustanovení</w:t>
      </w:r>
      <w:bookmarkEnd w:id="6"/>
      <w:bookmarkEnd w:id="7"/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ind w:left="720" w:hanging="720"/>
        <w:jc w:val="both"/>
      </w:pPr>
      <w:r>
        <w:t xml:space="preserve">Tento Dodatek </w:t>
      </w:r>
      <w:r>
        <w:t>je vyhotoven ve třech stejnopisech, z nichž dva stejnopisy obdrží Objednatel a jeden Zhotovitel.</w:t>
      </w:r>
      <w:r>
        <w:br w:type="page"/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0"/>
        <w:ind w:left="720" w:hanging="720"/>
        <w:jc w:val="both"/>
      </w:pPr>
      <w:r>
        <w:lastRenderedPageBreak/>
        <w:t>Tento Dodatek nabývá platnosti a účinnosti dnem podpisu oprávněnými zástupci obou smluvních stran. Pokud se na tento Dodatek vztahuje povinnost uveřejnění pro</w:t>
      </w:r>
      <w:r>
        <w:t>střednictvím registru smluv, nabývá tento Dodatek účinnosti dnem uveřejnění.</w:t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0"/>
        <w:ind w:left="720" w:hanging="720"/>
        <w:jc w:val="both"/>
      </w:pPr>
      <w:r>
        <w:t xml:space="preserve">Pro případ povinnosti uveřejnění tohoto Dodatku dle zákona č. 340/2015 Sb., o zvláštních podmínkách účinnosti některých smluv, uveřejňování těchto smluv a o registru smluv (zákon </w:t>
      </w:r>
      <w:r>
        <w:t>o registru smluv) smluvní strany sjednávají, že uveřejnění provede Objednatel. Obě strany berou na vědomí, že nebudou uveřejněny pouze ty informace, které nelze poskytnout podle předpisů upravujících svobodný přístup k informacím. Považuje-li druhá smluvní</w:t>
      </w:r>
      <w:r>
        <w:t xml:space="preserve"> strana některé informace uvedené v tomto Dodatku za informace, které nemají být uveřejněny v registru smluv dle zákona o registru smluv, je povinna na to Objednatele současně s uzavřením tohoto Dodatku písemně upozornit. Zhotovitel výslovně souhlasí s tím</w:t>
      </w:r>
      <w:r>
        <w:t>, že Objednatel v případě pochybností o tom, zda je dána povinnost uveřejnění tohoto Dodatku v registru smluv, tento Dodatek v zájmu transparentnosti a právní jistoty uveřejní.</w:t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0"/>
        <w:jc w:val="both"/>
      </w:pPr>
      <w:r>
        <w:t>Nedílnou součástí tohoto Dodatku je jeho příloha č. 1.</w:t>
      </w:r>
    </w:p>
    <w:p w:rsidR="00B46BE0" w:rsidRDefault="000F44B6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after="0"/>
        <w:ind w:left="720" w:hanging="720"/>
        <w:jc w:val="both"/>
        <w:sectPr w:rsidR="00B46BE0">
          <w:footerReference w:type="default" r:id="rId7"/>
          <w:pgSz w:w="11900" w:h="16840"/>
          <w:pgMar w:top="1396" w:right="1336" w:bottom="1729" w:left="1135" w:header="968" w:footer="3" w:gutter="0"/>
          <w:pgNumType w:start="1"/>
          <w:cols w:space="720"/>
          <w:noEndnote/>
          <w:docGrid w:linePitch="360"/>
        </w:sectPr>
      </w:pPr>
      <w:r>
        <w:t>Obě smluvní strany prohlašují, že tento Dodatek je projevem jejich svobodné, vážně míněné a omylu prosté vůle, což stvrzují svými podpisy.</w:t>
      </w:r>
    </w:p>
    <w:p w:rsidR="00B46BE0" w:rsidRDefault="00B46BE0">
      <w:pPr>
        <w:spacing w:line="240" w:lineRule="exact"/>
        <w:rPr>
          <w:sz w:val="19"/>
          <w:szCs w:val="19"/>
        </w:rPr>
      </w:pPr>
    </w:p>
    <w:p w:rsidR="00B46BE0" w:rsidRDefault="00B46BE0">
      <w:pPr>
        <w:spacing w:line="240" w:lineRule="exact"/>
        <w:rPr>
          <w:sz w:val="19"/>
          <w:szCs w:val="19"/>
        </w:rPr>
      </w:pPr>
    </w:p>
    <w:p w:rsidR="00B46BE0" w:rsidRDefault="00B46BE0">
      <w:pPr>
        <w:spacing w:line="1" w:lineRule="exact"/>
        <w:sectPr w:rsidR="00B46BE0">
          <w:type w:val="continuous"/>
          <w:pgSz w:w="11900" w:h="16840"/>
          <w:pgMar w:top="1427" w:right="0" w:bottom="1481" w:left="0" w:header="0" w:footer="3" w:gutter="0"/>
          <w:cols w:space="720"/>
          <w:noEndnote/>
          <w:docGrid w:linePitch="360"/>
        </w:sectPr>
      </w:pPr>
    </w:p>
    <w:p w:rsidR="005B14AB" w:rsidRDefault="005B14AB" w:rsidP="005B14AB">
      <w:pPr>
        <w:pStyle w:val="Titulekobrzku0"/>
        <w:framePr w:w="8329" w:h="1011" w:wrap="none" w:vAnchor="text" w:hAnchor="page" w:x="1184" w:y="267"/>
        <w:shd w:val="clear" w:color="auto" w:fill="auto"/>
        <w:jc w:val="left"/>
      </w:pPr>
      <w:r>
        <w:t>V  Praze  dne:  7. 12. 2018</w:t>
      </w:r>
      <w:r>
        <w:tab/>
      </w:r>
      <w:r>
        <w:tab/>
      </w:r>
      <w:r>
        <w:tab/>
      </w:r>
      <w:r>
        <w:tab/>
        <w:t>V  Praze  dne:  17. 12. 2018</w:t>
      </w:r>
    </w:p>
    <w:p w:rsidR="005B14AB" w:rsidRDefault="005B14AB" w:rsidP="005B14AB">
      <w:pPr>
        <w:pStyle w:val="Titulekobrzku0"/>
        <w:framePr w:w="8329" w:h="1011" w:wrap="none" w:vAnchor="text" w:hAnchor="page" w:x="1184" w:y="267"/>
        <w:shd w:val="clear" w:color="auto" w:fill="auto"/>
        <w:jc w:val="left"/>
      </w:pPr>
    </w:p>
    <w:p w:rsidR="005B14AB" w:rsidRDefault="005B14AB" w:rsidP="005B14AB">
      <w:pPr>
        <w:pStyle w:val="Titulekobrzku0"/>
        <w:framePr w:w="8329" w:h="1011" w:wrap="none" w:vAnchor="text" w:hAnchor="page" w:x="1184" w:y="267"/>
        <w:shd w:val="clear" w:color="auto" w:fill="auto"/>
        <w:jc w:val="left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B46BE0" w:rsidRDefault="00B46BE0">
      <w:pPr>
        <w:spacing w:line="360" w:lineRule="exact"/>
      </w:pPr>
    </w:p>
    <w:p w:rsidR="00B46BE0" w:rsidRDefault="005B14AB">
      <w:pPr>
        <w:spacing w:line="360" w:lineRule="exact"/>
      </w:pPr>
      <w:r>
        <w:t xml:space="preserve"> </w:t>
      </w:r>
    </w:p>
    <w:p w:rsidR="00B46BE0" w:rsidRDefault="00B46BE0">
      <w:pPr>
        <w:spacing w:line="360" w:lineRule="exact"/>
      </w:pPr>
    </w:p>
    <w:p w:rsidR="00B46BE0" w:rsidRDefault="00B46BE0">
      <w:pPr>
        <w:spacing w:line="360" w:lineRule="exact"/>
      </w:pPr>
    </w:p>
    <w:p w:rsidR="00B46BE0" w:rsidRDefault="00B46BE0">
      <w:pPr>
        <w:spacing w:after="481" w:line="1" w:lineRule="exact"/>
      </w:pPr>
    </w:p>
    <w:p w:rsidR="00B46BE0" w:rsidRDefault="00B46BE0">
      <w:pPr>
        <w:spacing w:line="1" w:lineRule="exact"/>
        <w:sectPr w:rsidR="00B46BE0">
          <w:type w:val="continuous"/>
          <w:pgSz w:w="11900" w:h="16840"/>
          <w:pgMar w:top="1427" w:right="1461" w:bottom="1481" w:left="1019" w:header="0" w:footer="3" w:gutter="0"/>
          <w:cols w:space="720"/>
          <w:noEndnote/>
          <w:docGrid w:linePitch="360"/>
        </w:sectPr>
      </w:pPr>
    </w:p>
    <w:p w:rsidR="00B46BE0" w:rsidRDefault="000F44B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12700</wp:posOffset>
                </wp:positionV>
                <wp:extent cx="2023110" cy="35179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BE0" w:rsidRDefault="000F44B6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  <w:ind w:left="720" w:hanging="72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Doc. </w:t>
                            </w:r>
                            <w:r>
                              <w:t xml:space="preserve">Dr.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Ing. Jiřím Fajtem, Ph</w:t>
                            </w:r>
                            <w:r w:rsidR="005B14AB">
                              <w:t>.D.,</w:t>
                            </w:r>
                            <w:r>
                              <w:t xml:space="preserve"> generálním ředitelem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93.85pt;margin-top:1pt;width:159.3pt;height:27.7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" filled="f" stroked="f">
                <v:textbox inset="0,0,0,0">
                  <w:txbxContent>
                    <w:p w:rsidR="00B46BE0" w:rsidRDefault="000F44B6">
                      <w:pPr>
                        <w:pStyle w:val="Zkladntext1"/>
                        <w:shd w:val="clear" w:color="auto" w:fill="auto"/>
                        <w:spacing w:after="0" w:line="266" w:lineRule="auto"/>
                        <w:ind w:left="720" w:hanging="720"/>
                      </w:pPr>
                      <w:r>
                        <w:rPr>
                          <w:lang w:val="en-US" w:eastAsia="en-US" w:bidi="en-US"/>
                        </w:rPr>
                        <w:t xml:space="preserve">Doc. </w:t>
                      </w:r>
                      <w:r>
                        <w:t xml:space="preserve">Dr.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Ing. Jiřím Fajtem, Ph</w:t>
                      </w:r>
                      <w:r w:rsidR="005B14AB">
                        <w:t>.D.,</w:t>
                      </w:r>
                      <w:r>
                        <w:t xml:space="preserve"> generálním ředitelem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46BE0" w:rsidRDefault="000F44B6">
      <w:pPr>
        <w:pStyle w:val="Zkladntext1"/>
        <w:pBdr>
          <w:top w:val="single" w:sz="4" w:space="0" w:color="auto"/>
        </w:pBdr>
        <w:shd w:val="clear" w:color="auto" w:fill="auto"/>
        <w:spacing w:after="0" w:line="266" w:lineRule="auto"/>
        <w:jc w:val="center"/>
      </w:pPr>
      <w:r>
        <w:t xml:space="preserve">na základě plné moci ze dne </w:t>
      </w:r>
      <w:proofErr w:type="gramStart"/>
      <w:r>
        <w:t>30.3.2018</w:t>
      </w:r>
      <w:proofErr w:type="gramEnd"/>
      <w:r>
        <w:br/>
        <w:t xml:space="preserve">Klára </w:t>
      </w:r>
      <w:proofErr w:type="spellStart"/>
      <w:r>
        <w:t>Cerovská</w:t>
      </w:r>
      <w:proofErr w:type="spellEnd"/>
      <w:r>
        <w:t>, výkonná ředitelka</w:t>
      </w:r>
      <w:r>
        <w:br/>
      </w:r>
      <w:r>
        <w:rPr>
          <w:lang w:val="en-US" w:eastAsia="en-US" w:bidi="en-US"/>
        </w:rPr>
        <w:t xml:space="preserve">Altus </w:t>
      </w:r>
      <w:r>
        <w:t>software s.r.o.</w:t>
      </w:r>
    </w:p>
    <w:p w:rsidR="00B46BE0" w:rsidRDefault="00B46BE0">
      <w:pPr>
        <w:jc w:val="center"/>
        <w:rPr>
          <w:sz w:val="2"/>
          <w:szCs w:val="2"/>
        </w:rPr>
      </w:pPr>
      <w:bookmarkStart w:id="8" w:name="_GoBack"/>
      <w:bookmarkEnd w:id="8"/>
    </w:p>
    <w:sectPr w:rsidR="00B46BE0">
      <w:type w:val="continuous"/>
      <w:pgSz w:w="11900" w:h="16840"/>
      <w:pgMar w:top="1427" w:right="1461" w:bottom="1581" w:left="49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B6" w:rsidRDefault="000F44B6">
      <w:r>
        <w:separator/>
      </w:r>
    </w:p>
  </w:endnote>
  <w:endnote w:type="continuationSeparator" w:id="0">
    <w:p w:rsidR="000F44B6" w:rsidRDefault="000F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E0" w:rsidRDefault="000F44B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9754235</wp:posOffset>
              </wp:positionV>
              <wp:extent cx="29845" cy="84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6BE0" w:rsidRDefault="000F44B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B14AB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5pt;margin-top:768.05pt;width:2.35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" filled="f" stroked="f">
              <v:textbox style="mso-fit-shape-to-text:t" inset="0,0,0,0">
                <w:txbxContent>
                  <w:p w:rsidR="00B46BE0" w:rsidRDefault="000F44B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 w:rsidR="005B14AB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B6" w:rsidRDefault="000F44B6"/>
  </w:footnote>
  <w:footnote w:type="continuationSeparator" w:id="0">
    <w:p w:rsidR="000F44B6" w:rsidRDefault="000F4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BE2"/>
    <w:multiLevelType w:val="multilevel"/>
    <w:tmpl w:val="070A6A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E0"/>
    <w:rsid w:val="000F44B6"/>
    <w:rsid w:val="005B14AB"/>
    <w:rsid w:val="00B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06C9"/>
  <w15:docId w15:val="{11FDF7AE-4548-427D-BDFA-A17CE4AE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 w:line="271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4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kopirka1.PK-20181227114156</dc:title>
  <dc:subject/>
  <dc:creator/>
  <cp:keywords/>
  <cp:lastModifiedBy>Zdenka Šímová</cp:lastModifiedBy>
  <cp:revision>2</cp:revision>
  <dcterms:created xsi:type="dcterms:W3CDTF">2018-12-27T09:11:00Z</dcterms:created>
  <dcterms:modified xsi:type="dcterms:W3CDTF">2018-12-27T09:19:00Z</dcterms:modified>
</cp:coreProperties>
</file>