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F8A8" w14:textId="4FE78489" w:rsidR="008F202A" w:rsidRPr="005969E4" w:rsidRDefault="005969E4" w:rsidP="005969E4">
      <w:pPr>
        <w:pStyle w:val="Nzev"/>
        <w:spacing w:before="0" w:after="120"/>
        <w:jc w:val="left"/>
        <w:rPr>
          <w:rFonts w:asciiTheme="minorHAnsi" w:hAnsiTheme="minorHAnsi" w:cs="Arial"/>
          <w:caps/>
          <w:color w:val="000000"/>
          <w:sz w:val="20"/>
        </w:rPr>
      </w:pPr>
      <w:bookmarkStart w:id="0" w:name="_GoBack"/>
      <w:bookmarkEnd w:id="0"/>
      <w:r>
        <w:rPr>
          <w:rFonts w:asciiTheme="minorHAnsi" w:hAnsiTheme="minorHAnsi" w:cs="Arial"/>
          <w:caps/>
          <w:color w:val="000000"/>
          <w:sz w:val="20"/>
        </w:rPr>
        <w:t>příloha č. 1</w:t>
      </w:r>
    </w:p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A07AF2">
        <w:rPr>
          <w:rFonts w:asciiTheme="minorHAnsi" w:hAnsiTheme="minorHAnsi" w:cs="Arial"/>
          <w:b w:val="0"/>
          <w:color w:val="000000"/>
          <w:sz w:val="20"/>
        </w:rPr>
        <w:t>uzavřená v souladu s § 2</w:t>
      </w:r>
      <w:r w:rsidR="00886DB4" w:rsidRPr="00A07AF2">
        <w:rPr>
          <w:rFonts w:asciiTheme="minorHAnsi" w:hAnsiTheme="minorHAnsi" w:cs="Arial"/>
          <w:b w:val="0"/>
          <w:color w:val="000000"/>
          <w:sz w:val="20"/>
        </w:rPr>
        <w:t>079</w:t>
      </w:r>
      <w:r w:rsidRPr="00A07AF2">
        <w:rPr>
          <w:rFonts w:asciiTheme="minorHAnsi" w:hAnsiTheme="minorHAnsi" w:cs="Arial"/>
          <w:b w:val="0"/>
          <w:color w:val="000000"/>
          <w:sz w:val="20"/>
        </w:rPr>
        <w:t xml:space="preserve"> a násl. zákona č. 89/2012 Sb., občanský zákoník, v platném znění (dále jen „občanský zákoník“)</w:t>
      </w:r>
      <w:r w:rsidR="00671615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122C522E" w14:textId="6CAB1864" w:rsidR="00B0377B" w:rsidRPr="002251F7" w:rsidRDefault="00886DB4" w:rsidP="00BF2672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="00CE306A" w:rsidRPr="002251F7">
        <w:rPr>
          <w:rFonts w:asciiTheme="minorHAnsi" w:hAnsiTheme="minorHAnsi" w:cs="Arial"/>
          <w:b/>
        </w:rPr>
        <w:tab/>
      </w:r>
      <w:r w:rsidR="003E1008" w:rsidRPr="00FC34C5">
        <w:rPr>
          <w:rFonts w:ascii="Calibri" w:hAnsi="Calibri"/>
          <w:b/>
        </w:rPr>
        <w:t>Obchodní akademie Kroměříž</w:t>
      </w:r>
    </w:p>
    <w:p w14:paraId="122C5230" w14:textId="4C8CB62D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907EEB" w:rsidRPr="002251F7">
        <w:rPr>
          <w:rFonts w:asciiTheme="minorHAnsi" w:hAnsiTheme="minorHAnsi" w:cs="Arial"/>
        </w:rPr>
        <w:t>: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Obvodová 3503, 767 01 Kroměříž</w:t>
      </w:r>
    </w:p>
    <w:p w14:paraId="122C5231" w14:textId="01EE9ED2" w:rsidR="00B0377B" w:rsidRPr="002251F7" w:rsidRDefault="00907EE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63458730</w:t>
      </w:r>
    </w:p>
    <w:p w14:paraId="7BC89A43" w14:textId="313A07B1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18557F">
        <w:rPr>
          <w:rFonts w:asciiTheme="minorHAnsi" w:hAnsiTheme="minorHAnsi"/>
        </w:rPr>
        <w:t>CZ63458730</w:t>
      </w:r>
    </w:p>
    <w:p w14:paraId="122C5232" w14:textId="6022F3F3" w:rsidR="00B0377B" w:rsidRPr="002251F7" w:rsidRDefault="006310B8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zástupce</w:t>
      </w:r>
      <w:r w:rsidR="00B0377B" w:rsidRPr="002251F7">
        <w:rPr>
          <w:rFonts w:asciiTheme="minorHAnsi" w:hAnsiTheme="minorHAnsi" w:cs="Arial"/>
        </w:rPr>
        <w:t xml:space="preserve"> 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PhDr. Mojmír Šemnický, MBA – ředitel školy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1EA20DAE" w14:textId="00E410F3" w:rsidR="00D65960" w:rsidRPr="00D65960" w:rsidRDefault="00D65960" w:rsidP="00D65960">
      <w:pPr>
        <w:spacing w:after="60"/>
        <w:ind w:left="2126" w:hanging="2126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  <w:b/>
        </w:rPr>
        <w:t>Prodávající</w:t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  <w:b/>
        </w:rPr>
        <w:t>TC servis, s.r.o.</w:t>
      </w:r>
    </w:p>
    <w:p w14:paraId="49F39B43" w14:textId="6F183E8C" w:rsidR="00D65960" w:rsidRPr="00D65960" w:rsidRDefault="00D65960" w:rsidP="00D65960">
      <w:pPr>
        <w:spacing w:after="12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  <w:bCs/>
        </w:rPr>
        <w:t xml:space="preserve">společnost zapsaná v obchodním rejstříku vedeném </w:t>
      </w:r>
      <w:r w:rsidR="004A55E6">
        <w:rPr>
          <w:rFonts w:asciiTheme="minorHAnsi" w:hAnsiTheme="minorHAnsi" w:cstheme="minorHAnsi"/>
          <w:bCs/>
          <w:lang w:val="en-US"/>
        </w:rPr>
        <w:t>Krajským soudem v Brně, oddíl C, vložka 31071</w:t>
      </w:r>
    </w:p>
    <w:p w14:paraId="21982505" w14:textId="2F98FFAA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se sídlem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tř. Tomáše Bati 1845, 765 02 Otrokovice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</w:p>
    <w:p w14:paraId="64D0F5D3" w14:textId="7B133A58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IČO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25533673</w:t>
      </w:r>
    </w:p>
    <w:p w14:paraId="3F7384A8" w14:textId="7531198E" w:rsidR="00D65960" w:rsidRPr="00D65960" w:rsidRDefault="00D65960" w:rsidP="00D65960">
      <w:pPr>
        <w:spacing w:after="40"/>
        <w:ind w:left="2124" w:hanging="2124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DIČ</w:t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CZ25533673</w:t>
      </w:r>
    </w:p>
    <w:p w14:paraId="4DB4F52D" w14:textId="3257BB72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zastoupený</w:t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Ing. Markem Kojeckým</w:t>
      </w:r>
    </w:p>
    <w:p w14:paraId="322E9883" w14:textId="350607C9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bankovní spojení</w:t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Komerční banka a.s.</w:t>
      </w:r>
    </w:p>
    <w:p w14:paraId="409DB946" w14:textId="1535EBFE" w:rsidR="00D65960" w:rsidRPr="00D65960" w:rsidRDefault="00D65960" w:rsidP="00D65960">
      <w:pPr>
        <w:spacing w:after="40"/>
        <w:rPr>
          <w:rFonts w:asciiTheme="minorHAnsi" w:hAnsiTheme="minorHAnsi" w:cstheme="minorHAnsi"/>
        </w:rPr>
      </w:pPr>
      <w:r w:rsidRPr="00D65960">
        <w:rPr>
          <w:rFonts w:asciiTheme="minorHAnsi" w:hAnsiTheme="minorHAnsi" w:cstheme="minorHAnsi"/>
        </w:rPr>
        <w:t>číslo účtu</w:t>
      </w:r>
      <w:r w:rsidRPr="00D65960">
        <w:rPr>
          <w:rStyle w:val="Znakapoznpodarou"/>
          <w:rFonts w:asciiTheme="minorHAnsi" w:hAnsiTheme="minorHAnsi" w:cstheme="minorHAnsi"/>
        </w:rPr>
        <w:footnoteReference w:id="1"/>
      </w:r>
      <w:r w:rsidRPr="00D65960">
        <w:rPr>
          <w:rFonts w:asciiTheme="minorHAnsi" w:hAnsiTheme="minorHAnsi" w:cstheme="minorHAnsi"/>
        </w:rPr>
        <w:tab/>
      </w:r>
      <w:r w:rsidRPr="00D65960">
        <w:rPr>
          <w:rFonts w:asciiTheme="minorHAnsi" w:hAnsiTheme="minorHAnsi" w:cstheme="minorHAnsi"/>
        </w:rPr>
        <w:tab/>
      </w:r>
      <w:r w:rsidR="004A55E6">
        <w:rPr>
          <w:rFonts w:asciiTheme="minorHAnsi" w:hAnsiTheme="minorHAnsi" w:cstheme="minorHAnsi"/>
        </w:rPr>
        <w:t>27-214920267/0100</w:t>
      </w:r>
    </w:p>
    <w:p w14:paraId="122C523E" w14:textId="31C64717" w:rsidR="00B0377B" w:rsidRPr="002251F7" w:rsidRDefault="00B0377B" w:rsidP="000F74B1">
      <w:pPr>
        <w:spacing w:after="40"/>
        <w:rPr>
          <w:rFonts w:asciiTheme="minorHAnsi" w:hAnsiTheme="minorHAnsi" w:cs="Arial"/>
        </w:rPr>
      </w:pPr>
    </w:p>
    <w:p w14:paraId="75EF4DBF" w14:textId="778A096E" w:rsidR="00C54318" w:rsidRPr="002251F7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122C5241" w14:textId="1F590BEF" w:rsidR="00B0377B" w:rsidRPr="002251F7" w:rsidRDefault="00B0377B" w:rsidP="00DA57A0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Tato smlouva je uzavírána s</w:t>
      </w:r>
      <w:r w:rsidR="00DA74C1" w:rsidRPr="002251F7">
        <w:rPr>
          <w:rFonts w:asciiTheme="minorHAnsi" w:hAnsiTheme="minorHAnsi" w:cs="Arial"/>
          <w:color w:val="000000"/>
          <w:sz w:val="24"/>
          <w:szCs w:val="24"/>
        </w:rPr>
        <w:t>mluvními stranami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na základě výsledku </w:t>
      </w:r>
      <w:r w:rsidR="002B6821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 nazvané</w:t>
      </w:r>
      <w:r w:rsidR="00BF2EF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B2FEF" w:rsidRPr="000B2FEF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 w:rsidR="00364B5E">
        <w:rPr>
          <w:rFonts w:asciiTheme="minorHAnsi" w:hAnsiTheme="minorHAnsi" w:cs="Arial"/>
          <w:b/>
          <w:color w:val="000000"/>
          <w:sz w:val="24"/>
          <w:szCs w:val="24"/>
        </w:rPr>
        <w:t>Server OAKM“</w:t>
      </w:r>
      <w:r w:rsidRPr="00F85159">
        <w:rPr>
          <w:rFonts w:asciiTheme="minorHAnsi" w:hAnsiTheme="minorHAnsi" w:cs="Arial"/>
          <w:b/>
          <w:i/>
          <w:color w:val="000000"/>
          <w:sz w:val="24"/>
          <w:szCs w:val="24"/>
        </w:rPr>
        <w:t>.</w:t>
      </w:r>
    </w:p>
    <w:p w14:paraId="122C5244" w14:textId="0731E281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093E8E29" w14:textId="5C2D323B" w:rsidR="002347CB" w:rsidRPr="002251F7" w:rsidRDefault="002347CB" w:rsidP="002A2480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2A2480" w:rsidRPr="002A2480">
        <w:rPr>
          <w:rFonts w:asciiTheme="minorHAnsi" w:hAnsiTheme="minorHAnsi" w:cs="Arial"/>
          <w:b/>
          <w:sz w:val="24"/>
          <w:szCs w:val="24"/>
        </w:rPr>
        <w:t>PhDr. Mojmír Šemnický, MBA – ředitel školy</w:t>
      </w:r>
    </w:p>
    <w:p w14:paraId="122C5247" w14:textId="241ACD4A" w:rsidR="00B0377B" w:rsidRPr="002251F7" w:rsidRDefault="00B0377B" w:rsidP="006C4527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>:</w:t>
      </w:r>
      <w:r w:rsidR="002347CB"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3802C8">
        <w:rPr>
          <w:rFonts w:asciiTheme="minorHAnsi" w:hAnsiTheme="minorHAnsi" w:cs="Arial"/>
          <w:b/>
          <w:sz w:val="24"/>
          <w:szCs w:val="24"/>
        </w:rPr>
        <w:t>Ing. Jiří Kouřil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03A20C9C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D54A0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A55E6">
        <w:rPr>
          <w:rFonts w:asciiTheme="minorHAnsi" w:hAnsiTheme="minorHAnsi" w:cs="Arial"/>
          <w:color w:val="000000"/>
          <w:sz w:val="24"/>
          <w:szCs w:val="24"/>
          <w:lang w:val="en-US"/>
        </w:rPr>
        <w:t>Marek Kojecký</w:t>
      </w:r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2251F7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69F4A131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3ACE506" w14:textId="2378E24C" w:rsidR="006E0A02" w:rsidRPr="002251F7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Základním podkladem pro uzavření této smlouvy je nabídka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podaná dne </w:t>
      </w:r>
      <w:r w:rsidR="004A55E6">
        <w:rPr>
          <w:rFonts w:asciiTheme="minorHAnsi" w:hAnsiTheme="minorHAnsi" w:cs="Arial"/>
          <w:sz w:val="24"/>
          <w:szCs w:val="24"/>
        </w:rPr>
        <w:t xml:space="preserve">3. 12. 2018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v rámci </w:t>
      </w:r>
      <w:r w:rsidR="002D29C2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261C40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zakázky.</w:t>
      </w:r>
    </w:p>
    <w:p w14:paraId="122C525D" w14:textId="419D05CC" w:rsidR="000610E8" w:rsidRPr="002251F7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dodávky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je vymezen následující dokumentací, která tvoří přílohy této smlouvy:</w:t>
      </w:r>
    </w:p>
    <w:p w14:paraId="07B7EB1E" w14:textId="117A0F58" w:rsidR="00261C40" w:rsidRDefault="005969E4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Příloha č. 1</w:t>
      </w:r>
      <w:r w:rsidR="00261C40" w:rsidRPr="008065BA"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>Technická specifikace</w:t>
      </w:r>
    </w:p>
    <w:p w14:paraId="122C5266" w14:textId="3FF42BDD" w:rsidR="0080710F" w:rsidRPr="000E64D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prohl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ašuje, že všechny technické a dodací podmínky byly před podpisem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smlouvy v rámci </w:t>
      </w:r>
      <w:r w:rsidR="008412CD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řízení, na základě jehož výsledku je uzavřena tato smlouva, zahrnuty </w:t>
      </w:r>
      <w:r w:rsidR="00D17D71" w:rsidRPr="000E64D6">
        <w:rPr>
          <w:rFonts w:asciiTheme="minorHAnsi" w:hAnsiTheme="minorHAnsi" w:cs="Arial"/>
          <w:color w:val="000000"/>
          <w:sz w:val="24"/>
          <w:szCs w:val="24"/>
        </w:rPr>
        <w:t xml:space="preserve">do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jeho nabídky</w:t>
      </w:r>
      <w:r w:rsidR="005E4D65"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9F11FC" w14:textId="13E005F5" w:rsidR="00261C40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dále prohlašuje,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že realizaci dodávek a souvisejících služeb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dle této smlouvy provede v souladu se zadávací dokumentací veřejné zakázky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, uvedené v článku 1 této smlouvy,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včetně všech jejích vysvětlení zadavatelem.</w:t>
      </w:r>
    </w:p>
    <w:p w14:paraId="122C526E" w14:textId="37682312" w:rsidR="00B0377B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upozorní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na zjištěné zjevné vady a nedostatky</w:t>
      </w:r>
      <w:r w:rsidR="007E79C1" w:rsidRPr="000E64D6">
        <w:rPr>
          <w:rFonts w:asciiTheme="minorHAnsi" w:hAnsiTheme="minorHAnsi" w:cs="Arial"/>
          <w:color w:val="000000"/>
          <w:sz w:val="24"/>
          <w:szCs w:val="24"/>
        </w:rPr>
        <w:t xml:space="preserve"> podkladů pro uzavření smlouvy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. Případný soupis zjištěných vad a nedostatků předané dokumentace včetně návrhů na jejich odstranění a dopadem na </w:t>
      </w:r>
      <w:r w:rsidR="00203025" w:rsidRPr="000E64D6">
        <w:rPr>
          <w:rFonts w:asciiTheme="minorHAnsi" w:hAnsiTheme="minorHAnsi" w:cs="Arial"/>
          <w:color w:val="000000"/>
          <w:sz w:val="24"/>
          <w:szCs w:val="24"/>
        </w:rPr>
        <w:t>kupní cenu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předá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po provedení kontroly.</w:t>
      </w:r>
      <w:r w:rsidR="00B2136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77821B6" w14:textId="77777777" w:rsidR="0016618F" w:rsidRDefault="0016618F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22C526F" w14:textId="12A5C043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4</w:t>
      </w:r>
    </w:p>
    <w:p w14:paraId="122C5270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Předmět smlouvy</w:t>
      </w:r>
    </w:p>
    <w:p w14:paraId="1AD55A04" w14:textId="572834F2" w:rsidR="00E676C5" w:rsidRPr="000E64D6" w:rsidRDefault="00E676C5" w:rsidP="00DC2EF3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5883">
        <w:rPr>
          <w:rFonts w:asciiTheme="minorHAnsi" w:hAnsiTheme="minorHAnsi" w:cs="Arial"/>
          <w:color w:val="000000"/>
          <w:sz w:val="24"/>
          <w:szCs w:val="24"/>
        </w:rPr>
        <w:t>Prodávající se zavazuje dodat</w:t>
      </w:r>
      <w:r w:rsidR="00DE256F" w:rsidRPr="00F0588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F05883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A92F63" w:rsidRPr="00F0588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4B5E">
        <w:rPr>
          <w:rFonts w:asciiTheme="minorHAnsi" w:hAnsiTheme="minorHAnsi" w:cs="Arial"/>
          <w:b/>
          <w:color w:val="000000"/>
          <w:sz w:val="24"/>
          <w:szCs w:val="24"/>
        </w:rPr>
        <w:t>server</w:t>
      </w:r>
      <w:r w:rsidR="00295342" w:rsidRPr="000E64D6">
        <w:rPr>
          <w:rFonts w:asciiTheme="minorHAnsi" w:hAnsiTheme="minorHAnsi" w:cs="Arial"/>
          <w:color w:val="000000"/>
          <w:sz w:val="24"/>
          <w:szCs w:val="24"/>
        </w:rPr>
        <w:t>, a to v počtech a specifikacích uvedených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v příloze č. 1, která tvoří nedílnou součást této smlouvy (dále jen „zboží“), včetně dohodnutých záručních podmínek a převést vlastnická práva k předmětu plnění na kupujícího, a to v rozsahu a za podmínek stanovených v této smlouvě.</w:t>
      </w:r>
      <w:r w:rsidR="003F347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>Prodávající dále zajistí dopravu zboží</w:t>
      </w:r>
      <w:r w:rsidR="00A56851" w:rsidRPr="000E64D6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 xml:space="preserve"> jeho </w:t>
      </w:r>
      <w:r w:rsidR="00CA65BF" w:rsidRPr="000E64D6">
        <w:rPr>
          <w:rFonts w:asciiTheme="minorHAnsi" w:hAnsiTheme="minorHAnsi" w:cs="Arial"/>
          <w:color w:val="000000"/>
          <w:sz w:val="24"/>
          <w:szCs w:val="24"/>
        </w:rPr>
        <w:t>ustavení a montáž</w:t>
      </w:r>
      <w:r w:rsidR="007B4D5B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="005C2C3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71" w14:textId="247F5BBA" w:rsidR="000D0DC9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Doba a místo plnění</w:t>
      </w:r>
    </w:p>
    <w:p w14:paraId="1E68FD50" w14:textId="6B9B16AD" w:rsidR="00E676C5" w:rsidRPr="000E64D6" w:rsidRDefault="00E676C5" w:rsidP="009A0D63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Místem plnění je 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budova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Obchodní akademie Kroměříž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Předmět smlouvy bude dodán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prodávajícím do sídla uživatele pořízeného zboží na adresu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Obvodová 3503, 767 01 Kroměříž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CCAAE25" w14:textId="3CC30EBC" w:rsidR="00E676C5" w:rsidRPr="002251F7" w:rsidRDefault="00E676C5" w:rsidP="00486B1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55098">
        <w:rPr>
          <w:rFonts w:asciiTheme="minorHAnsi" w:hAnsiTheme="minorHAnsi" w:cs="Arial"/>
          <w:color w:val="000000"/>
          <w:sz w:val="24"/>
          <w:szCs w:val="24"/>
        </w:rPr>
        <w:t xml:space="preserve">Zboží bude dodáno </w:t>
      </w:r>
      <w:r w:rsidR="00486B15" w:rsidRPr="00655098">
        <w:rPr>
          <w:rFonts w:asciiTheme="minorHAnsi" w:hAnsiTheme="minorHAnsi" w:cs="Arial"/>
          <w:b/>
          <w:color w:val="000000"/>
          <w:sz w:val="24"/>
          <w:szCs w:val="24"/>
        </w:rPr>
        <w:t xml:space="preserve">nejpozději </w:t>
      </w:r>
      <w:r w:rsidR="005969E4">
        <w:rPr>
          <w:rFonts w:asciiTheme="minorHAnsi" w:hAnsiTheme="minorHAnsi" w:cs="Arial"/>
          <w:b/>
          <w:color w:val="000000"/>
          <w:sz w:val="24"/>
          <w:szCs w:val="24"/>
        </w:rPr>
        <w:t xml:space="preserve">do </w:t>
      </w:r>
      <w:r w:rsidR="004054E5">
        <w:rPr>
          <w:rFonts w:asciiTheme="minorHAnsi" w:hAnsiTheme="minorHAnsi" w:cs="Arial"/>
          <w:b/>
          <w:color w:val="000000"/>
          <w:sz w:val="24"/>
          <w:szCs w:val="24"/>
        </w:rPr>
        <w:t>31</w:t>
      </w:r>
      <w:r w:rsidR="003802C8" w:rsidRPr="00655098">
        <w:rPr>
          <w:rFonts w:asciiTheme="minorHAnsi" w:hAnsiTheme="minorHAnsi" w:cs="Arial"/>
          <w:b/>
          <w:color w:val="000000"/>
          <w:sz w:val="24"/>
          <w:szCs w:val="24"/>
        </w:rPr>
        <w:t xml:space="preserve">. </w:t>
      </w:r>
      <w:r w:rsidR="00364B5E">
        <w:rPr>
          <w:rFonts w:asciiTheme="minorHAnsi" w:hAnsiTheme="minorHAnsi" w:cs="Arial"/>
          <w:b/>
          <w:color w:val="000000"/>
          <w:sz w:val="24"/>
          <w:szCs w:val="24"/>
        </w:rPr>
        <w:t>12</w:t>
      </w:r>
      <w:r w:rsidR="003802C8" w:rsidRPr="00655098">
        <w:rPr>
          <w:rFonts w:asciiTheme="minorHAnsi" w:hAnsiTheme="minorHAnsi" w:cs="Arial"/>
          <w:b/>
          <w:color w:val="000000"/>
          <w:sz w:val="24"/>
          <w:szCs w:val="24"/>
        </w:rPr>
        <w:t>. 2018</w:t>
      </w:r>
      <w:r w:rsidRPr="00655098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p w14:paraId="7C88F9D2" w14:textId="4B59387D" w:rsidR="00220ACC" w:rsidRPr="002251F7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dodání zboží bude prodávajícím oznámen </w:t>
      </w:r>
      <w:r w:rsidR="00D11247">
        <w:rPr>
          <w:rFonts w:asciiTheme="minorHAnsi" w:hAnsiTheme="minorHAnsi" w:cs="Arial"/>
          <w:color w:val="000000"/>
          <w:sz w:val="24"/>
          <w:szCs w:val="24"/>
        </w:rPr>
        <w:t>písemně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dnů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22C52AC" w14:textId="192F00C2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 plně funkční a jeho použití nepodléhá žádným právním omezením.</w:t>
      </w:r>
    </w:p>
    <w:p w14:paraId="7AA1C6BB" w14:textId="693A4546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listu, který bude obsahovat kontaktní údaje o prodávajícím, číslo smlouvy, datum dodávky, jméno a podpis předávajícího a přejímajíc</w:t>
      </w:r>
      <w:r w:rsidR="00260474" w:rsidRPr="002251F7">
        <w:rPr>
          <w:rFonts w:asciiTheme="minorHAnsi" w:hAnsiTheme="minorHAnsi" w:cs="Arial"/>
          <w:color w:val="000000"/>
          <w:sz w:val="24"/>
          <w:szCs w:val="24"/>
        </w:rPr>
        <w:t>ího, konfiguraci, 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dobu záruky.</w:t>
      </w:r>
      <w:r w:rsidR="0071264E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Jeden výtisk dodacího listu zůstane kupujícímu při převzetí zboží.</w:t>
      </w:r>
    </w:p>
    <w:p w14:paraId="036E64B0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</w:p>
    <w:p w14:paraId="3D1969E3" w14:textId="27791AAC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5DD012F" w14:textId="69632CBB" w:rsidR="005C1F42" w:rsidRPr="002251F7" w:rsidRDefault="00CE6923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 řádné instalaci, montáži a</w:t>
      </w:r>
      <w:r w:rsidR="00A56851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 proběhne akceptační řízení. Výsledkem akceptačního řízení mohou být</w:t>
      </w:r>
      <w:r w:rsidR="005C1F42" w:rsidRPr="002251F7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74E5629C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BF6D1C">
        <w:rPr>
          <w:rFonts w:asciiTheme="minorHAnsi" w:hAnsiTheme="minorHAnsi" w:cs="Arial"/>
          <w:color w:val="000000"/>
          <w:sz w:val="24"/>
          <w:szCs w:val="24"/>
        </w:rPr>
        <w:t>e a montáže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12FFFAEA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Kupní cena</w:t>
      </w:r>
    </w:p>
    <w:p w14:paraId="0741D87F" w14:textId="4D4A7435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zboží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4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>této smlouvy, v podrobném členění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uvedeném </w:t>
      </w:r>
      <w:r w:rsidR="005969E4">
        <w:rPr>
          <w:rFonts w:asciiTheme="minorHAnsi" w:hAnsiTheme="minorHAnsi" w:cs="Arial"/>
          <w:color w:val="000000"/>
          <w:sz w:val="24"/>
          <w:szCs w:val="24"/>
        </w:rPr>
        <w:t>v technické specifikaci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 xml:space="preserve"> (příloha č. 1)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 činí</w:t>
      </w:r>
    </w:p>
    <w:p w14:paraId="24BF7B9D" w14:textId="4AA9E2C9" w:rsidR="001E2F27" w:rsidRPr="001E2F27" w:rsidRDefault="001E2F27" w:rsidP="001E2F27">
      <w:pPr>
        <w:pStyle w:val="Zkladntext"/>
        <w:spacing w:before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color w:val="000000"/>
          <w:sz w:val="24"/>
          <w:szCs w:val="24"/>
        </w:rPr>
        <w:t>Celková cena v Kč bez DPH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A55E6">
        <w:rPr>
          <w:rFonts w:asciiTheme="minorHAnsi" w:hAnsiTheme="minorHAnsi" w:cstheme="minorHAnsi"/>
          <w:color w:val="000000"/>
          <w:sz w:val="24"/>
          <w:szCs w:val="24"/>
        </w:rPr>
        <w:t>113 980 Kč</w:t>
      </w:r>
    </w:p>
    <w:p w14:paraId="60F5EA69" w14:textId="02171C84" w:rsidR="001E2F27" w:rsidRPr="001E2F27" w:rsidRDefault="001E2F27" w:rsidP="001E2F27">
      <w:pPr>
        <w:pStyle w:val="Zkladntext"/>
        <w:spacing w:before="12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color w:val="000000"/>
          <w:sz w:val="24"/>
          <w:szCs w:val="24"/>
        </w:rPr>
        <w:t>DPH v Kč samostatně</w:t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E2F2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A55E6">
        <w:rPr>
          <w:rFonts w:asciiTheme="minorHAnsi" w:hAnsiTheme="minorHAnsi" w:cstheme="minorHAnsi"/>
          <w:color w:val="000000"/>
          <w:sz w:val="24"/>
          <w:szCs w:val="24"/>
        </w:rPr>
        <w:t>23 935,80 Kč</w:t>
      </w:r>
    </w:p>
    <w:p w14:paraId="2993C37E" w14:textId="7DA8ECD8" w:rsidR="001E2F27" w:rsidRPr="002251F7" w:rsidRDefault="001E2F27" w:rsidP="001E2F27">
      <w:pPr>
        <w:pStyle w:val="Zkladntext"/>
        <w:spacing w:before="120" w:after="24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>Celková cena v Kč včetně DPH</w:t>
      </w:r>
      <w:r w:rsidRPr="001E2F2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A55E6">
        <w:rPr>
          <w:rFonts w:asciiTheme="minorHAnsi" w:hAnsiTheme="minorHAnsi" w:cstheme="minorHAnsi"/>
          <w:b/>
          <w:color w:val="000000"/>
          <w:sz w:val="24"/>
          <w:szCs w:val="24"/>
        </w:rPr>
        <w:t>137 915,80 Kč</w:t>
      </w:r>
    </w:p>
    <w:p w14:paraId="17975244" w14:textId="1033C676" w:rsidR="009C1D7B" w:rsidRPr="002251F7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(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2251F7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583E90">
        <w:rPr>
          <w:rFonts w:asciiTheme="minorHAnsi" w:hAnsiTheme="minorHAnsi" w:cs="Arial"/>
          <w:color w:val="000000"/>
          <w:sz w:val="24"/>
          <w:szCs w:val="24"/>
        </w:rPr>
        <w:t xml:space="preserve"> atd.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39D16C0C" w14:textId="0A623D05" w:rsidR="008750B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za realizaci předmětu smlouvy bude uhrazena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jednorázově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(faktury).</w:t>
      </w:r>
    </w:p>
    <w:p w14:paraId="3B5E0A67" w14:textId="7B473E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Prodávající je oprávněn vystavit fakturu po řádně realizovaném plnění předmětu smlouvy bez vad na základě řádného akceptačního protokolu 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smlouvy,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4D51E0C8" w14:textId="148BD433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</w:t>
      </w:r>
      <w:r w:rsidR="00CD722D">
        <w:rPr>
          <w:rFonts w:asciiTheme="minorHAnsi" w:hAnsiTheme="minorHAnsi" w:cs="Arial"/>
          <w:color w:val="000000"/>
          <w:sz w:val="24"/>
          <w:szCs w:val="24"/>
        </w:rPr>
        <w:t> technické specifikace/soupisu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39034DE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protokol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7E440E34" w14:textId="44D5527E" w:rsidR="008A4099" w:rsidRPr="002251F7" w:rsidRDefault="008A4099" w:rsidP="008A409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poskytne v souladu s podmínkami veřejné zakázky záruku v délce </w:t>
      </w:r>
      <w:r w:rsidR="0004281F">
        <w:rPr>
          <w:rFonts w:asciiTheme="minorHAnsi" w:hAnsiTheme="minorHAnsi" w:cs="Arial"/>
          <w:color w:val="000000"/>
          <w:sz w:val="24"/>
          <w:szCs w:val="24"/>
        </w:rPr>
        <w:t>dle technické specifikace/soupisu</w:t>
      </w:r>
      <w:r w:rsidR="00D05833">
        <w:rPr>
          <w:rFonts w:asciiTheme="minorHAnsi" w:hAnsiTheme="minorHAnsi" w:cs="Arial"/>
          <w:color w:val="000000"/>
          <w:sz w:val="24"/>
          <w:szCs w:val="24"/>
        </w:rPr>
        <w:t xml:space="preserve"> dodávek</w:t>
      </w:r>
      <w:r w:rsidR="0004281F">
        <w:rPr>
          <w:rFonts w:asciiTheme="minorHAnsi" w:hAnsiTheme="minorHAnsi" w:cs="Arial"/>
          <w:color w:val="000000"/>
          <w:sz w:val="24"/>
          <w:szCs w:val="24"/>
        </w:rPr>
        <w:t xml:space="preserve"> (příloha č. 1 této smlouvy)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ode dne převzetí zboží (datum akceptačního protokolu).</w:t>
      </w:r>
    </w:p>
    <w:p w14:paraId="1C1C22B4" w14:textId="2D71EB06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7263B822" w:rsidR="009C1D7B" w:rsidRPr="002251F7" w:rsidRDefault="009C1D7B" w:rsidP="001E2F27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r w:rsidR="004A55E6">
        <w:rPr>
          <w:rFonts w:asciiTheme="minorHAnsi" w:hAnsiTheme="minorHAnsi" w:cs="Arial"/>
          <w:color w:val="000000"/>
          <w:sz w:val="24"/>
          <w:szCs w:val="24"/>
        </w:rPr>
        <w:t>hotline@tcservis.cz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nebo v pracovní době telefonicky na telefonním čísle </w:t>
      </w:r>
      <w:r w:rsidR="004A55E6">
        <w:rPr>
          <w:rFonts w:asciiTheme="minorHAnsi" w:hAnsiTheme="minorHAnsi" w:cs="Arial"/>
          <w:color w:val="000000"/>
          <w:sz w:val="24"/>
          <w:szCs w:val="24"/>
        </w:rPr>
        <w:t>840 111 221.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Servisní případ se považuje za nahlášený buď okamžikem telefonického nahlášení, nebo obdržením emailového potvrzení o doručení na poštovní server prodávajícího, který musí tuto službu automaticky poskytovat. 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7777777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67587705" w14:textId="3200187D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77777777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dohodly na možném odstoupení od Smlouvy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ze zákonných důvodů.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54D0174D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lastRenderedPageBreak/>
        <w:t>Smluvní pokuty a úroky z prodlení</w:t>
      </w:r>
    </w:p>
    <w:p w14:paraId="29F55408" w14:textId="0579DBB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0,05 % z</w:t>
      </w:r>
      <w:r w:rsidR="005224D0">
        <w:rPr>
          <w:rFonts w:asciiTheme="minorHAnsi" w:hAnsiTheme="minorHAnsi" w:cs="Arial"/>
          <w:color w:val="000000"/>
          <w:sz w:val="24"/>
          <w:szCs w:val="24"/>
        </w:rPr>
        <w:t> celkové kupní ceny včetně DPH uvedené v článku 7 odst. 1 této smlouvy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za každý den prodlení, nebo může kupující od smlouvy odstoupit.</w:t>
      </w:r>
    </w:p>
    <w:p w14:paraId="43A579D1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2CD6F11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Při nesplnění záručních podmínek vzniká kupujícímu nárok na smluvní pokutu ve výši </w:t>
      </w:r>
      <w:r w:rsidR="00DB13CB">
        <w:rPr>
          <w:rFonts w:asciiTheme="minorHAnsi" w:hAnsiTheme="minorHAnsi" w:cs="Arial"/>
          <w:color w:val="000000"/>
          <w:sz w:val="24"/>
          <w:szCs w:val="24"/>
        </w:rPr>
        <w:t>0,05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% ceny předmětného zboží za každý započatý pracovní den</w:t>
      </w:r>
      <w:r w:rsidR="004D1CA9">
        <w:rPr>
          <w:rFonts w:asciiTheme="minorHAnsi" w:hAnsiTheme="minorHAnsi" w:cs="Arial"/>
          <w:color w:val="000000"/>
          <w:sz w:val="24"/>
          <w:szCs w:val="24"/>
        </w:rPr>
        <w:t xml:space="preserve"> prodlení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nad rámec stanoveného termínu pro odstranění vad.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C823ED9" w14:textId="332855DD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6302733" w14:textId="77777777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Na zboží nejsou vztaženy žádné další podmínky případně omezení, které není přímo uvedeno v této smlouvě.</w:t>
      </w:r>
    </w:p>
    <w:p w14:paraId="235667F4" w14:textId="09714A9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185F47BB" w:rsidR="00F93466" w:rsidRPr="002251F7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dodávky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a jeho financováním (způsobem dle zákona 563/1991 Sb., o účetnictví v platném znění) včetně účetních dokladů minimálně do konce roku 2028 nebo po dobu nejméně 10 let ode dne poslední platby za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dodané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závazná je lhůta, která je delší.</w:t>
      </w:r>
    </w:p>
    <w:p w14:paraId="4C8E3D4A" w14:textId="775C3626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5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4ED8454A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643727F2" w14:textId="524A284A" w:rsidR="00B57BC6" w:rsidRPr="00F74A24" w:rsidRDefault="00B57BC6" w:rsidP="00B57BC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74A24">
        <w:rPr>
          <w:rFonts w:asciiTheme="minorHAnsi" w:hAnsiTheme="minorHAnsi" w:cs="Arial"/>
          <w:color w:val="000000"/>
          <w:sz w:val="24"/>
          <w:szCs w:val="24"/>
        </w:rPr>
        <w:t xml:space="preserve">Prodávající prohlašuje, v případě, že je plátcem DPH, že: </w:t>
      </w:r>
    </w:p>
    <w:p w14:paraId="79D20D85" w14:textId="3708CDCA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nemá v úmyslu nezaplatit daň z přidané hodnoty 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zdanitelného plnění podle této </w:t>
      </w:r>
      <w:r w:rsidRPr="00B57BC6">
        <w:rPr>
          <w:rFonts w:asciiTheme="minorHAnsi" w:hAnsiTheme="minorHAnsi" w:cs="Arial"/>
          <w:color w:val="000000"/>
          <w:sz w:val="24"/>
          <w:szCs w:val="24"/>
        </w:rPr>
        <w:t>smlouvy (dále jen „daň“),</w:t>
      </w:r>
    </w:p>
    <w:p w14:paraId="3B7B3144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mu nejsou známy skutečnosti, nasvědčující tomu, že se dostane do postavení, kdy nemůže daň zaplatit a ani se ke dni podpisu této smlouvy v takovém postavení nenachází,</w:t>
      </w:r>
    </w:p>
    <w:p w14:paraId="215E43D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nezkrátí daň nebo nevyláká daňovou výhodu,</w:t>
      </w:r>
    </w:p>
    <w:p w14:paraId="003A1EB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nebude nespolehlivým plátcem,</w:t>
      </w:r>
    </w:p>
    <w:p w14:paraId="3F92D875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bude mít u správce daně registrován bankovní účet používaný pro ekonomickou činnost,</w:t>
      </w:r>
    </w:p>
    <w:p w14:paraId="25038D23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souhlasí s tím, že pokud ke dni uskutečnění zdanitelného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1E66A437" w14:textId="144A2C05" w:rsidR="00B57BC6" w:rsidRP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lastRenderedPageBreak/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31370C60" w14:textId="7ADAF98D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7777777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prohlašují, že žádná část smlouvy nenaplňuje znaky obchodního tajemství (§ 504 zákona č. 89/2012 Sb., občanský zákoník). </w:t>
      </w:r>
    </w:p>
    <w:p w14:paraId="2F7BA7E7" w14:textId="73FBADA3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objednatelem.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62624BA5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06C2B7D0" w14:textId="451B7408" w:rsidR="00165B83" w:rsidRDefault="00165B83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1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technická specifikace</w:t>
      </w:r>
      <w:r w:rsidR="00DC6204">
        <w:rPr>
          <w:rFonts w:asciiTheme="minorHAnsi" w:hAnsiTheme="minorHAnsi" w:cs="Arial"/>
          <w:color w:val="000000"/>
          <w:sz w:val="24"/>
          <w:szCs w:val="24"/>
        </w:rPr>
        <w:t xml:space="preserve">/soupis 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shodně prohlašují, že smlouva byla podepsána dle jejich přání a svobodné vůle a na důkaz toho k ní připojují své právoplatné podpisy.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7BBB8C5F" w:rsidR="00A82117" w:rsidRPr="00536BD9" w:rsidRDefault="004A55E6" w:rsidP="004A5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A82117" w:rsidRPr="00536BD9">
              <w:rPr>
                <w:rFonts w:ascii="Calibri" w:hAnsi="Calibri" w:cs="Calibri"/>
              </w:rPr>
              <w:t>V</w:t>
            </w:r>
            <w:r w:rsidR="00A82117">
              <w:rPr>
                <w:rFonts w:ascii="Calibri" w:hAnsi="Calibri" w:cs="Calibri"/>
              </w:rPr>
              <w:t xml:space="preserve"> </w:t>
            </w:r>
            <w:r w:rsidR="00BB1385">
              <w:rPr>
                <w:rFonts w:ascii="Calibri" w:hAnsi="Calibri" w:cs="Calibri"/>
              </w:rPr>
              <w:t>Kroměříži</w:t>
            </w:r>
            <w:r w:rsidR="00A82117" w:rsidRPr="00536BD9">
              <w:rPr>
                <w:rFonts w:ascii="Calibri" w:hAnsi="Calibri" w:cs="Calibri"/>
              </w:rPr>
              <w:t xml:space="preserve"> dne </w:t>
            </w:r>
            <w:r>
              <w:rPr>
                <w:rFonts w:ascii="Calibri" w:hAnsi="Calibri" w:cs="Calibri"/>
              </w:rPr>
              <w:t>8. 12. 2018</w:t>
            </w:r>
          </w:p>
        </w:tc>
        <w:tc>
          <w:tcPr>
            <w:tcW w:w="4662" w:type="dxa"/>
            <w:shd w:val="clear" w:color="auto" w:fill="auto"/>
          </w:tcPr>
          <w:p w14:paraId="0905F045" w14:textId="67B8DB46" w:rsidR="00A82117" w:rsidRPr="00536BD9" w:rsidRDefault="004A55E6" w:rsidP="004A5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A82117" w:rsidRPr="00536BD9">
              <w:rPr>
                <w:rFonts w:ascii="Calibri" w:hAnsi="Calibri" w:cs="Calibri"/>
              </w:rPr>
              <w:t>V</w:t>
            </w:r>
            <w:r w:rsidR="00A821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Otrokovicích</w:t>
            </w:r>
            <w:r w:rsidR="00A82117" w:rsidRPr="004A55E6">
              <w:rPr>
                <w:rFonts w:ascii="Calibri" w:hAnsi="Calibri" w:cs="Calibri"/>
              </w:rPr>
              <w:t xml:space="preserve"> dne </w:t>
            </w:r>
            <w:r>
              <w:rPr>
                <w:rFonts w:ascii="Calibri" w:hAnsi="Calibri" w:cs="Calibri"/>
              </w:rPr>
              <w:t>7. 12. 2018</w:t>
            </w:r>
          </w:p>
        </w:tc>
      </w:tr>
      <w:tr w:rsidR="00A82117" w:rsidRPr="004A55E6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4A55E6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4A55E6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4A55E6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4A55E6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4A55E6">
              <w:rPr>
                <w:rFonts w:ascii="Calibri" w:hAnsi="Calibri" w:cs="Calibri"/>
              </w:rPr>
              <w:t>za prodávajícího</w:t>
            </w:r>
          </w:p>
        </w:tc>
      </w:tr>
      <w:tr w:rsidR="00A82117" w:rsidRPr="004A55E6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47CF7C3B" w14:textId="77777777" w:rsidR="00BB1385" w:rsidRDefault="00BB1385" w:rsidP="0080269F">
            <w:pPr>
              <w:ind w:left="142" w:right="423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PhDr. Mojmír Šemnický, MBA</w:t>
            </w:r>
          </w:p>
          <w:p w14:paraId="286DC351" w14:textId="7DDDBE78" w:rsidR="00A82117" w:rsidRPr="00536BD9" w:rsidRDefault="00BB1385" w:rsidP="0080269F">
            <w:pPr>
              <w:ind w:left="142" w:right="423"/>
              <w:jc w:val="center"/>
              <w:rPr>
                <w:rFonts w:ascii="Calibri" w:hAnsi="Calibri" w:cs="Calibri"/>
              </w:rPr>
            </w:pPr>
            <w:r w:rsidRPr="00FC34C5">
              <w:rPr>
                <w:rFonts w:ascii="Calibri" w:eastAsia="Calibri" w:hAnsi="Calibri"/>
              </w:rPr>
              <w:t xml:space="preserve"> ředitel školy</w:t>
            </w:r>
          </w:p>
        </w:tc>
        <w:tc>
          <w:tcPr>
            <w:tcW w:w="4662" w:type="dxa"/>
            <w:shd w:val="clear" w:color="auto" w:fill="auto"/>
          </w:tcPr>
          <w:p w14:paraId="1BCB2DC6" w14:textId="77777777" w:rsidR="00A82117" w:rsidRPr="004A55E6" w:rsidRDefault="004A55E6" w:rsidP="001E2F27">
            <w:pPr>
              <w:jc w:val="center"/>
              <w:rPr>
                <w:rFonts w:ascii="Calibri" w:hAnsi="Calibri" w:cs="Calibri"/>
              </w:rPr>
            </w:pPr>
            <w:r w:rsidRPr="004A55E6">
              <w:rPr>
                <w:rFonts w:ascii="Calibri" w:hAnsi="Calibri" w:cs="Calibri"/>
              </w:rPr>
              <w:t>Ing. Marek Kojecký</w:t>
            </w:r>
          </w:p>
          <w:p w14:paraId="4E066477" w14:textId="5162033D" w:rsidR="004A55E6" w:rsidRPr="004A55E6" w:rsidRDefault="004A55E6" w:rsidP="001E2F27">
            <w:pPr>
              <w:jc w:val="center"/>
              <w:rPr>
                <w:rFonts w:ascii="Calibri" w:hAnsi="Calibri" w:cs="Calibri"/>
                <w:i/>
              </w:rPr>
            </w:pPr>
            <w:r w:rsidRPr="004A55E6">
              <w:rPr>
                <w:rFonts w:ascii="Calibri" w:hAnsi="Calibri" w:cs="Calibri"/>
              </w:rPr>
              <w:t>jednatel</w:t>
            </w:r>
          </w:p>
        </w:tc>
      </w:tr>
    </w:tbl>
    <w:p w14:paraId="562DF799" w14:textId="26C100DF" w:rsidR="00251AD1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4B2A07" w14:textId="77777777" w:rsidR="00251AD1" w:rsidRDefault="00251AD1">
      <w:pPr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6B57EA36" w14:textId="2AE1CFC6" w:rsidR="00D26F86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251AD1">
        <w:rPr>
          <w:rFonts w:asciiTheme="minorHAnsi" w:hAnsiTheme="minorHAnsi" w:cs="Arial"/>
          <w:color w:val="FF0000"/>
          <w:sz w:val="24"/>
          <w:szCs w:val="24"/>
        </w:rPr>
        <w:lastRenderedPageBreak/>
        <w:t xml:space="preserve">Příloha č. </w:t>
      </w:r>
      <w:r w:rsidR="005969E4">
        <w:rPr>
          <w:rFonts w:asciiTheme="minorHAnsi" w:hAnsiTheme="minorHAnsi" w:cs="Arial"/>
          <w:color w:val="FF0000"/>
          <w:sz w:val="24"/>
          <w:szCs w:val="24"/>
        </w:rPr>
        <w:t>1 – Technická specifikace</w:t>
      </w:r>
    </w:p>
    <w:tbl>
      <w:tblPr>
        <w:tblW w:w="1095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6"/>
        <w:gridCol w:w="1469"/>
      </w:tblGrid>
      <w:tr w:rsidR="001E2F27" w:rsidRPr="00BE296D" w14:paraId="63AEDE76" w14:textId="77777777" w:rsidTr="003B5333">
        <w:trPr>
          <w:trHeight w:val="480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D48B" w14:textId="48B93821" w:rsidR="001E2F27" w:rsidRPr="000677F2" w:rsidRDefault="002113D6" w:rsidP="00364B5E">
            <w:pPr>
              <w:rPr>
                <w:rFonts w:ascii="Calibri" w:hAnsi="Calibri" w:cs="Calibri"/>
              </w:rPr>
            </w:pPr>
            <w:r w:rsidRPr="002113D6">
              <w:rPr>
                <w:rFonts w:ascii="Calibri" w:hAnsi="Calibri" w:cs="Calibri"/>
                <w:noProof/>
              </w:rPr>
              <w:drawing>
                <wp:inline distT="0" distB="0" distL="0" distR="0" wp14:anchorId="690BEEE9" wp14:editId="2E5662D9">
                  <wp:extent cx="5724525" cy="65055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5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6B8" w14:textId="77777777" w:rsidR="001E2F27" w:rsidRPr="00BE296D" w:rsidRDefault="001E2F27" w:rsidP="003B5333">
            <w:pPr>
              <w:rPr>
                <w:sz w:val="20"/>
                <w:szCs w:val="20"/>
              </w:rPr>
            </w:pPr>
          </w:p>
        </w:tc>
      </w:tr>
    </w:tbl>
    <w:p w14:paraId="46992F88" w14:textId="231BD45D" w:rsidR="001E2F27" w:rsidRDefault="001E2F27" w:rsidP="008200F8">
      <w:pPr>
        <w:tabs>
          <w:tab w:val="left" w:pos="3013"/>
        </w:tabs>
      </w:pPr>
    </w:p>
    <w:sectPr w:rsidR="001E2F27" w:rsidSect="00A82117">
      <w:headerReference w:type="default" r:id="rId12"/>
      <w:footerReference w:type="even" r:id="rId13"/>
      <w:footerReference w:type="default" r:id="rId14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AB62" w14:textId="77777777" w:rsidR="00671615" w:rsidRDefault="00671615">
      <w:r>
        <w:separator/>
      </w:r>
    </w:p>
  </w:endnote>
  <w:endnote w:type="continuationSeparator" w:id="0">
    <w:p w14:paraId="56B3FA8D" w14:textId="77777777" w:rsidR="00671615" w:rsidRDefault="006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6BA71A00" w:rsidR="002251F7" w:rsidRDefault="002251F7">
            <w:pPr>
              <w:pStyle w:val="Zpat"/>
              <w:jc w:val="right"/>
            </w:pPr>
            <w:r w:rsidRPr="002251F7">
              <w:rPr>
                <w:rFonts w:asciiTheme="minorHAnsi" w:hAnsiTheme="minorHAnsi"/>
              </w:rPr>
              <w:t xml:space="preserve">Stránka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294E85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r w:rsidRPr="002251F7">
              <w:rPr>
                <w:rFonts w:asciiTheme="minorHAnsi" w:hAnsiTheme="minorHAnsi"/>
              </w:rPr>
              <w:t xml:space="preserve"> z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294E85">
              <w:rPr>
                <w:rFonts w:asciiTheme="minorHAnsi" w:hAnsiTheme="minorHAnsi"/>
                <w:b/>
                <w:bCs/>
                <w:noProof/>
              </w:rPr>
              <w:t>11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9F71" w14:textId="77777777" w:rsidR="00671615" w:rsidRDefault="00671615">
      <w:r>
        <w:separator/>
      </w:r>
    </w:p>
  </w:footnote>
  <w:footnote w:type="continuationSeparator" w:id="0">
    <w:p w14:paraId="0C412FEC" w14:textId="77777777" w:rsidR="00671615" w:rsidRDefault="00671615">
      <w:r>
        <w:continuationSeparator/>
      </w:r>
    </w:p>
  </w:footnote>
  <w:footnote w:id="1">
    <w:p w14:paraId="7DD98A8B" w14:textId="77777777" w:rsidR="00D65960" w:rsidRPr="00ED0938" w:rsidRDefault="00D65960" w:rsidP="00D65960">
      <w:pPr>
        <w:pStyle w:val="Textpoznpodarou"/>
        <w:rPr>
          <w:rFonts w:asciiTheme="minorHAnsi" w:hAnsiTheme="minorHAnsi"/>
          <w:i/>
          <w:szCs w:val="22"/>
        </w:rPr>
      </w:pPr>
      <w:r w:rsidRPr="00ED0938">
        <w:rPr>
          <w:rStyle w:val="Znakapoznpodarou"/>
          <w:rFonts w:asciiTheme="minorHAnsi" w:hAnsiTheme="minorHAnsi"/>
          <w:i/>
          <w:szCs w:val="22"/>
        </w:rPr>
        <w:footnoteRef/>
      </w:r>
      <w:r w:rsidRPr="00ED0938">
        <w:rPr>
          <w:rFonts w:asciiTheme="minorHAnsi" w:hAnsiTheme="minorHAnsi"/>
          <w:i/>
          <w:szCs w:val="22"/>
        </w:rPr>
        <w:t xml:space="preserve"> </w:t>
      </w:r>
      <w:r w:rsidRPr="00ED0938">
        <w:rPr>
          <w:rFonts w:asciiTheme="minorHAnsi" w:hAnsiTheme="minorHAnsi" w:cs="Arial"/>
          <w:i/>
          <w:szCs w:val="22"/>
        </w:rPr>
        <w:t>Bankovní účet se musí shodovat s účtem používaným pro ekonomickou činnost registrovaným u správce daně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21EA" w14:textId="7D41F831" w:rsidR="00B86496" w:rsidRDefault="005969E4">
    <w:pPr>
      <w:pStyle w:val="Zhlav"/>
    </w:pPr>
    <w:r>
      <w:rPr>
        <w:noProof/>
      </w:rPr>
      <w:drawing>
        <wp:inline distT="0" distB="0" distL="0" distR="0" wp14:anchorId="6365B291" wp14:editId="7395E452">
          <wp:extent cx="1095375" cy="436532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M_logo_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12" cy="44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B671F" w14:textId="11456318" w:rsidR="005969E4" w:rsidRDefault="005969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A0673"/>
    <w:multiLevelType w:val="hybridMultilevel"/>
    <w:tmpl w:val="3D902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5"/>
  </w:num>
  <w:num w:numId="3">
    <w:abstractNumId w:val="15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35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6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5"/>
  </w:num>
  <w:num w:numId="40">
    <w:abstractNumId w:val="37"/>
  </w:num>
  <w:num w:numId="41">
    <w:abstractNumId w:val="38"/>
  </w:num>
  <w:num w:numId="42">
    <w:abstractNumId w:val="43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12"/>
  </w:num>
  <w:num w:numId="48">
    <w:abstractNumId w:val="42"/>
  </w:num>
  <w:num w:numId="49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698"/>
    <w:rsid w:val="00041B97"/>
    <w:rsid w:val="00041DB6"/>
    <w:rsid w:val="00041E2D"/>
    <w:rsid w:val="00042127"/>
    <w:rsid w:val="0004281F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5116"/>
    <w:rsid w:val="0009422B"/>
    <w:rsid w:val="0009464E"/>
    <w:rsid w:val="00095946"/>
    <w:rsid w:val="00095DED"/>
    <w:rsid w:val="000A3BCC"/>
    <w:rsid w:val="000A48D5"/>
    <w:rsid w:val="000A5DCC"/>
    <w:rsid w:val="000B2FEF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2E1"/>
    <w:rsid w:val="000D442A"/>
    <w:rsid w:val="000D4ED8"/>
    <w:rsid w:val="000D51A1"/>
    <w:rsid w:val="000D7B38"/>
    <w:rsid w:val="000E02D2"/>
    <w:rsid w:val="000E0AB9"/>
    <w:rsid w:val="000E1047"/>
    <w:rsid w:val="000E1243"/>
    <w:rsid w:val="000E1928"/>
    <w:rsid w:val="000E3011"/>
    <w:rsid w:val="000E3928"/>
    <w:rsid w:val="000E3D04"/>
    <w:rsid w:val="000E4EBA"/>
    <w:rsid w:val="000E64D6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618F"/>
    <w:rsid w:val="0016777D"/>
    <w:rsid w:val="001707B4"/>
    <w:rsid w:val="0017272E"/>
    <w:rsid w:val="00172A81"/>
    <w:rsid w:val="00175974"/>
    <w:rsid w:val="00176D73"/>
    <w:rsid w:val="00180678"/>
    <w:rsid w:val="00180685"/>
    <w:rsid w:val="00182B37"/>
    <w:rsid w:val="001835D6"/>
    <w:rsid w:val="00183894"/>
    <w:rsid w:val="0018557F"/>
    <w:rsid w:val="00187559"/>
    <w:rsid w:val="001909D8"/>
    <w:rsid w:val="001916F3"/>
    <w:rsid w:val="00191BAF"/>
    <w:rsid w:val="00193F54"/>
    <w:rsid w:val="00195464"/>
    <w:rsid w:val="00195634"/>
    <w:rsid w:val="001958F3"/>
    <w:rsid w:val="001A049B"/>
    <w:rsid w:val="001A06B2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1ACB"/>
    <w:rsid w:val="001D32DF"/>
    <w:rsid w:val="001D457E"/>
    <w:rsid w:val="001D6850"/>
    <w:rsid w:val="001D75B6"/>
    <w:rsid w:val="001D7859"/>
    <w:rsid w:val="001E0A46"/>
    <w:rsid w:val="001E1AFC"/>
    <w:rsid w:val="001E29C8"/>
    <w:rsid w:val="001E2A2F"/>
    <w:rsid w:val="001E2F27"/>
    <w:rsid w:val="001E4360"/>
    <w:rsid w:val="001E60D3"/>
    <w:rsid w:val="001E6762"/>
    <w:rsid w:val="001F0B5C"/>
    <w:rsid w:val="001F0C28"/>
    <w:rsid w:val="001F40BA"/>
    <w:rsid w:val="001F5167"/>
    <w:rsid w:val="001F5BDE"/>
    <w:rsid w:val="001F63B9"/>
    <w:rsid w:val="001F7540"/>
    <w:rsid w:val="001F7612"/>
    <w:rsid w:val="001F7954"/>
    <w:rsid w:val="00202B61"/>
    <w:rsid w:val="00203025"/>
    <w:rsid w:val="00204799"/>
    <w:rsid w:val="002047D1"/>
    <w:rsid w:val="002113D6"/>
    <w:rsid w:val="00211E31"/>
    <w:rsid w:val="00212EBA"/>
    <w:rsid w:val="0021331B"/>
    <w:rsid w:val="00213723"/>
    <w:rsid w:val="00213C99"/>
    <w:rsid w:val="00214629"/>
    <w:rsid w:val="002149A0"/>
    <w:rsid w:val="00216581"/>
    <w:rsid w:val="00220ACC"/>
    <w:rsid w:val="0022164C"/>
    <w:rsid w:val="002217F1"/>
    <w:rsid w:val="00224036"/>
    <w:rsid w:val="002251F7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87C0E"/>
    <w:rsid w:val="002937B3"/>
    <w:rsid w:val="00294E85"/>
    <w:rsid w:val="00295342"/>
    <w:rsid w:val="002A0381"/>
    <w:rsid w:val="002A198D"/>
    <w:rsid w:val="002A2480"/>
    <w:rsid w:val="002A4300"/>
    <w:rsid w:val="002A6F4D"/>
    <w:rsid w:val="002A7E50"/>
    <w:rsid w:val="002A7E5E"/>
    <w:rsid w:val="002B0928"/>
    <w:rsid w:val="002B152D"/>
    <w:rsid w:val="002B1550"/>
    <w:rsid w:val="002B4589"/>
    <w:rsid w:val="002B4B13"/>
    <w:rsid w:val="002B5016"/>
    <w:rsid w:val="002B57B7"/>
    <w:rsid w:val="002B5A99"/>
    <w:rsid w:val="002B6047"/>
    <w:rsid w:val="002B6821"/>
    <w:rsid w:val="002B6B92"/>
    <w:rsid w:val="002B71E5"/>
    <w:rsid w:val="002C3282"/>
    <w:rsid w:val="002C349D"/>
    <w:rsid w:val="002C437A"/>
    <w:rsid w:val="002C4575"/>
    <w:rsid w:val="002C55BC"/>
    <w:rsid w:val="002C5AC0"/>
    <w:rsid w:val="002C69AF"/>
    <w:rsid w:val="002C712C"/>
    <w:rsid w:val="002D29C2"/>
    <w:rsid w:val="002D2FD0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7A7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5B67"/>
    <w:rsid w:val="00327AA8"/>
    <w:rsid w:val="00331519"/>
    <w:rsid w:val="00332833"/>
    <w:rsid w:val="00337807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A72"/>
    <w:rsid w:val="00361AB7"/>
    <w:rsid w:val="00362D1D"/>
    <w:rsid w:val="00363AEB"/>
    <w:rsid w:val="00364B5E"/>
    <w:rsid w:val="0036557C"/>
    <w:rsid w:val="003673F4"/>
    <w:rsid w:val="00367B10"/>
    <w:rsid w:val="003707FB"/>
    <w:rsid w:val="0037273B"/>
    <w:rsid w:val="003753C6"/>
    <w:rsid w:val="003777C2"/>
    <w:rsid w:val="003802C8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9E6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1008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471"/>
    <w:rsid w:val="003F4649"/>
    <w:rsid w:val="003F47FF"/>
    <w:rsid w:val="003F4836"/>
    <w:rsid w:val="003F596C"/>
    <w:rsid w:val="004016B9"/>
    <w:rsid w:val="004054E5"/>
    <w:rsid w:val="00405FC1"/>
    <w:rsid w:val="0040758F"/>
    <w:rsid w:val="0041298D"/>
    <w:rsid w:val="00413711"/>
    <w:rsid w:val="00415FB4"/>
    <w:rsid w:val="00416841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185B"/>
    <w:rsid w:val="00431B3F"/>
    <w:rsid w:val="00434CFA"/>
    <w:rsid w:val="004364A9"/>
    <w:rsid w:val="00440AB3"/>
    <w:rsid w:val="0044179B"/>
    <w:rsid w:val="004438C2"/>
    <w:rsid w:val="00445F8A"/>
    <w:rsid w:val="00446455"/>
    <w:rsid w:val="0044649E"/>
    <w:rsid w:val="004471EB"/>
    <w:rsid w:val="00450695"/>
    <w:rsid w:val="00451938"/>
    <w:rsid w:val="00451F7E"/>
    <w:rsid w:val="004520F0"/>
    <w:rsid w:val="00454C91"/>
    <w:rsid w:val="00455BA9"/>
    <w:rsid w:val="0046364B"/>
    <w:rsid w:val="00465DBE"/>
    <w:rsid w:val="00467100"/>
    <w:rsid w:val="0047009A"/>
    <w:rsid w:val="0047087D"/>
    <w:rsid w:val="00471993"/>
    <w:rsid w:val="004740B7"/>
    <w:rsid w:val="00474792"/>
    <w:rsid w:val="00474C57"/>
    <w:rsid w:val="00476F04"/>
    <w:rsid w:val="00481C87"/>
    <w:rsid w:val="00481EB3"/>
    <w:rsid w:val="00482D54"/>
    <w:rsid w:val="00485788"/>
    <w:rsid w:val="00485E8C"/>
    <w:rsid w:val="00486B15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55E6"/>
    <w:rsid w:val="004A6360"/>
    <w:rsid w:val="004A650D"/>
    <w:rsid w:val="004A6DBA"/>
    <w:rsid w:val="004A776D"/>
    <w:rsid w:val="004A793D"/>
    <w:rsid w:val="004B0D91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1CA9"/>
    <w:rsid w:val="004D2A7B"/>
    <w:rsid w:val="004D3D3A"/>
    <w:rsid w:val="004D6817"/>
    <w:rsid w:val="004D7064"/>
    <w:rsid w:val="004D7770"/>
    <w:rsid w:val="004E20CE"/>
    <w:rsid w:val="004E2767"/>
    <w:rsid w:val="004E3C40"/>
    <w:rsid w:val="004E593C"/>
    <w:rsid w:val="004E7A01"/>
    <w:rsid w:val="004E7DCB"/>
    <w:rsid w:val="004F15AE"/>
    <w:rsid w:val="004F2D9B"/>
    <w:rsid w:val="004F346B"/>
    <w:rsid w:val="004F523F"/>
    <w:rsid w:val="004F54DB"/>
    <w:rsid w:val="004F61B5"/>
    <w:rsid w:val="004F695C"/>
    <w:rsid w:val="004F71F1"/>
    <w:rsid w:val="004F78FF"/>
    <w:rsid w:val="004F7AAE"/>
    <w:rsid w:val="00501A1E"/>
    <w:rsid w:val="005031DE"/>
    <w:rsid w:val="005033E8"/>
    <w:rsid w:val="00503ADF"/>
    <w:rsid w:val="00504A7B"/>
    <w:rsid w:val="00505440"/>
    <w:rsid w:val="005105EE"/>
    <w:rsid w:val="00512972"/>
    <w:rsid w:val="00512C43"/>
    <w:rsid w:val="00514800"/>
    <w:rsid w:val="0051681D"/>
    <w:rsid w:val="005224D0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3349"/>
    <w:rsid w:val="00583891"/>
    <w:rsid w:val="00583E90"/>
    <w:rsid w:val="00584BD7"/>
    <w:rsid w:val="0059055E"/>
    <w:rsid w:val="00590DC1"/>
    <w:rsid w:val="005944FF"/>
    <w:rsid w:val="00594F02"/>
    <w:rsid w:val="00594FEB"/>
    <w:rsid w:val="00595763"/>
    <w:rsid w:val="005969E4"/>
    <w:rsid w:val="005969F2"/>
    <w:rsid w:val="00597B8F"/>
    <w:rsid w:val="005A4847"/>
    <w:rsid w:val="005A49C8"/>
    <w:rsid w:val="005A4EAA"/>
    <w:rsid w:val="005A54B0"/>
    <w:rsid w:val="005A5777"/>
    <w:rsid w:val="005A6CD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2C31"/>
    <w:rsid w:val="005C3863"/>
    <w:rsid w:val="005C3FF4"/>
    <w:rsid w:val="005C4249"/>
    <w:rsid w:val="005C51E3"/>
    <w:rsid w:val="005C58AF"/>
    <w:rsid w:val="005C5FF2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3D2"/>
    <w:rsid w:val="005E1DF5"/>
    <w:rsid w:val="005E320E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63FC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83B"/>
    <w:rsid w:val="006436F2"/>
    <w:rsid w:val="0064594A"/>
    <w:rsid w:val="00645FB4"/>
    <w:rsid w:val="00651435"/>
    <w:rsid w:val="00651D1A"/>
    <w:rsid w:val="00652691"/>
    <w:rsid w:val="00654EA4"/>
    <w:rsid w:val="00655098"/>
    <w:rsid w:val="00655BFA"/>
    <w:rsid w:val="00657DAA"/>
    <w:rsid w:val="0066008D"/>
    <w:rsid w:val="006612B6"/>
    <w:rsid w:val="0066204C"/>
    <w:rsid w:val="006621C9"/>
    <w:rsid w:val="0066283A"/>
    <w:rsid w:val="00663650"/>
    <w:rsid w:val="0066754E"/>
    <w:rsid w:val="00667993"/>
    <w:rsid w:val="00667A33"/>
    <w:rsid w:val="00670111"/>
    <w:rsid w:val="006707D2"/>
    <w:rsid w:val="006711A6"/>
    <w:rsid w:val="0067137E"/>
    <w:rsid w:val="00671615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03B"/>
    <w:rsid w:val="006A34BE"/>
    <w:rsid w:val="006A68E6"/>
    <w:rsid w:val="006B0412"/>
    <w:rsid w:val="006B146B"/>
    <w:rsid w:val="006B1FEA"/>
    <w:rsid w:val="006B2030"/>
    <w:rsid w:val="006B2FE8"/>
    <w:rsid w:val="006B4F63"/>
    <w:rsid w:val="006B6511"/>
    <w:rsid w:val="006B651F"/>
    <w:rsid w:val="006B7202"/>
    <w:rsid w:val="006C15E5"/>
    <w:rsid w:val="006C1BEA"/>
    <w:rsid w:val="006C1C32"/>
    <w:rsid w:val="006C443E"/>
    <w:rsid w:val="006C4527"/>
    <w:rsid w:val="006C58C9"/>
    <w:rsid w:val="006C7785"/>
    <w:rsid w:val="006D2C69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736B"/>
    <w:rsid w:val="006F73FD"/>
    <w:rsid w:val="006F7538"/>
    <w:rsid w:val="006F7E3E"/>
    <w:rsid w:val="00703C94"/>
    <w:rsid w:val="00704833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C63"/>
    <w:rsid w:val="00717FA0"/>
    <w:rsid w:val="0072079F"/>
    <w:rsid w:val="007209B0"/>
    <w:rsid w:val="00725028"/>
    <w:rsid w:val="00725217"/>
    <w:rsid w:val="00727E32"/>
    <w:rsid w:val="00730D84"/>
    <w:rsid w:val="0073118C"/>
    <w:rsid w:val="00731EB4"/>
    <w:rsid w:val="0073423A"/>
    <w:rsid w:val="007344C9"/>
    <w:rsid w:val="00736C05"/>
    <w:rsid w:val="00736CB6"/>
    <w:rsid w:val="007377FD"/>
    <w:rsid w:val="00737C11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5C41"/>
    <w:rsid w:val="00766404"/>
    <w:rsid w:val="00767028"/>
    <w:rsid w:val="007673FD"/>
    <w:rsid w:val="0077015A"/>
    <w:rsid w:val="007728B3"/>
    <w:rsid w:val="00772A6A"/>
    <w:rsid w:val="007776E4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6DA2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2EFD"/>
    <w:rsid w:val="007C486B"/>
    <w:rsid w:val="007C4F2F"/>
    <w:rsid w:val="007C52D1"/>
    <w:rsid w:val="007C5C13"/>
    <w:rsid w:val="007C6F41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6C74"/>
    <w:rsid w:val="007F7444"/>
    <w:rsid w:val="0080005B"/>
    <w:rsid w:val="00800F3B"/>
    <w:rsid w:val="0080104B"/>
    <w:rsid w:val="008025E8"/>
    <w:rsid w:val="0080269F"/>
    <w:rsid w:val="008029DE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00F8"/>
    <w:rsid w:val="0082108D"/>
    <w:rsid w:val="00823338"/>
    <w:rsid w:val="00824A34"/>
    <w:rsid w:val="008257E3"/>
    <w:rsid w:val="00827618"/>
    <w:rsid w:val="00835227"/>
    <w:rsid w:val="0083578E"/>
    <w:rsid w:val="00836B6F"/>
    <w:rsid w:val="008372A6"/>
    <w:rsid w:val="00840606"/>
    <w:rsid w:val="00840923"/>
    <w:rsid w:val="008412CD"/>
    <w:rsid w:val="00841DE3"/>
    <w:rsid w:val="00841FB9"/>
    <w:rsid w:val="008437A1"/>
    <w:rsid w:val="00844706"/>
    <w:rsid w:val="00844775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09BD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5D17"/>
    <w:rsid w:val="00896120"/>
    <w:rsid w:val="00897568"/>
    <w:rsid w:val="00897A2B"/>
    <w:rsid w:val="008A0A46"/>
    <w:rsid w:val="008A0DB6"/>
    <w:rsid w:val="008A1C11"/>
    <w:rsid w:val="008A289E"/>
    <w:rsid w:val="008A2A3F"/>
    <w:rsid w:val="008A3ED8"/>
    <w:rsid w:val="008A4099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202A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15C0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7C2"/>
    <w:rsid w:val="00952B9C"/>
    <w:rsid w:val="0095305E"/>
    <w:rsid w:val="0095759F"/>
    <w:rsid w:val="0096289F"/>
    <w:rsid w:val="00962CE3"/>
    <w:rsid w:val="00964559"/>
    <w:rsid w:val="009655B6"/>
    <w:rsid w:val="0096575B"/>
    <w:rsid w:val="00965766"/>
    <w:rsid w:val="009658FA"/>
    <w:rsid w:val="009660BC"/>
    <w:rsid w:val="0096742F"/>
    <w:rsid w:val="00967750"/>
    <w:rsid w:val="00972810"/>
    <w:rsid w:val="00974BEE"/>
    <w:rsid w:val="00977E0B"/>
    <w:rsid w:val="00980733"/>
    <w:rsid w:val="0098178D"/>
    <w:rsid w:val="00991374"/>
    <w:rsid w:val="00991941"/>
    <w:rsid w:val="00992272"/>
    <w:rsid w:val="009A0655"/>
    <w:rsid w:val="009A0998"/>
    <w:rsid w:val="009A09FF"/>
    <w:rsid w:val="009A0D63"/>
    <w:rsid w:val="009A1C0A"/>
    <w:rsid w:val="009A4B00"/>
    <w:rsid w:val="009A4B98"/>
    <w:rsid w:val="009A5D0C"/>
    <w:rsid w:val="009A76A5"/>
    <w:rsid w:val="009A79D3"/>
    <w:rsid w:val="009A7FBE"/>
    <w:rsid w:val="009B1BD5"/>
    <w:rsid w:val="009B2B52"/>
    <w:rsid w:val="009B31CD"/>
    <w:rsid w:val="009B4982"/>
    <w:rsid w:val="009B5FDB"/>
    <w:rsid w:val="009B6359"/>
    <w:rsid w:val="009C02EE"/>
    <w:rsid w:val="009C19A7"/>
    <w:rsid w:val="009C1D7B"/>
    <w:rsid w:val="009C4DA5"/>
    <w:rsid w:val="009C6F1C"/>
    <w:rsid w:val="009C7836"/>
    <w:rsid w:val="009C7EE0"/>
    <w:rsid w:val="009D0CAA"/>
    <w:rsid w:val="009D1DD5"/>
    <w:rsid w:val="009D25CC"/>
    <w:rsid w:val="009E763F"/>
    <w:rsid w:val="009E7D43"/>
    <w:rsid w:val="009F14A7"/>
    <w:rsid w:val="009F2947"/>
    <w:rsid w:val="009F3208"/>
    <w:rsid w:val="009F4605"/>
    <w:rsid w:val="009F7563"/>
    <w:rsid w:val="00A00A4D"/>
    <w:rsid w:val="00A024F5"/>
    <w:rsid w:val="00A033FE"/>
    <w:rsid w:val="00A04F99"/>
    <w:rsid w:val="00A06FC4"/>
    <w:rsid w:val="00A07AF2"/>
    <w:rsid w:val="00A10438"/>
    <w:rsid w:val="00A107E7"/>
    <w:rsid w:val="00A12E9A"/>
    <w:rsid w:val="00A2152C"/>
    <w:rsid w:val="00A236E4"/>
    <w:rsid w:val="00A24A32"/>
    <w:rsid w:val="00A31773"/>
    <w:rsid w:val="00A335AF"/>
    <w:rsid w:val="00A34A02"/>
    <w:rsid w:val="00A36A55"/>
    <w:rsid w:val="00A36F94"/>
    <w:rsid w:val="00A4189E"/>
    <w:rsid w:val="00A435EB"/>
    <w:rsid w:val="00A4524B"/>
    <w:rsid w:val="00A554F5"/>
    <w:rsid w:val="00A56851"/>
    <w:rsid w:val="00A57ADE"/>
    <w:rsid w:val="00A6179A"/>
    <w:rsid w:val="00A63D0C"/>
    <w:rsid w:val="00A65ECF"/>
    <w:rsid w:val="00A6687F"/>
    <w:rsid w:val="00A676CD"/>
    <w:rsid w:val="00A704A0"/>
    <w:rsid w:val="00A70A23"/>
    <w:rsid w:val="00A7132A"/>
    <w:rsid w:val="00A725DA"/>
    <w:rsid w:val="00A74377"/>
    <w:rsid w:val="00A744AC"/>
    <w:rsid w:val="00A76286"/>
    <w:rsid w:val="00A7634D"/>
    <w:rsid w:val="00A82117"/>
    <w:rsid w:val="00A82549"/>
    <w:rsid w:val="00A82633"/>
    <w:rsid w:val="00A8446B"/>
    <w:rsid w:val="00A8446D"/>
    <w:rsid w:val="00A85378"/>
    <w:rsid w:val="00A85B08"/>
    <w:rsid w:val="00A85B8A"/>
    <w:rsid w:val="00A85F9D"/>
    <w:rsid w:val="00A87568"/>
    <w:rsid w:val="00A90614"/>
    <w:rsid w:val="00A90708"/>
    <w:rsid w:val="00A9120F"/>
    <w:rsid w:val="00A915F1"/>
    <w:rsid w:val="00A92F63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B7887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3A2A"/>
    <w:rsid w:val="00AE5081"/>
    <w:rsid w:val="00AE74FE"/>
    <w:rsid w:val="00AF4EB0"/>
    <w:rsid w:val="00AF59C8"/>
    <w:rsid w:val="00AF746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0BB4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57BC6"/>
    <w:rsid w:val="00B61091"/>
    <w:rsid w:val="00B6110B"/>
    <w:rsid w:val="00B61A8A"/>
    <w:rsid w:val="00B62BF1"/>
    <w:rsid w:val="00B62EC9"/>
    <w:rsid w:val="00B63AE5"/>
    <w:rsid w:val="00B6568A"/>
    <w:rsid w:val="00B723E3"/>
    <w:rsid w:val="00B73D3D"/>
    <w:rsid w:val="00B73E3E"/>
    <w:rsid w:val="00B74454"/>
    <w:rsid w:val="00B7590E"/>
    <w:rsid w:val="00B75E73"/>
    <w:rsid w:val="00B774AF"/>
    <w:rsid w:val="00B81AD8"/>
    <w:rsid w:val="00B83421"/>
    <w:rsid w:val="00B841D6"/>
    <w:rsid w:val="00B84F81"/>
    <w:rsid w:val="00B86496"/>
    <w:rsid w:val="00B86B0D"/>
    <w:rsid w:val="00B86F71"/>
    <w:rsid w:val="00B90F75"/>
    <w:rsid w:val="00B91AF0"/>
    <w:rsid w:val="00B91B5F"/>
    <w:rsid w:val="00B93425"/>
    <w:rsid w:val="00B94D72"/>
    <w:rsid w:val="00B964F2"/>
    <w:rsid w:val="00B97C49"/>
    <w:rsid w:val="00BA66A8"/>
    <w:rsid w:val="00BB1385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27FB"/>
    <w:rsid w:val="00BC3674"/>
    <w:rsid w:val="00BC4BB8"/>
    <w:rsid w:val="00BC505C"/>
    <w:rsid w:val="00BC57CC"/>
    <w:rsid w:val="00BC6E8F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E64BF"/>
    <w:rsid w:val="00BF1394"/>
    <w:rsid w:val="00BF13B8"/>
    <w:rsid w:val="00BF2672"/>
    <w:rsid w:val="00BF2EFD"/>
    <w:rsid w:val="00BF4F4E"/>
    <w:rsid w:val="00BF6533"/>
    <w:rsid w:val="00BF6D1C"/>
    <w:rsid w:val="00C005FC"/>
    <w:rsid w:val="00C00A19"/>
    <w:rsid w:val="00C00CF2"/>
    <w:rsid w:val="00C033F3"/>
    <w:rsid w:val="00C0430A"/>
    <w:rsid w:val="00C04F98"/>
    <w:rsid w:val="00C062AE"/>
    <w:rsid w:val="00C06C66"/>
    <w:rsid w:val="00C07D2E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5D17"/>
    <w:rsid w:val="00C96346"/>
    <w:rsid w:val="00C97B46"/>
    <w:rsid w:val="00CA1890"/>
    <w:rsid w:val="00CA65BF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1892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22D"/>
    <w:rsid w:val="00CD7A80"/>
    <w:rsid w:val="00CE117C"/>
    <w:rsid w:val="00CE253F"/>
    <w:rsid w:val="00CE26C8"/>
    <w:rsid w:val="00CE306A"/>
    <w:rsid w:val="00CE36CD"/>
    <w:rsid w:val="00CE5FF4"/>
    <w:rsid w:val="00CE6923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05781"/>
    <w:rsid w:val="00D05833"/>
    <w:rsid w:val="00D11247"/>
    <w:rsid w:val="00D114E1"/>
    <w:rsid w:val="00D14E5B"/>
    <w:rsid w:val="00D17D71"/>
    <w:rsid w:val="00D21E13"/>
    <w:rsid w:val="00D23626"/>
    <w:rsid w:val="00D247E1"/>
    <w:rsid w:val="00D250CD"/>
    <w:rsid w:val="00D2606D"/>
    <w:rsid w:val="00D26831"/>
    <w:rsid w:val="00D26A2E"/>
    <w:rsid w:val="00D26CB9"/>
    <w:rsid w:val="00D26F86"/>
    <w:rsid w:val="00D27C51"/>
    <w:rsid w:val="00D31F2C"/>
    <w:rsid w:val="00D320BB"/>
    <w:rsid w:val="00D35910"/>
    <w:rsid w:val="00D35B81"/>
    <w:rsid w:val="00D35EFC"/>
    <w:rsid w:val="00D36D25"/>
    <w:rsid w:val="00D37A09"/>
    <w:rsid w:val="00D403DF"/>
    <w:rsid w:val="00D417E1"/>
    <w:rsid w:val="00D4266B"/>
    <w:rsid w:val="00D42DFB"/>
    <w:rsid w:val="00D43448"/>
    <w:rsid w:val="00D43D7F"/>
    <w:rsid w:val="00D44CFB"/>
    <w:rsid w:val="00D45878"/>
    <w:rsid w:val="00D458C9"/>
    <w:rsid w:val="00D4722D"/>
    <w:rsid w:val="00D503F4"/>
    <w:rsid w:val="00D51C83"/>
    <w:rsid w:val="00D5261E"/>
    <w:rsid w:val="00D52EC9"/>
    <w:rsid w:val="00D54A0D"/>
    <w:rsid w:val="00D54D93"/>
    <w:rsid w:val="00D561AF"/>
    <w:rsid w:val="00D564FA"/>
    <w:rsid w:val="00D57F49"/>
    <w:rsid w:val="00D60176"/>
    <w:rsid w:val="00D601D9"/>
    <w:rsid w:val="00D62AB2"/>
    <w:rsid w:val="00D62CAB"/>
    <w:rsid w:val="00D65960"/>
    <w:rsid w:val="00D66256"/>
    <w:rsid w:val="00D71D2E"/>
    <w:rsid w:val="00D728FB"/>
    <w:rsid w:val="00D736CB"/>
    <w:rsid w:val="00D74A51"/>
    <w:rsid w:val="00D75189"/>
    <w:rsid w:val="00D75F4F"/>
    <w:rsid w:val="00D76354"/>
    <w:rsid w:val="00D773B8"/>
    <w:rsid w:val="00D813A6"/>
    <w:rsid w:val="00D81877"/>
    <w:rsid w:val="00D81939"/>
    <w:rsid w:val="00D83A1E"/>
    <w:rsid w:val="00D84E89"/>
    <w:rsid w:val="00D87B55"/>
    <w:rsid w:val="00D9194F"/>
    <w:rsid w:val="00D924A5"/>
    <w:rsid w:val="00D93D86"/>
    <w:rsid w:val="00D96156"/>
    <w:rsid w:val="00DA2923"/>
    <w:rsid w:val="00DA3633"/>
    <w:rsid w:val="00DA3A63"/>
    <w:rsid w:val="00DA3CCD"/>
    <w:rsid w:val="00DA42B5"/>
    <w:rsid w:val="00DA57A0"/>
    <w:rsid w:val="00DA5CE5"/>
    <w:rsid w:val="00DA74C1"/>
    <w:rsid w:val="00DA75F1"/>
    <w:rsid w:val="00DA7C71"/>
    <w:rsid w:val="00DB05CF"/>
    <w:rsid w:val="00DB13CB"/>
    <w:rsid w:val="00DB36B9"/>
    <w:rsid w:val="00DB45E5"/>
    <w:rsid w:val="00DB734C"/>
    <w:rsid w:val="00DC160A"/>
    <w:rsid w:val="00DC2DD5"/>
    <w:rsid w:val="00DC2EF3"/>
    <w:rsid w:val="00DC4582"/>
    <w:rsid w:val="00DC4808"/>
    <w:rsid w:val="00DC4990"/>
    <w:rsid w:val="00DC4A1B"/>
    <w:rsid w:val="00DC6204"/>
    <w:rsid w:val="00DC67E2"/>
    <w:rsid w:val="00DD33A8"/>
    <w:rsid w:val="00DD448F"/>
    <w:rsid w:val="00DD4E61"/>
    <w:rsid w:val="00DD7A8E"/>
    <w:rsid w:val="00DE00A7"/>
    <w:rsid w:val="00DE0846"/>
    <w:rsid w:val="00DE0A30"/>
    <w:rsid w:val="00DE0BCD"/>
    <w:rsid w:val="00DE14CB"/>
    <w:rsid w:val="00DE163E"/>
    <w:rsid w:val="00DE256F"/>
    <w:rsid w:val="00DE48F0"/>
    <w:rsid w:val="00DE5124"/>
    <w:rsid w:val="00DE52E5"/>
    <w:rsid w:val="00DF0792"/>
    <w:rsid w:val="00DF1BE5"/>
    <w:rsid w:val="00DF294F"/>
    <w:rsid w:val="00DF2BEC"/>
    <w:rsid w:val="00DF331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1BA5"/>
    <w:rsid w:val="00E1278E"/>
    <w:rsid w:val="00E12D94"/>
    <w:rsid w:val="00E12F6C"/>
    <w:rsid w:val="00E13D51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70F7"/>
    <w:rsid w:val="00E87946"/>
    <w:rsid w:val="00E91773"/>
    <w:rsid w:val="00E92CC8"/>
    <w:rsid w:val="00E93905"/>
    <w:rsid w:val="00E94BE8"/>
    <w:rsid w:val="00E94F56"/>
    <w:rsid w:val="00E962CA"/>
    <w:rsid w:val="00E96959"/>
    <w:rsid w:val="00EA192A"/>
    <w:rsid w:val="00EA1AC0"/>
    <w:rsid w:val="00EA272F"/>
    <w:rsid w:val="00EA5A66"/>
    <w:rsid w:val="00EA6463"/>
    <w:rsid w:val="00EA7060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B02"/>
    <w:rsid w:val="00EC1C2B"/>
    <w:rsid w:val="00EC3502"/>
    <w:rsid w:val="00EC3A4F"/>
    <w:rsid w:val="00EC4061"/>
    <w:rsid w:val="00EC4604"/>
    <w:rsid w:val="00ED0938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883"/>
    <w:rsid w:val="00F05A9D"/>
    <w:rsid w:val="00F06662"/>
    <w:rsid w:val="00F07550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07"/>
    <w:rsid w:val="00F30BDD"/>
    <w:rsid w:val="00F32323"/>
    <w:rsid w:val="00F325E2"/>
    <w:rsid w:val="00F3593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12F2"/>
    <w:rsid w:val="00F71CAC"/>
    <w:rsid w:val="00F71E0F"/>
    <w:rsid w:val="00F74A24"/>
    <w:rsid w:val="00F76118"/>
    <w:rsid w:val="00F7671E"/>
    <w:rsid w:val="00F767DA"/>
    <w:rsid w:val="00F823A3"/>
    <w:rsid w:val="00F85060"/>
    <w:rsid w:val="00F85159"/>
    <w:rsid w:val="00F85448"/>
    <w:rsid w:val="00F87082"/>
    <w:rsid w:val="00F876E6"/>
    <w:rsid w:val="00F90C45"/>
    <w:rsid w:val="00F92481"/>
    <w:rsid w:val="00F92A03"/>
    <w:rsid w:val="00F92A1A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A7BF1"/>
    <w:rsid w:val="00FB2B12"/>
    <w:rsid w:val="00FB3482"/>
    <w:rsid w:val="00FB3D9F"/>
    <w:rsid w:val="00FB58AD"/>
    <w:rsid w:val="00FB703E"/>
    <w:rsid w:val="00FB79D1"/>
    <w:rsid w:val="00FB7E72"/>
    <w:rsid w:val="00FB7ECD"/>
    <w:rsid w:val="00FC3E70"/>
    <w:rsid w:val="00FC456D"/>
    <w:rsid w:val="00FD0A38"/>
    <w:rsid w:val="00FD11FD"/>
    <w:rsid w:val="00FD3A9F"/>
    <w:rsid w:val="00FD41AE"/>
    <w:rsid w:val="00FD5567"/>
    <w:rsid w:val="00FE4277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B57961EE-CDBE-4647-AD68-6F8D84B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paragraph" w:styleId="Textpoznpodarou">
    <w:name w:val="footnote text"/>
    <w:basedOn w:val="Normln"/>
    <w:link w:val="TextpoznpodarouChar"/>
    <w:semiHidden/>
    <w:unhideWhenUsed/>
    <w:rsid w:val="00ED09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0938"/>
  </w:style>
  <w:style w:type="character" w:styleId="Znakapoznpodarou">
    <w:name w:val="footnote reference"/>
    <w:basedOn w:val="Standardnpsmoodstavce"/>
    <w:semiHidden/>
    <w:unhideWhenUsed/>
    <w:rsid w:val="00ED0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227D-460F-4821-9545-CD19F2D1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2894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19930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Hana Mozgová</cp:lastModifiedBy>
  <cp:revision>2</cp:revision>
  <cp:lastPrinted>2018-12-07T08:27:00Z</cp:lastPrinted>
  <dcterms:created xsi:type="dcterms:W3CDTF">2018-12-28T07:29:00Z</dcterms:created>
  <dcterms:modified xsi:type="dcterms:W3CDTF">2018-12-28T07:29:00Z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