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91" w:rsidRPr="00D71C37" w:rsidRDefault="004E7690" w:rsidP="00BE0DEB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bookmarkStart w:id="0" w:name="_GoBack"/>
      <w:bookmarkEnd w:id="0"/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5E793B">
        <w:rPr>
          <w:rFonts w:asciiTheme="minorHAnsi" w:hAnsiTheme="minorHAnsi" w:cstheme="minorHAnsi"/>
          <w:b/>
          <w:snapToGrid w:val="0"/>
          <w:sz w:val="32"/>
          <w:szCs w:val="32"/>
        </w:rPr>
        <w:t>1</w:t>
      </w:r>
      <w:r w:rsidR="00BE0DEB"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</w:t>
      </w:r>
    </w:p>
    <w:p w:rsidR="00341A91" w:rsidRPr="00D71C37" w:rsidRDefault="00341A91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k</w:t>
      </w:r>
      <w:r w:rsidR="00BE0DEB" w:rsidRPr="00D71C37">
        <w:rPr>
          <w:rFonts w:asciiTheme="minorHAnsi" w:hAnsiTheme="minorHAnsi" w:cstheme="minorHAnsi"/>
          <w:snapToGrid w:val="0"/>
        </w:rPr>
        <w:t>e</w:t>
      </w:r>
      <w:r w:rsidRPr="00D71C37">
        <w:rPr>
          <w:rFonts w:asciiTheme="minorHAnsi" w:hAnsiTheme="minorHAnsi" w:cstheme="minorHAnsi"/>
          <w:snapToGrid w:val="0"/>
        </w:rPr>
        <w:t xml:space="preserve"> </w:t>
      </w:r>
      <w:r w:rsidR="00BE0DEB" w:rsidRPr="00D71C37">
        <w:rPr>
          <w:rFonts w:asciiTheme="minorHAnsi" w:hAnsiTheme="minorHAnsi" w:cstheme="minorHAnsi"/>
          <w:snapToGrid w:val="0"/>
        </w:rPr>
        <w:t>smlouvě</w:t>
      </w:r>
      <w:r w:rsidR="004E7690" w:rsidRPr="00D71C37">
        <w:rPr>
          <w:rFonts w:asciiTheme="minorHAnsi" w:hAnsiTheme="minorHAnsi" w:cstheme="minorHAnsi"/>
          <w:snapToGrid w:val="0"/>
        </w:rPr>
        <w:t xml:space="preserve"> </w:t>
      </w:r>
      <w:r w:rsidR="002068C9">
        <w:rPr>
          <w:rFonts w:ascii="Calibri" w:hAnsi="Calibri"/>
          <w:snapToGrid w:val="0"/>
        </w:rPr>
        <w:t xml:space="preserve">č. </w:t>
      </w:r>
      <w:r w:rsidR="00DF09EE" w:rsidRPr="00DF09EE">
        <w:rPr>
          <w:rFonts w:ascii="Calibri" w:hAnsi="Calibri"/>
          <w:snapToGrid w:val="0"/>
        </w:rPr>
        <w:t>002/TSA/D/2018</w:t>
      </w:r>
      <w:r w:rsidR="005E793B">
        <w:rPr>
          <w:rFonts w:ascii="Calibri" w:hAnsi="Calibri"/>
          <w:snapToGrid w:val="0"/>
        </w:rPr>
        <w:t xml:space="preserve"> </w:t>
      </w:r>
      <w:r w:rsidR="002068C9" w:rsidRPr="00341A91">
        <w:rPr>
          <w:rFonts w:ascii="Calibri" w:hAnsi="Calibri"/>
          <w:snapToGrid w:val="0"/>
        </w:rPr>
        <w:t xml:space="preserve">ze dne </w:t>
      </w:r>
      <w:r w:rsidR="00DF09EE" w:rsidRPr="00DF09EE">
        <w:rPr>
          <w:rFonts w:ascii="Calibri" w:hAnsi="Calibri"/>
          <w:snapToGrid w:val="0"/>
        </w:rPr>
        <w:t>4.</w:t>
      </w:r>
      <w:r w:rsidR="00DF09EE">
        <w:rPr>
          <w:rFonts w:ascii="Calibri" w:hAnsi="Calibri"/>
          <w:snapToGrid w:val="0"/>
        </w:rPr>
        <w:t xml:space="preserve"> </w:t>
      </w:r>
      <w:r w:rsidR="00DF09EE" w:rsidRPr="00DF09EE">
        <w:rPr>
          <w:rFonts w:ascii="Calibri" w:hAnsi="Calibri"/>
          <w:snapToGrid w:val="0"/>
        </w:rPr>
        <w:t>6.</w:t>
      </w:r>
      <w:r w:rsidR="00DF09EE">
        <w:rPr>
          <w:rFonts w:ascii="Calibri" w:hAnsi="Calibri"/>
          <w:snapToGrid w:val="0"/>
        </w:rPr>
        <w:t xml:space="preserve"> </w:t>
      </w:r>
      <w:r w:rsidR="00DF09EE" w:rsidRPr="00DF09EE">
        <w:rPr>
          <w:rFonts w:ascii="Calibri" w:hAnsi="Calibri"/>
          <w:snapToGrid w:val="0"/>
        </w:rPr>
        <w:t>2018</w:t>
      </w:r>
    </w:p>
    <w:p w:rsidR="00341A91" w:rsidRPr="00D71C37" w:rsidRDefault="00030C57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u</w:t>
      </w:r>
      <w:r w:rsidR="00341A91" w:rsidRPr="00D71C37">
        <w:rPr>
          <w:rFonts w:asciiTheme="minorHAnsi" w:hAnsiTheme="minorHAnsi" w:cstheme="minorHAnsi"/>
          <w:snapToGrid w:val="0"/>
        </w:rPr>
        <w:t>zavřené podle zákona č.89/2012 Sb.</w:t>
      </w:r>
    </w:p>
    <w:p w:rsidR="00DD0EEC" w:rsidRPr="00D71C37" w:rsidRDefault="00DD0EEC" w:rsidP="00341A91">
      <w:pPr>
        <w:pStyle w:val="Zkladnte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D71C37" w:rsidRPr="00D71C37" w:rsidRDefault="00D71C37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 xml:space="preserve">Mikrobiologický ústav AV ČR, </w:t>
      </w:r>
      <w:proofErr w:type="gramStart"/>
      <w:r w:rsidRPr="00D71C37">
        <w:rPr>
          <w:rFonts w:asciiTheme="minorHAnsi" w:hAnsiTheme="minorHAnsi" w:cstheme="minorHAnsi"/>
          <w:b/>
          <w:bCs/>
        </w:rPr>
        <w:t>v.v.</w:t>
      </w:r>
      <w:proofErr w:type="gramEnd"/>
      <w:r w:rsidRPr="00D71C37">
        <w:rPr>
          <w:rFonts w:asciiTheme="minorHAnsi" w:hAnsiTheme="minorHAnsi" w:cstheme="minorHAnsi"/>
          <w:b/>
          <w:bCs/>
        </w:rPr>
        <w:t>i.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se sídlem: Vídeňská 1083, 142 20 Praha 4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</w:t>
      </w:r>
      <w:r w:rsidR="003B4CBC">
        <w:rPr>
          <w:rFonts w:asciiTheme="minorHAnsi" w:hAnsiTheme="minorHAnsi" w:cstheme="minorHAnsi"/>
          <w:bCs/>
        </w:rPr>
        <w:t>O</w:t>
      </w:r>
      <w:r w:rsidRPr="00D71C37">
        <w:rPr>
          <w:rFonts w:asciiTheme="minorHAnsi" w:hAnsiTheme="minorHAnsi" w:cstheme="minorHAnsi"/>
          <w:bCs/>
        </w:rPr>
        <w:t>: 61388971, DIČ: CZ61388971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osoba oprávněná jednat jménem zhotovitele ve věcech technických: Ing. Pavel Sobotka</w:t>
      </w:r>
    </w:p>
    <w:p w:rsidR="00BE0DEB" w:rsidRPr="00D71C37" w:rsidRDefault="006C5009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 </w:t>
      </w:r>
      <w:r w:rsidR="00BE0DEB" w:rsidRPr="00D71C37">
        <w:rPr>
          <w:rFonts w:asciiTheme="minorHAnsi" w:hAnsiTheme="minorHAnsi" w:cstheme="minorHAnsi"/>
          <w:bCs/>
        </w:rPr>
        <w:t xml:space="preserve">(dále jen </w:t>
      </w:r>
      <w:r w:rsidR="00CE750C">
        <w:rPr>
          <w:rFonts w:asciiTheme="minorHAnsi" w:hAnsiTheme="minorHAnsi" w:cstheme="minorHAnsi"/>
          <w:bCs/>
        </w:rPr>
        <w:t>objednatel</w:t>
      </w:r>
      <w:r w:rsidR="00BE0DEB" w:rsidRPr="00D71C37">
        <w:rPr>
          <w:rFonts w:asciiTheme="minorHAnsi" w:hAnsiTheme="minorHAnsi" w:cstheme="minorHAnsi"/>
          <w:bCs/>
        </w:rPr>
        <w:t>)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BE0DEB" w:rsidRPr="00D71C37" w:rsidRDefault="00582308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a</w:t>
      </w:r>
    </w:p>
    <w:p w:rsidR="00D96F04" w:rsidRPr="00D71C37" w:rsidRDefault="00D96F04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 </w:t>
      </w:r>
    </w:p>
    <w:p w:rsidR="00D71C37" w:rsidRPr="00D71C37" w:rsidRDefault="00D71C37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CE750C" w:rsidRPr="003B4CB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 w:rsidRPr="003B4CBC">
        <w:rPr>
          <w:rFonts w:ascii="Calibri" w:hAnsi="Calibri"/>
          <w:b/>
          <w:snapToGrid w:val="0"/>
        </w:rPr>
        <w:t>T-</w:t>
      </w:r>
      <w:proofErr w:type="spellStart"/>
      <w:r w:rsidRPr="003B4CBC">
        <w:rPr>
          <w:rFonts w:ascii="Calibri" w:hAnsi="Calibri"/>
          <w:b/>
          <w:snapToGrid w:val="0"/>
        </w:rPr>
        <w:t>bro</w:t>
      </w:r>
      <w:proofErr w:type="spellEnd"/>
      <w:r w:rsidRPr="003B4CBC">
        <w:rPr>
          <w:rFonts w:ascii="Calibri" w:hAnsi="Calibri"/>
          <w:b/>
          <w:snapToGrid w:val="0"/>
        </w:rPr>
        <w:t xml:space="preserve"> CZ s.r.o.</w:t>
      </w:r>
    </w:p>
    <w:p w:rsidR="00CE750C" w:rsidRDefault="003B4CB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se sídlem</w:t>
      </w:r>
      <w:r w:rsidR="00CE750C" w:rsidRPr="008861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Hlavní </w:t>
      </w:r>
      <w:r w:rsidRPr="003B4CBC">
        <w:rPr>
          <w:rFonts w:ascii="Calibri" w:hAnsi="Calibri"/>
        </w:rPr>
        <w:t>2728/159</w:t>
      </w:r>
      <w:r w:rsidR="00CE750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141 00 </w:t>
      </w:r>
      <w:r w:rsidR="00CE750C">
        <w:rPr>
          <w:rFonts w:ascii="Calibri" w:hAnsi="Calibri"/>
        </w:rPr>
        <w:t>Praha 4</w:t>
      </w:r>
    </w:p>
    <w:p w:rsidR="00CE750C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IČ</w:t>
      </w:r>
      <w:r w:rsidR="003B4CBC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49060104</w:t>
      </w:r>
    </w:p>
    <w:p w:rsidR="00CE750C" w:rsidRDefault="003B4CB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zastoupen</w:t>
      </w:r>
      <w:r w:rsidR="00F43EEE">
        <w:rPr>
          <w:rFonts w:ascii="Calibri" w:hAnsi="Calibri"/>
        </w:rPr>
        <w:t>a</w:t>
      </w:r>
      <w:r>
        <w:rPr>
          <w:rFonts w:ascii="Calibri" w:hAnsi="Calibri"/>
        </w:rPr>
        <w:t xml:space="preserve"> jednatelem</w:t>
      </w:r>
      <w:r w:rsidR="00CE75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>Ing. Petr Janovský</w:t>
      </w:r>
    </w:p>
    <w:p w:rsidR="00CE750C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Bankovní spojení: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KB a.s., č. ú: 51-1421430257/0100</w:t>
      </w:r>
    </w:p>
    <w:p w:rsidR="00CE750C" w:rsidRPr="008861F3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společnost zapsána do obchodního rejstříku vedeného Městským soudem v Praze, oddíl C, vložka 85322</w:t>
      </w:r>
    </w:p>
    <w:p w:rsidR="00CE750C" w:rsidRPr="008861F3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</w:t>
      </w:r>
      <w:r w:rsidRPr="008861F3">
        <w:rPr>
          <w:rFonts w:ascii="Calibri" w:hAnsi="Calibri"/>
          <w:snapToGrid w:val="0"/>
        </w:rPr>
        <w:t>dále jen zhotovitel</w:t>
      </w:r>
      <w:r>
        <w:rPr>
          <w:rFonts w:ascii="Calibri" w:hAnsi="Calibri"/>
          <w:snapToGrid w:val="0"/>
        </w:rPr>
        <w:t>)</w:t>
      </w:r>
    </w:p>
    <w:p w:rsidR="00851B23" w:rsidRPr="00D71C37" w:rsidRDefault="00851B23" w:rsidP="00BE0DEB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D71C37" w:rsidRPr="00D71C37" w:rsidRDefault="00D71C37" w:rsidP="00BE0DEB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851B23" w:rsidRPr="00D71C37" w:rsidRDefault="00851B23" w:rsidP="0074669E">
      <w:pPr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</w:p>
    <w:p w:rsidR="00BE0DEB" w:rsidRPr="00D71C37" w:rsidRDefault="00BE0DEB" w:rsidP="0074669E">
      <w:pPr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:rsidR="00F43EEE" w:rsidRDefault="00341A91" w:rsidP="00F43EE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Smluvní </w:t>
      </w:r>
      <w:r w:rsidR="004E7690" w:rsidRPr="00D71C37">
        <w:rPr>
          <w:rFonts w:asciiTheme="minorHAnsi" w:hAnsiTheme="minorHAnsi" w:cstheme="minorHAnsi"/>
        </w:rPr>
        <w:t xml:space="preserve">strany uzavřely dne </w:t>
      </w:r>
      <w:r w:rsidR="00DF09EE" w:rsidRPr="00DF09EE">
        <w:rPr>
          <w:rFonts w:ascii="Calibri" w:hAnsi="Calibri"/>
          <w:snapToGrid w:val="0"/>
        </w:rPr>
        <w:t>4.</w:t>
      </w:r>
      <w:r w:rsidR="00DF09EE">
        <w:rPr>
          <w:rFonts w:ascii="Calibri" w:hAnsi="Calibri"/>
          <w:snapToGrid w:val="0"/>
        </w:rPr>
        <w:t xml:space="preserve"> </w:t>
      </w:r>
      <w:r w:rsidR="00DF09EE" w:rsidRPr="00DF09EE">
        <w:rPr>
          <w:rFonts w:ascii="Calibri" w:hAnsi="Calibri"/>
          <w:snapToGrid w:val="0"/>
        </w:rPr>
        <w:t>6.</w:t>
      </w:r>
      <w:r w:rsidR="00DF09EE">
        <w:rPr>
          <w:rFonts w:ascii="Calibri" w:hAnsi="Calibri"/>
          <w:snapToGrid w:val="0"/>
        </w:rPr>
        <w:t xml:space="preserve"> </w:t>
      </w:r>
      <w:r w:rsidR="00DF09EE" w:rsidRPr="00DF09EE">
        <w:rPr>
          <w:rFonts w:ascii="Calibri" w:hAnsi="Calibri"/>
          <w:snapToGrid w:val="0"/>
        </w:rPr>
        <w:t>2018</w:t>
      </w:r>
      <w:r w:rsidR="002068C9">
        <w:rPr>
          <w:rFonts w:ascii="Calibri" w:hAnsi="Calibri"/>
          <w:snapToGrid w:val="0"/>
        </w:rPr>
        <w:t xml:space="preserve"> </w:t>
      </w:r>
      <w:r w:rsidR="00F43EEE">
        <w:rPr>
          <w:rFonts w:asciiTheme="minorHAnsi" w:hAnsiTheme="minorHAnsi" w:cstheme="minorHAnsi"/>
        </w:rPr>
        <w:t>Smlouvu o dílo</w:t>
      </w:r>
      <w:r w:rsidR="00B67AEA" w:rsidRPr="00D71C37">
        <w:rPr>
          <w:rFonts w:asciiTheme="minorHAnsi" w:hAnsiTheme="minorHAnsi" w:cstheme="minorHAnsi"/>
        </w:rPr>
        <w:t xml:space="preserve"> č. </w:t>
      </w:r>
      <w:r w:rsidR="00DF09EE" w:rsidRPr="00DF09EE">
        <w:rPr>
          <w:rFonts w:ascii="Calibri" w:hAnsi="Calibri"/>
          <w:snapToGrid w:val="0"/>
        </w:rPr>
        <w:t xml:space="preserve">002/TSA/D/2018 </w:t>
      </w:r>
      <w:r w:rsidRPr="00D71C37">
        <w:rPr>
          <w:rFonts w:asciiTheme="minorHAnsi" w:hAnsiTheme="minorHAnsi" w:cstheme="minorHAnsi"/>
        </w:rPr>
        <w:t>(dále také „Smlouva“).</w:t>
      </w:r>
      <w:r w:rsidR="00B67AEA" w:rsidRPr="00D71C37">
        <w:rPr>
          <w:rFonts w:asciiTheme="minorHAnsi" w:hAnsiTheme="minorHAnsi" w:cstheme="minorHAnsi"/>
        </w:rPr>
        <w:t xml:space="preserve"> </w:t>
      </w:r>
    </w:p>
    <w:p w:rsidR="00341A91" w:rsidRPr="00D71C37" w:rsidRDefault="00F43EEE" w:rsidP="00F43EE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F43EEE">
        <w:rPr>
          <w:rFonts w:asciiTheme="minorHAnsi" w:hAnsiTheme="minorHAnsi" w:cstheme="minorHAnsi"/>
        </w:rPr>
        <w:t>V průběhu stavebních prací bylo odkryto předem nepředvídané poškození staveb, které bylo dodatečně opraveno.</w:t>
      </w:r>
      <w:r>
        <w:rPr>
          <w:rFonts w:asciiTheme="minorHAnsi" w:hAnsiTheme="minorHAnsi" w:cstheme="minorHAnsi"/>
        </w:rPr>
        <w:t xml:space="preserve"> </w:t>
      </w:r>
      <w:r w:rsidRPr="00F43EEE">
        <w:rPr>
          <w:rFonts w:asciiTheme="minorHAnsi" w:hAnsiTheme="minorHAnsi" w:cstheme="minorHAnsi"/>
        </w:rPr>
        <w:t>Odlupování původních nátěrů si vyžádalo změnit technické řešení nanášení nových nátěrů.</w:t>
      </w:r>
      <w:r>
        <w:rPr>
          <w:rFonts w:asciiTheme="minorHAnsi" w:hAnsiTheme="minorHAnsi" w:cstheme="minorHAnsi"/>
        </w:rPr>
        <w:t xml:space="preserve"> </w:t>
      </w:r>
      <w:r w:rsidRPr="00F43EEE">
        <w:rPr>
          <w:rFonts w:asciiTheme="minorHAnsi" w:hAnsiTheme="minorHAnsi" w:cstheme="minorHAnsi"/>
        </w:rPr>
        <w:t>Montáž nového zařízení laboratoří si vyžádala drobné demoliční práce a dodatečné stavební úpravy, než mohlo být nové zařízení namontováno.</w:t>
      </w:r>
      <w:r>
        <w:rPr>
          <w:rFonts w:asciiTheme="minorHAnsi" w:hAnsiTheme="minorHAnsi" w:cstheme="minorHAnsi"/>
        </w:rPr>
        <w:t xml:space="preserve"> </w:t>
      </w:r>
      <w:r w:rsidRPr="00F43EEE">
        <w:rPr>
          <w:rFonts w:asciiTheme="minorHAnsi" w:hAnsiTheme="minorHAnsi" w:cstheme="minorHAnsi"/>
        </w:rPr>
        <w:t xml:space="preserve">V průběhu stavebních prací bylo objeveno užití jiného materiálu v původní stavbě, než obsahovala původní projektová dokumentace, což si vyžádalo jiné stavebně technické řešení. </w:t>
      </w:r>
      <w:r>
        <w:rPr>
          <w:rFonts w:asciiTheme="minorHAnsi" w:hAnsiTheme="minorHAnsi" w:cstheme="minorHAnsi"/>
        </w:rPr>
        <w:t xml:space="preserve"> </w:t>
      </w:r>
      <w:r w:rsidR="00341A91" w:rsidRPr="00D71C37">
        <w:rPr>
          <w:rFonts w:asciiTheme="minorHAnsi" w:hAnsiTheme="minorHAnsi" w:cstheme="minorHAnsi"/>
        </w:rPr>
        <w:t xml:space="preserve">S ohledem </w:t>
      </w:r>
      <w:r w:rsidR="000E146E" w:rsidRPr="00D71C37">
        <w:rPr>
          <w:rFonts w:asciiTheme="minorHAnsi" w:hAnsiTheme="minorHAnsi" w:cstheme="minorHAnsi"/>
        </w:rPr>
        <w:t>na tyto skutečnosti</w:t>
      </w:r>
      <w:r w:rsidR="00341A91" w:rsidRPr="00D71C37">
        <w:rPr>
          <w:rFonts w:asciiTheme="minorHAnsi" w:hAnsiTheme="minorHAnsi" w:cstheme="minorHAnsi"/>
        </w:rPr>
        <w:t>, se smluvní strany dohodly na změně některých ustanovení Smlou</w:t>
      </w:r>
      <w:r w:rsidR="00AE0E54" w:rsidRPr="00D71C37">
        <w:rPr>
          <w:rFonts w:asciiTheme="minorHAnsi" w:hAnsiTheme="minorHAnsi" w:cstheme="minorHAnsi"/>
        </w:rPr>
        <w:t>vy.</w:t>
      </w:r>
    </w:p>
    <w:p w:rsidR="0074669E" w:rsidRPr="00D71C37" w:rsidRDefault="0074669E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74669E" w:rsidRPr="00D71C37" w:rsidRDefault="0074669E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Změny </w:t>
      </w:r>
      <w:r w:rsidR="00A414C2" w:rsidRPr="00D71C37">
        <w:rPr>
          <w:rFonts w:asciiTheme="minorHAnsi" w:hAnsiTheme="minorHAnsi" w:cstheme="minorHAnsi"/>
        </w:rPr>
        <w:t>S</w:t>
      </w:r>
      <w:r w:rsidRPr="00D71C37">
        <w:rPr>
          <w:rFonts w:asciiTheme="minorHAnsi" w:hAnsiTheme="minorHAnsi" w:cstheme="minorHAnsi"/>
        </w:rPr>
        <w:t>mlouvy nejsou podstatnou změnou závazku ze smlouvy na veřejnou zakázku. Změny by neumožnily účast jiných dodavatelů ani by nemohly ovlivnit výběr dodavatele v původním zadávacím řízení s ohledem na zadávací podmínky původního zadávacího řízení. Změny</w:t>
      </w:r>
      <w:r w:rsidR="00A04B48" w:rsidRPr="00D71C37">
        <w:rPr>
          <w:rFonts w:asciiTheme="minorHAnsi" w:hAnsiTheme="minorHAnsi" w:cstheme="minorHAnsi"/>
        </w:rPr>
        <w:t xml:space="preserve"> nemění </w:t>
      </w:r>
      <w:r w:rsidRPr="00D71C37">
        <w:rPr>
          <w:rFonts w:asciiTheme="minorHAnsi" w:hAnsiTheme="minorHAnsi" w:cstheme="minorHAnsi"/>
        </w:rPr>
        <w:t xml:space="preserve">ekonomickou rovnováhu závazku ze </w:t>
      </w:r>
      <w:r w:rsidR="00A414C2" w:rsidRPr="00D71C37">
        <w:rPr>
          <w:rFonts w:asciiTheme="minorHAnsi" w:hAnsiTheme="minorHAnsi" w:cstheme="minorHAnsi"/>
        </w:rPr>
        <w:t>S</w:t>
      </w:r>
      <w:r w:rsidRPr="00D71C37">
        <w:rPr>
          <w:rFonts w:asciiTheme="minorHAnsi" w:hAnsiTheme="minorHAnsi" w:cstheme="minorHAnsi"/>
        </w:rPr>
        <w:t>mlouvy ve pro</w:t>
      </w:r>
      <w:r w:rsidR="00A04B48" w:rsidRPr="00D71C37">
        <w:rPr>
          <w:rFonts w:asciiTheme="minorHAnsi" w:hAnsiTheme="minorHAnsi" w:cstheme="minorHAnsi"/>
        </w:rPr>
        <w:t>spěch vybraného dodavatele ani nevedou</w:t>
      </w:r>
      <w:r w:rsidRPr="00D71C37">
        <w:rPr>
          <w:rFonts w:asciiTheme="minorHAnsi" w:hAnsiTheme="minorHAnsi" w:cstheme="minorHAnsi"/>
        </w:rPr>
        <w:t xml:space="preserve"> k významnému rozšíření rozsahu plnění veřejné zakázky.</w:t>
      </w:r>
      <w:r w:rsidR="00A04B48" w:rsidRPr="00D71C37">
        <w:rPr>
          <w:rFonts w:asciiTheme="minorHAnsi" w:hAnsiTheme="minorHAnsi" w:cstheme="minorHAnsi"/>
        </w:rPr>
        <w:t xml:space="preserve"> Uvedené je odůvodněno zejména tím, že dodavatel </w:t>
      </w:r>
      <w:r w:rsidR="00317F05">
        <w:rPr>
          <w:rFonts w:ascii="Calibri" w:hAnsi="Calibri"/>
        </w:rPr>
        <w:t>předložil nejvýhodnější nabídku v původním zadávacím řízení</w:t>
      </w:r>
      <w:r w:rsidR="00A04B48" w:rsidRPr="00D71C37">
        <w:rPr>
          <w:rFonts w:asciiTheme="minorHAnsi" w:hAnsiTheme="minorHAnsi" w:cstheme="minorHAnsi"/>
        </w:rPr>
        <w:t>.</w:t>
      </w:r>
      <w:r w:rsidR="00A246E6">
        <w:rPr>
          <w:rFonts w:asciiTheme="minorHAnsi" w:hAnsiTheme="minorHAnsi" w:cstheme="minorHAnsi"/>
        </w:rPr>
        <w:t xml:space="preserve"> Součet hodnot všech nepodstatných změn nepřevyšuje 1</w:t>
      </w:r>
      <w:r w:rsidR="00F43EEE">
        <w:rPr>
          <w:rFonts w:asciiTheme="minorHAnsi" w:hAnsiTheme="minorHAnsi" w:cstheme="minorHAnsi"/>
        </w:rPr>
        <w:t>5</w:t>
      </w:r>
      <w:r w:rsidR="00A246E6">
        <w:rPr>
          <w:rFonts w:asciiTheme="minorHAnsi" w:hAnsiTheme="minorHAnsi" w:cstheme="minorHAnsi"/>
        </w:rPr>
        <w:t xml:space="preserve"> % původní hodnoty závazku a současně tyto změny nemění celkovou povahu veřejné zakázky.</w:t>
      </w:r>
    </w:p>
    <w:p w:rsidR="00A04B48" w:rsidRPr="00D71C37" w:rsidRDefault="00A04B48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A04B48" w:rsidRPr="00D71C37" w:rsidRDefault="004A1F23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z</w:t>
      </w:r>
      <w:r w:rsidR="00A04B48" w:rsidRPr="00D71C37">
        <w:rPr>
          <w:rFonts w:asciiTheme="minorHAnsi" w:hAnsiTheme="minorHAnsi" w:cstheme="minorHAnsi"/>
        </w:rPr>
        <w:t xml:space="preserve">měny </w:t>
      </w:r>
      <w:r w:rsidR="00A414C2" w:rsidRPr="00D71C37">
        <w:rPr>
          <w:rFonts w:asciiTheme="minorHAnsi" w:hAnsiTheme="minorHAnsi" w:cstheme="minorHAnsi"/>
        </w:rPr>
        <w:t>S</w:t>
      </w:r>
      <w:r w:rsidR="00A04B48" w:rsidRPr="00D71C37">
        <w:rPr>
          <w:rFonts w:asciiTheme="minorHAnsi" w:hAnsiTheme="minorHAnsi" w:cstheme="minorHAnsi"/>
        </w:rPr>
        <w:t xml:space="preserve">mlouvy </w:t>
      </w:r>
      <w:r w:rsidR="008C4BB5">
        <w:rPr>
          <w:rFonts w:asciiTheme="minorHAnsi" w:hAnsiTheme="minorHAnsi" w:cstheme="minorHAnsi"/>
        </w:rPr>
        <w:t xml:space="preserve">z důvodu dodatečných </w:t>
      </w:r>
      <w:r w:rsidR="003C0167">
        <w:rPr>
          <w:rFonts w:asciiTheme="minorHAnsi" w:hAnsiTheme="minorHAnsi" w:cstheme="minorHAnsi"/>
        </w:rPr>
        <w:t>stavebních prací</w:t>
      </w:r>
      <w:r w:rsidR="008C4BB5">
        <w:rPr>
          <w:rFonts w:asciiTheme="minorHAnsi" w:hAnsiTheme="minorHAnsi" w:cstheme="minorHAnsi"/>
        </w:rPr>
        <w:t>, které nebyly zahrnuty v původním závazku ze smlouvy na veřejnou zakázku</w:t>
      </w:r>
      <w:r w:rsidR="00AF7E30">
        <w:rPr>
          <w:rFonts w:asciiTheme="minorHAnsi" w:hAnsiTheme="minorHAnsi" w:cstheme="minorHAnsi"/>
        </w:rPr>
        <w:t>,</w:t>
      </w:r>
      <w:r w:rsidR="008C4BB5">
        <w:rPr>
          <w:rFonts w:asciiTheme="minorHAnsi" w:hAnsiTheme="minorHAnsi" w:cstheme="minorHAnsi"/>
        </w:rPr>
        <w:t xml:space="preserve"> </w:t>
      </w:r>
      <w:r w:rsidR="00A04B48" w:rsidRPr="00D71C37">
        <w:rPr>
          <w:rFonts w:asciiTheme="minorHAnsi" w:hAnsiTheme="minorHAnsi" w:cstheme="minorHAnsi"/>
        </w:rPr>
        <w:t xml:space="preserve">jsou nezbytné a změna v osobě dodavatele není možná z ekonomických </w:t>
      </w:r>
      <w:r w:rsidR="00A414C2" w:rsidRPr="00D71C37">
        <w:rPr>
          <w:rFonts w:asciiTheme="minorHAnsi" w:hAnsiTheme="minorHAnsi" w:cstheme="minorHAnsi"/>
        </w:rPr>
        <w:t>a</w:t>
      </w:r>
      <w:r w:rsidR="00A04B48" w:rsidRPr="00D71C37">
        <w:rPr>
          <w:rFonts w:asciiTheme="minorHAnsi" w:hAnsiTheme="minorHAnsi" w:cstheme="minorHAnsi"/>
        </w:rPr>
        <w:t xml:space="preserve"> technických důvodů spočívajících zejména v požadavcích na slučitelnost nebo interoperabilitu se stávajícím zařízením, službami nebo instalacemi pořízenými zadavate</w:t>
      </w:r>
      <w:r w:rsidR="00A414C2" w:rsidRPr="00D71C37">
        <w:rPr>
          <w:rFonts w:asciiTheme="minorHAnsi" w:hAnsiTheme="minorHAnsi" w:cstheme="minorHAnsi"/>
        </w:rPr>
        <w:t>lem v původním zadávacím řízení a současně</w:t>
      </w:r>
      <w:r w:rsidR="00A04B48" w:rsidRPr="00D71C37">
        <w:rPr>
          <w:rFonts w:asciiTheme="minorHAnsi" w:hAnsiTheme="minorHAnsi" w:cstheme="minorHAnsi"/>
        </w:rPr>
        <w:t xml:space="preserve"> </w:t>
      </w:r>
      <w:r w:rsidR="00AF7E30">
        <w:rPr>
          <w:rFonts w:asciiTheme="minorHAnsi" w:hAnsiTheme="minorHAnsi" w:cstheme="minorHAnsi"/>
        </w:rPr>
        <w:t xml:space="preserve">by </w:t>
      </w:r>
      <w:r w:rsidR="00A414C2" w:rsidRPr="00D71C37">
        <w:rPr>
          <w:rFonts w:asciiTheme="minorHAnsi" w:hAnsiTheme="minorHAnsi" w:cstheme="minorHAnsi"/>
        </w:rPr>
        <w:t>z</w:t>
      </w:r>
      <w:r w:rsidR="00A04B48" w:rsidRPr="00D71C37">
        <w:rPr>
          <w:rFonts w:asciiTheme="minorHAnsi" w:hAnsiTheme="minorHAnsi" w:cstheme="minorHAnsi"/>
        </w:rPr>
        <w:t>měna v osobě dodavatele způsobila zadavateli značné obtíže</w:t>
      </w:r>
      <w:r w:rsidR="00A414C2" w:rsidRPr="00D71C37">
        <w:rPr>
          <w:rFonts w:asciiTheme="minorHAnsi" w:hAnsiTheme="minorHAnsi" w:cstheme="minorHAnsi"/>
        </w:rPr>
        <w:t xml:space="preserve"> při provozu laboratoří v budovách „C a L“</w:t>
      </w:r>
      <w:r w:rsidR="00A04B48" w:rsidRPr="00D71C37">
        <w:rPr>
          <w:rFonts w:asciiTheme="minorHAnsi" w:hAnsiTheme="minorHAnsi" w:cstheme="minorHAnsi"/>
        </w:rPr>
        <w:t xml:space="preserve">. Hodnota </w:t>
      </w:r>
      <w:r w:rsidR="004839ED">
        <w:rPr>
          <w:rFonts w:asciiTheme="minorHAnsi" w:hAnsiTheme="minorHAnsi" w:cstheme="minorHAnsi"/>
        </w:rPr>
        <w:t xml:space="preserve">všech </w:t>
      </w:r>
      <w:r w:rsidR="00A04B48" w:rsidRPr="00D71C37">
        <w:rPr>
          <w:rFonts w:asciiTheme="minorHAnsi" w:hAnsiTheme="minorHAnsi" w:cstheme="minorHAnsi"/>
        </w:rPr>
        <w:t xml:space="preserve">změn dodatečných </w:t>
      </w:r>
      <w:r w:rsidR="003C0167">
        <w:rPr>
          <w:rFonts w:asciiTheme="minorHAnsi" w:hAnsiTheme="minorHAnsi" w:cstheme="minorHAnsi"/>
        </w:rPr>
        <w:t>stavebních prací</w:t>
      </w:r>
      <w:r w:rsidR="00A04B48" w:rsidRPr="00D71C37">
        <w:rPr>
          <w:rFonts w:asciiTheme="minorHAnsi" w:hAnsiTheme="minorHAnsi" w:cstheme="minorHAnsi"/>
        </w:rPr>
        <w:t xml:space="preserve"> nepřekročila 50 % původní hodnoty závazku.</w:t>
      </w:r>
    </w:p>
    <w:p w:rsidR="00A414C2" w:rsidRPr="00D71C37" w:rsidRDefault="00A414C2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A414C2" w:rsidRPr="00D71C37" w:rsidRDefault="00E97255" w:rsidP="00A414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Potřeba </w:t>
      </w:r>
      <w:r w:rsidR="00A246E6">
        <w:rPr>
          <w:rFonts w:asciiTheme="minorHAnsi" w:hAnsiTheme="minorHAnsi" w:cstheme="minorHAnsi"/>
        </w:rPr>
        <w:t xml:space="preserve">dalších </w:t>
      </w:r>
      <w:r w:rsidRPr="00D71C37">
        <w:rPr>
          <w:rFonts w:asciiTheme="minorHAnsi" w:hAnsiTheme="minorHAnsi" w:cstheme="minorHAnsi"/>
        </w:rPr>
        <w:t>z</w:t>
      </w:r>
      <w:r w:rsidR="00A414C2" w:rsidRPr="00D71C37">
        <w:rPr>
          <w:rFonts w:asciiTheme="minorHAnsi" w:hAnsiTheme="minorHAnsi" w:cstheme="minorHAnsi"/>
        </w:rPr>
        <w:t>měn Smlouvy</w:t>
      </w:r>
      <w:r w:rsidRPr="00D71C37">
        <w:rPr>
          <w:rFonts w:asciiTheme="minorHAnsi" w:hAnsiTheme="minorHAnsi" w:cstheme="minorHAnsi"/>
        </w:rPr>
        <w:t xml:space="preserve"> </w:t>
      </w:r>
      <w:r w:rsidR="00A414C2" w:rsidRPr="00D71C37">
        <w:rPr>
          <w:rFonts w:asciiTheme="minorHAnsi" w:hAnsiTheme="minorHAnsi" w:cstheme="minorHAnsi"/>
        </w:rPr>
        <w:t xml:space="preserve">vznikla v důsledku okolností, které zadavatel jednající s </w:t>
      </w:r>
      <w:r w:rsidRPr="00D71C37">
        <w:rPr>
          <w:rFonts w:asciiTheme="minorHAnsi" w:hAnsiTheme="minorHAnsi" w:cstheme="minorHAnsi"/>
        </w:rPr>
        <w:t>náležitou péčí nemohl předvídat ve vztahu k</w:t>
      </w:r>
      <w:r w:rsidR="003C0167">
        <w:rPr>
          <w:rFonts w:asciiTheme="minorHAnsi" w:hAnsiTheme="minorHAnsi" w:cstheme="minorHAnsi"/>
        </w:rPr>
        <w:t xml:space="preserve"> již uvedený</w:t>
      </w:r>
      <w:r w:rsidR="00AA1F60">
        <w:rPr>
          <w:rFonts w:asciiTheme="minorHAnsi" w:hAnsiTheme="minorHAnsi" w:cstheme="minorHAnsi"/>
        </w:rPr>
        <w:t>m</w:t>
      </w:r>
      <w:r w:rsidR="00D60D6B">
        <w:rPr>
          <w:rFonts w:asciiTheme="minorHAnsi" w:hAnsiTheme="minorHAnsi" w:cstheme="minorHAnsi"/>
        </w:rPr>
        <w:t xml:space="preserve"> důvodům výše</w:t>
      </w:r>
      <w:r w:rsidR="003C0167">
        <w:rPr>
          <w:rFonts w:asciiTheme="minorHAnsi" w:hAnsiTheme="minorHAnsi" w:cstheme="minorHAnsi"/>
        </w:rPr>
        <w:t xml:space="preserve"> v této preambuli.</w:t>
      </w:r>
      <w:r w:rsidRPr="000F2241">
        <w:rPr>
          <w:rFonts w:asciiTheme="minorHAnsi" w:hAnsiTheme="minorHAnsi" w:cstheme="minorHAnsi"/>
        </w:rPr>
        <w:t xml:space="preserve"> </w:t>
      </w:r>
      <w:r w:rsidR="004A1F23">
        <w:rPr>
          <w:rFonts w:asciiTheme="minorHAnsi" w:hAnsiTheme="minorHAnsi" w:cstheme="minorHAnsi"/>
        </w:rPr>
        <w:t>Ani tyto z</w:t>
      </w:r>
      <w:r w:rsidR="000F2241">
        <w:rPr>
          <w:rFonts w:asciiTheme="minorHAnsi" w:hAnsiTheme="minorHAnsi" w:cstheme="minorHAnsi"/>
        </w:rPr>
        <w:t xml:space="preserve">měny Smlouvy </w:t>
      </w:r>
      <w:r w:rsidR="00A414C2" w:rsidRPr="00D71C37">
        <w:rPr>
          <w:rFonts w:asciiTheme="minorHAnsi" w:hAnsiTheme="minorHAnsi" w:cstheme="minorHAnsi"/>
        </w:rPr>
        <w:t>nemění cel</w:t>
      </w:r>
      <w:r w:rsidRPr="00D71C37">
        <w:rPr>
          <w:rFonts w:asciiTheme="minorHAnsi" w:hAnsiTheme="minorHAnsi" w:cstheme="minorHAnsi"/>
        </w:rPr>
        <w:t>kovou povahu veřejné zakázky.</w:t>
      </w:r>
      <w:r w:rsidR="00A246E6">
        <w:rPr>
          <w:rFonts w:asciiTheme="minorHAnsi" w:hAnsiTheme="minorHAnsi" w:cstheme="minorHAnsi"/>
        </w:rPr>
        <w:t xml:space="preserve"> </w:t>
      </w:r>
      <w:r w:rsidR="00A246E6" w:rsidRPr="00D71C37">
        <w:rPr>
          <w:rFonts w:asciiTheme="minorHAnsi" w:hAnsiTheme="minorHAnsi" w:cstheme="minorHAnsi"/>
        </w:rPr>
        <w:t xml:space="preserve">Hodnota </w:t>
      </w:r>
      <w:r w:rsidR="004839ED">
        <w:rPr>
          <w:rFonts w:asciiTheme="minorHAnsi" w:hAnsiTheme="minorHAnsi" w:cstheme="minorHAnsi"/>
        </w:rPr>
        <w:t xml:space="preserve">všech </w:t>
      </w:r>
      <w:r w:rsidR="00A246E6">
        <w:rPr>
          <w:rFonts w:asciiTheme="minorHAnsi" w:hAnsiTheme="minorHAnsi" w:cstheme="minorHAnsi"/>
        </w:rPr>
        <w:t>nepředvídaných</w:t>
      </w:r>
      <w:r w:rsidR="00A246E6" w:rsidRPr="00D71C37">
        <w:rPr>
          <w:rFonts w:asciiTheme="minorHAnsi" w:hAnsiTheme="minorHAnsi" w:cstheme="minorHAnsi"/>
        </w:rPr>
        <w:t xml:space="preserve"> změn nepřekročila 50 % původní hodnoty závazku.</w:t>
      </w:r>
    </w:p>
    <w:p w:rsidR="00D71C37" w:rsidRDefault="00D71C37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1823A4" w:rsidRPr="001823A4" w:rsidRDefault="001823A4" w:rsidP="001823A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Změny rozsahu provedených stavebních prací </w:t>
      </w:r>
      <w:r w:rsidR="00317F05">
        <w:rPr>
          <w:rFonts w:asciiTheme="minorHAnsi" w:hAnsiTheme="minorHAnsi" w:cstheme="minorHAnsi"/>
        </w:rPr>
        <w:t xml:space="preserve">rovněž </w:t>
      </w:r>
      <w:r>
        <w:rPr>
          <w:rFonts w:asciiTheme="minorHAnsi" w:hAnsiTheme="minorHAnsi" w:cstheme="minorHAnsi"/>
        </w:rPr>
        <w:t xml:space="preserve">nejsou </w:t>
      </w:r>
      <w:r w:rsidRPr="00D71C37">
        <w:rPr>
          <w:rFonts w:asciiTheme="minorHAnsi" w:hAnsiTheme="minorHAnsi" w:cstheme="minorHAnsi"/>
        </w:rPr>
        <w:t>podstatnou změnou závazku ze smlouvy na veřejnou zakázku</w:t>
      </w:r>
      <w:r>
        <w:rPr>
          <w:rFonts w:asciiTheme="minorHAnsi" w:hAnsiTheme="minorHAnsi" w:cstheme="minorHAnsi"/>
        </w:rPr>
        <w:t xml:space="preserve">, neboť </w:t>
      </w:r>
      <w:r w:rsidRPr="001823A4">
        <w:rPr>
          <w:rFonts w:asciiTheme="minorHAnsi" w:hAnsiTheme="minorHAnsi" w:cstheme="minorHAnsi"/>
        </w:rPr>
        <w:t>nové položky soupisu stavebních prací představují srovnatelný druh materiálu nebo prací ve vztahu k nahrazovaným položkám,</w:t>
      </w:r>
      <w:r>
        <w:rPr>
          <w:rFonts w:asciiTheme="minorHAnsi" w:hAnsiTheme="minorHAnsi" w:cstheme="minorHAnsi"/>
        </w:rPr>
        <w:t xml:space="preserve"> </w:t>
      </w:r>
      <w:r w:rsidRPr="001823A4">
        <w:rPr>
          <w:rFonts w:asciiTheme="minorHAnsi" w:hAnsiTheme="minorHAnsi" w:cstheme="minorHAnsi"/>
        </w:rPr>
        <w:t>cena materiálu nebo prací podle nových položek soupisu stavebních prací je ve vztahu k nahrazov</w:t>
      </w:r>
      <w:r>
        <w:rPr>
          <w:rFonts w:asciiTheme="minorHAnsi" w:hAnsiTheme="minorHAnsi" w:cstheme="minorHAnsi"/>
        </w:rPr>
        <w:t xml:space="preserve">aným položkám stejná nebo nižší a </w:t>
      </w:r>
      <w:r w:rsidRPr="001823A4">
        <w:rPr>
          <w:rFonts w:asciiTheme="minorHAnsi" w:hAnsiTheme="minorHAnsi" w:cstheme="minorHAnsi"/>
        </w:rPr>
        <w:t>materiál nebo práce podle nových položek soupisu stavebních prací jsou ve vztahu k nahrazovaným položkám kvalitativně stejné nebo vyšší</w:t>
      </w:r>
      <w:r>
        <w:rPr>
          <w:rFonts w:asciiTheme="minorHAnsi" w:hAnsiTheme="minorHAnsi" w:cstheme="minorHAnsi"/>
        </w:rPr>
        <w:t>.</w:t>
      </w:r>
    </w:p>
    <w:p w:rsidR="00341A91" w:rsidRPr="00D71C37" w:rsidRDefault="00341A91" w:rsidP="00E644C9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DF09EE" w:rsidP="00AE3F99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plnění</w:t>
      </w:r>
    </w:p>
    <w:p w:rsidR="00DD0EEC" w:rsidRPr="00D71C37" w:rsidRDefault="00DD0EEC" w:rsidP="00DD0EEC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:rsidR="00DF09EE" w:rsidRDefault="00712B51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Vlivem změny rozsahu </w:t>
      </w:r>
      <w:r>
        <w:rPr>
          <w:rFonts w:asciiTheme="minorHAnsi" w:hAnsiTheme="minorHAnsi" w:cstheme="minorHAnsi"/>
        </w:rPr>
        <w:t xml:space="preserve">stavebních prací </w:t>
      </w:r>
      <w:r w:rsidR="00DF09EE">
        <w:rPr>
          <w:rFonts w:asciiTheme="minorHAnsi" w:hAnsiTheme="minorHAnsi" w:cstheme="minorHAnsi"/>
        </w:rPr>
        <w:t>se mění doba celkového dokončení díla.</w:t>
      </w:r>
    </w:p>
    <w:p w:rsidR="00E135B7" w:rsidRDefault="00E97255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</w:t>
      </w:r>
      <w:r w:rsidR="00DF09EE">
        <w:rPr>
          <w:rFonts w:asciiTheme="minorHAnsi" w:hAnsiTheme="minorHAnsi" w:cstheme="minorHAnsi"/>
        </w:rPr>
        <w:t>2</w:t>
      </w:r>
      <w:r w:rsidRPr="00D71C37">
        <w:rPr>
          <w:rFonts w:asciiTheme="minorHAnsi" w:hAnsiTheme="minorHAnsi" w:cstheme="minorHAnsi"/>
        </w:rPr>
        <w:t xml:space="preserve">. </w:t>
      </w:r>
      <w:r w:rsidR="00DF09EE">
        <w:rPr>
          <w:rFonts w:asciiTheme="minorHAnsi" w:hAnsiTheme="minorHAnsi" w:cstheme="minorHAnsi"/>
        </w:rPr>
        <w:t xml:space="preserve">odst. </w:t>
      </w:r>
      <w:r w:rsidR="00DB0AB6">
        <w:rPr>
          <w:rFonts w:asciiTheme="minorHAnsi" w:hAnsiTheme="minorHAnsi" w:cstheme="minorHAnsi"/>
        </w:rPr>
        <w:t>2.</w:t>
      </w:r>
      <w:r w:rsidR="00DF09EE">
        <w:rPr>
          <w:rFonts w:asciiTheme="minorHAnsi" w:hAnsiTheme="minorHAnsi" w:cstheme="minorHAnsi"/>
        </w:rPr>
        <w:t xml:space="preserve">4. </w:t>
      </w:r>
      <w:r w:rsidR="007B04DD">
        <w:rPr>
          <w:rFonts w:asciiTheme="minorHAnsi" w:hAnsiTheme="minorHAnsi" w:cstheme="minorHAnsi"/>
        </w:rPr>
        <w:t xml:space="preserve">Smlouvy se </w:t>
      </w:r>
      <w:r w:rsidR="000C7C60">
        <w:rPr>
          <w:rFonts w:asciiTheme="minorHAnsi" w:hAnsiTheme="minorHAnsi" w:cstheme="minorHAnsi"/>
        </w:rPr>
        <w:t xml:space="preserve">proto </w:t>
      </w:r>
      <w:r w:rsidR="00DF09EE">
        <w:rPr>
          <w:rFonts w:asciiTheme="minorHAnsi" w:hAnsiTheme="minorHAnsi" w:cstheme="minorHAnsi"/>
        </w:rPr>
        <w:t>ruší a nahrazuje textem</w:t>
      </w:r>
      <w:r w:rsidRPr="00D71C37">
        <w:rPr>
          <w:rFonts w:asciiTheme="minorHAnsi" w:hAnsiTheme="minorHAnsi" w:cstheme="minorHAnsi"/>
        </w:rPr>
        <w:t xml:space="preserve">: </w:t>
      </w:r>
    </w:p>
    <w:p w:rsidR="002068C9" w:rsidRDefault="00DF09EE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DF09EE">
        <w:rPr>
          <w:rFonts w:asciiTheme="minorHAnsi" w:hAnsiTheme="minorHAnsi" w:cstheme="minorHAnsi"/>
          <w:b/>
        </w:rPr>
        <w:t xml:space="preserve">Celkové dílo bude dokončeno a předáno do </w:t>
      </w:r>
      <w:r>
        <w:rPr>
          <w:rFonts w:asciiTheme="minorHAnsi" w:hAnsiTheme="minorHAnsi" w:cstheme="minorHAnsi"/>
          <w:b/>
        </w:rPr>
        <w:t>3</w:t>
      </w:r>
      <w:r w:rsidR="00712B51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. 1</w:t>
      </w:r>
      <w:r w:rsidR="00712B51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 201</w:t>
      </w:r>
      <w:r w:rsidR="00712B51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.</w:t>
      </w:r>
    </w:p>
    <w:p w:rsidR="00D71C37" w:rsidRDefault="00DF09EE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berou na vědomí, že </w:t>
      </w:r>
      <w:r w:rsidR="00712B51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ve stejném smyslu upravuje i harmonogram prací.</w:t>
      </w:r>
    </w:p>
    <w:p w:rsidR="00DF09EE" w:rsidRPr="00D71C37" w:rsidRDefault="00DF09EE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</w:p>
    <w:p w:rsidR="00BE0DEB" w:rsidRPr="00D71C37" w:rsidRDefault="00AE3F99" w:rsidP="00AE3F99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Cena</w:t>
      </w:r>
    </w:p>
    <w:p w:rsidR="00DD0EEC" w:rsidRPr="00D71C37" w:rsidRDefault="00DD0EEC" w:rsidP="00AE3F99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:rsidR="00AE3F99" w:rsidRPr="00D71C37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Vlivem změny rozsahu </w:t>
      </w:r>
      <w:r w:rsidR="000C7C60">
        <w:rPr>
          <w:rFonts w:asciiTheme="minorHAnsi" w:hAnsiTheme="minorHAnsi" w:cstheme="minorHAnsi"/>
        </w:rPr>
        <w:t>stavebních prací</w:t>
      </w:r>
      <w:r w:rsidR="00FC73AE">
        <w:rPr>
          <w:rFonts w:asciiTheme="minorHAnsi" w:hAnsiTheme="minorHAnsi" w:cstheme="minorHAnsi"/>
        </w:rPr>
        <w:t xml:space="preserve"> dochází také ke změně ceny</w:t>
      </w:r>
      <w:r w:rsidR="00E41311">
        <w:rPr>
          <w:rFonts w:asciiTheme="minorHAnsi" w:hAnsiTheme="minorHAnsi" w:cstheme="minorHAnsi"/>
        </w:rPr>
        <w:t xml:space="preserve"> díla</w:t>
      </w:r>
      <w:r w:rsidRPr="00D71C37">
        <w:rPr>
          <w:rFonts w:asciiTheme="minorHAnsi" w:hAnsiTheme="minorHAnsi" w:cstheme="minorHAnsi"/>
        </w:rPr>
        <w:t>.</w:t>
      </w:r>
    </w:p>
    <w:p w:rsidR="00E135B7" w:rsidRDefault="00AE3F99" w:rsidP="00AE3F99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</w:t>
      </w:r>
      <w:r w:rsidR="00DF09EE">
        <w:rPr>
          <w:rFonts w:asciiTheme="minorHAnsi" w:hAnsiTheme="minorHAnsi" w:cstheme="minorHAnsi"/>
        </w:rPr>
        <w:t>5</w:t>
      </w:r>
      <w:r w:rsidRPr="00D71C37">
        <w:rPr>
          <w:rFonts w:asciiTheme="minorHAnsi" w:hAnsiTheme="minorHAnsi" w:cstheme="minorHAnsi"/>
        </w:rPr>
        <w:t xml:space="preserve">. odstavec </w:t>
      </w:r>
      <w:r w:rsidR="00DF09EE">
        <w:rPr>
          <w:rFonts w:asciiTheme="minorHAnsi" w:hAnsiTheme="minorHAnsi" w:cstheme="minorHAnsi"/>
        </w:rPr>
        <w:t>5.1.</w:t>
      </w:r>
      <w:r w:rsidRPr="00D71C37">
        <w:rPr>
          <w:rFonts w:asciiTheme="minorHAnsi" w:hAnsiTheme="minorHAnsi" w:cstheme="minorHAnsi"/>
        </w:rPr>
        <w:t xml:space="preserve"> </w:t>
      </w:r>
      <w:r w:rsidR="00D71C37" w:rsidRPr="00D71C37">
        <w:rPr>
          <w:rFonts w:asciiTheme="minorHAnsi" w:hAnsiTheme="minorHAnsi" w:cstheme="minorHAnsi"/>
        </w:rPr>
        <w:t xml:space="preserve">Smlouvy </w:t>
      </w:r>
      <w:r w:rsidRPr="00D71C37">
        <w:rPr>
          <w:rFonts w:asciiTheme="minorHAnsi" w:hAnsiTheme="minorHAnsi" w:cstheme="minorHAnsi"/>
        </w:rPr>
        <w:t xml:space="preserve">se </w:t>
      </w:r>
      <w:r w:rsidR="00D71C37" w:rsidRPr="00D71C37">
        <w:rPr>
          <w:rFonts w:asciiTheme="minorHAnsi" w:hAnsiTheme="minorHAnsi" w:cstheme="minorHAnsi"/>
        </w:rPr>
        <w:t xml:space="preserve">proto </w:t>
      </w:r>
      <w:r w:rsidRPr="00D71C37">
        <w:rPr>
          <w:rFonts w:asciiTheme="minorHAnsi" w:hAnsiTheme="minorHAnsi" w:cstheme="minorHAnsi"/>
        </w:rPr>
        <w:t xml:space="preserve">ruší a nahrazuje textem: </w:t>
      </w:r>
    </w:p>
    <w:p w:rsidR="00D71C37" w:rsidRDefault="005E793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 w:rsidRPr="005E793B">
        <w:rPr>
          <w:rFonts w:asciiTheme="minorHAnsi" w:hAnsiTheme="minorHAnsi" w:cstheme="minorHAnsi"/>
          <w:b/>
        </w:rPr>
        <w:t xml:space="preserve">Smluvní strany se dohodly na celkové smluvní ceně díla, která činí </w:t>
      </w:r>
      <w:r w:rsidR="00144D1A">
        <w:rPr>
          <w:rFonts w:asciiTheme="minorHAnsi" w:hAnsiTheme="minorHAnsi" w:cstheme="minorHAnsi"/>
          <w:b/>
        </w:rPr>
        <w:t>6 379 609,96</w:t>
      </w:r>
      <w:r w:rsidR="00AA1F60" w:rsidRPr="00AA1F60">
        <w:rPr>
          <w:rFonts w:asciiTheme="minorHAnsi" w:hAnsiTheme="minorHAnsi" w:cstheme="minorHAnsi"/>
          <w:b/>
        </w:rPr>
        <w:t xml:space="preserve"> Kč</w:t>
      </w:r>
      <w:r w:rsidR="00144D1A">
        <w:rPr>
          <w:rFonts w:asciiTheme="minorHAnsi" w:hAnsiTheme="minorHAnsi" w:cstheme="minorHAnsi"/>
          <w:b/>
        </w:rPr>
        <w:t xml:space="preserve"> bez DPH</w:t>
      </w:r>
    </w:p>
    <w:p w:rsidR="00144D1A" w:rsidRPr="005E793B" w:rsidRDefault="00144D1A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</w:t>
      </w:r>
      <w:r w:rsidRPr="00D60D6B">
        <w:rPr>
          <w:rFonts w:asciiTheme="minorHAnsi" w:hAnsiTheme="minorHAnsi" w:cstheme="minorHAnsi"/>
        </w:rPr>
        <w:t>slovy: šestmilionůtřistasedmdesátdevěttisícšestsetdevětkorundevadesátšesthalérů)</w:t>
      </w:r>
    </w:p>
    <w:p w:rsidR="005E793B" w:rsidRDefault="005E793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</w:p>
    <w:p w:rsidR="005E793B" w:rsidRDefault="005E793B" w:rsidP="005E793B">
      <w:pPr>
        <w:pStyle w:val="Odstavecseseznamem"/>
        <w:numPr>
          <w:ilvl w:val="0"/>
          <w:numId w:val="3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 w:rsidRPr="005E793B">
        <w:rPr>
          <w:rFonts w:asciiTheme="minorHAnsi" w:hAnsiTheme="minorHAnsi" w:cstheme="minorHAnsi"/>
          <w:b/>
        </w:rPr>
        <w:t>Položkový rozpočet</w:t>
      </w:r>
    </w:p>
    <w:p w:rsidR="005E793B" w:rsidRPr="005E793B" w:rsidRDefault="005E793B" w:rsidP="005E793B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</w:p>
    <w:p w:rsidR="005E793B" w:rsidRPr="00D71C37" w:rsidRDefault="005E793B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Vlivem změny rozsahu </w:t>
      </w:r>
      <w:r>
        <w:rPr>
          <w:rFonts w:asciiTheme="minorHAnsi" w:hAnsiTheme="minorHAnsi" w:cstheme="minorHAnsi"/>
        </w:rPr>
        <w:t>stavebních prací a změně ceny díla dochází také ke změně rozpočtu</w:t>
      </w:r>
      <w:r w:rsidRPr="00D71C37">
        <w:rPr>
          <w:rFonts w:asciiTheme="minorHAnsi" w:hAnsiTheme="minorHAnsi" w:cstheme="minorHAnsi"/>
        </w:rPr>
        <w:t>.</w:t>
      </w:r>
    </w:p>
    <w:p w:rsidR="00777980" w:rsidRDefault="00777980" w:rsidP="00777980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</w:t>
      </w:r>
      <w:r w:rsidR="005E793B">
        <w:rPr>
          <w:rFonts w:asciiTheme="minorHAnsi" w:hAnsiTheme="minorHAnsi" w:cstheme="minorHAnsi"/>
        </w:rPr>
        <w:t>5</w:t>
      </w:r>
      <w:r w:rsidRPr="00D71C37">
        <w:rPr>
          <w:rFonts w:asciiTheme="minorHAnsi" w:hAnsiTheme="minorHAnsi" w:cstheme="minorHAnsi"/>
        </w:rPr>
        <w:t xml:space="preserve">. odstavec </w:t>
      </w:r>
      <w:r w:rsidR="005E793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.3.</w:t>
      </w:r>
      <w:r w:rsidRPr="00D71C37">
        <w:rPr>
          <w:rFonts w:asciiTheme="minorHAnsi" w:hAnsiTheme="minorHAnsi" w:cstheme="minorHAnsi"/>
        </w:rPr>
        <w:t xml:space="preserve"> Smlouvy se </w:t>
      </w:r>
      <w:r w:rsidR="005E793B">
        <w:rPr>
          <w:rFonts w:asciiTheme="minorHAnsi" w:hAnsiTheme="minorHAnsi" w:cstheme="minorHAnsi"/>
        </w:rPr>
        <w:t>proto</w:t>
      </w:r>
      <w:r w:rsidRPr="00D71C37">
        <w:rPr>
          <w:rFonts w:asciiTheme="minorHAnsi" w:hAnsiTheme="minorHAnsi" w:cstheme="minorHAnsi"/>
        </w:rPr>
        <w:t xml:space="preserve"> ruší a nahrazuje textem: </w:t>
      </w:r>
    </w:p>
    <w:p w:rsidR="00777980" w:rsidRDefault="005E793B" w:rsidP="005E793B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5E793B">
        <w:rPr>
          <w:rFonts w:asciiTheme="minorHAnsi" w:hAnsiTheme="minorHAnsi" w:cstheme="minorHAnsi"/>
        </w:rPr>
        <w:t>Specifikace smluvní ceny s rozdělením na položky je uvedena v Příloze této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smlouvy (položkový rozpočet). Položkový rozpočet vypracoval zhotovitel jako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součást své nabídky a obsahuje všechny práce, dodávky a služby potřebné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k provedení díla.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Smluvní strany se dohodly</w:t>
      </w:r>
      <w:r w:rsidRPr="005E793B">
        <w:rPr>
          <w:rFonts w:asciiTheme="minorHAnsi" w:hAnsiTheme="minorHAnsi" w:cstheme="minorHAnsi"/>
          <w:b/>
        </w:rPr>
        <w:t xml:space="preserve"> na změně položkového rozpočtu, a to konkrétně dle Rozpočtu ze dne 30. 10. 2018</w:t>
      </w:r>
      <w:r w:rsidR="00F21730">
        <w:rPr>
          <w:rFonts w:asciiTheme="minorHAnsi" w:hAnsiTheme="minorHAnsi" w:cstheme="minorHAnsi"/>
          <w:b/>
        </w:rPr>
        <w:t xml:space="preserve"> a změnového listu</w:t>
      </w:r>
      <w:r w:rsidR="00DD7A76">
        <w:rPr>
          <w:rFonts w:asciiTheme="minorHAnsi" w:hAnsiTheme="minorHAnsi" w:cstheme="minorHAnsi"/>
          <w:b/>
        </w:rPr>
        <w:t xml:space="preserve"> zde dne 12. 11. 2018</w:t>
      </w:r>
      <w:r w:rsidR="00F21730">
        <w:rPr>
          <w:rFonts w:asciiTheme="minorHAnsi" w:hAnsiTheme="minorHAnsi" w:cstheme="minorHAnsi"/>
          <w:b/>
        </w:rPr>
        <w:t xml:space="preserve">, </w:t>
      </w:r>
      <w:r w:rsidR="00DD7A76">
        <w:rPr>
          <w:rFonts w:asciiTheme="minorHAnsi" w:hAnsiTheme="minorHAnsi" w:cstheme="minorHAnsi"/>
          <w:b/>
        </w:rPr>
        <w:t xml:space="preserve">jež </w:t>
      </w:r>
      <w:r>
        <w:rPr>
          <w:rFonts w:asciiTheme="minorHAnsi" w:hAnsiTheme="minorHAnsi" w:cstheme="minorHAnsi"/>
          <w:b/>
        </w:rPr>
        <w:t xml:space="preserve"> j</w:t>
      </w:r>
      <w:r w:rsidR="00F21730">
        <w:rPr>
          <w:rFonts w:asciiTheme="minorHAnsi" w:hAnsiTheme="minorHAnsi" w:cstheme="minorHAnsi"/>
          <w:b/>
        </w:rPr>
        <w:t>sou</w:t>
      </w:r>
      <w:r>
        <w:rPr>
          <w:rFonts w:asciiTheme="minorHAnsi" w:hAnsiTheme="minorHAnsi" w:cstheme="minorHAnsi"/>
          <w:b/>
        </w:rPr>
        <w:t xml:space="preserve"> přílohou dodatku č. 1 k této smlouvě</w:t>
      </w:r>
      <w:r w:rsidRPr="005E793B">
        <w:rPr>
          <w:rFonts w:asciiTheme="minorHAnsi" w:hAnsiTheme="minorHAnsi" w:cstheme="minorHAnsi"/>
          <w:b/>
        </w:rPr>
        <w:t>.</w:t>
      </w:r>
    </w:p>
    <w:p w:rsidR="005E793B" w:rsidRPr="00D71C37" w:rsidRDefault="005E793B" w:rsidP="00E644C9">
      <w:pPr>
        <w:numPr>
          <w:ilvl w:val="0"/>
          <w:numId w:val="0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</w:rPr>
      </w:pPr>
    </w:p>
    <w:p w:rsidR="00BE0DEB" w:rsidRPr="00D71C37" w:rsidRDefault="00BE0DEB" w:rsidP="00D71C37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Závěrečná ustanovení</w:t>
      </w:r>
    </w:p>
    <w:p w:rsidR="00DD0EEC" w:rsidRPr="00D71C37" w:rsidRDefault="00DD0EEC" w:rsidP="00DD0EEC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:rsidR="00BE0DEB" w:rsidRPr="00D71C37" w:rsidRDefault="005E793B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64AD">
        <w:rPr>
          <w:rFonts w:asciiTheme="minorHAnsi" w:hAnsiTheme="minorHAnsi" w:cstheme="minorHAnsi"/>
        </w:rPr>
        <w:t xml:space="preserve">.1. </w:t>
      </w:r>
      <w:r w:rsidR="00BE0DEB" w:rsidRPr="00D71C37">
        <w:rPr>
          <w:rFonts w:asciiTheme="minorHAnsi" w:hAnsiTheme="minorHAnsi" w:cstheme="minorHAnsi"/>
        </w:rPr>
        <w:t xml:space="preserve">Tento dodatek je vyhotoven ve 4 výtiscích, z nichž 2 vyhotovení obdrží </w:t>
      </w:r>
      <w:r w:rsidR="00317F05">
        <w:rPr>
          <w:rFonts w:asciiTheme="minorHAnsi" w:hAnsiTheme="minorHAnsi" w:cstheme="minorHAnsi"/>
        </w:rPr>
        <w:t>objednatel</w:t>
      </w:r>
      <w:r w:rsidR="00BE0DEB" w:rsidRPr="00D71C37">
        <w:rPr>
          <w:rFonts w:asciiTheme="minorHAnsi" w:hAnsiTheme="minorHAnsi" w:cstheme="minorHAnsi"/>
        </w:rPr>
        <w:t xml:space="preserve"> a 2 vyhotovení </w:t>
      </w:r>
      <w:r w:rsidR="00317F05">
        <w:rPr>
          <w:rFonts w:asciiTheme="minorHAnsi" w:hAnsiTheme="minorHAnsi" w:cstheme="minorHAnsi"/>
        </w:rPr>
        <w:t>zhotovitel</w:t>
      </w:r>
      <w:r w:rsidR="00BE0DEB" w:rsidRPr="00D71C37">
        <w:rPr>
          <w:rFonts w:asciiTheme="minorHAnsi" w:hAnsiTheme="minorHAnsi" w:cstheme="minorHAnsi"/>
        </w:rPr>
        <w:t xml:space="preserve">. </w:t>
      </w:r>
    </w:p>
    <w:p w:rsidR="00BE0DEB" w:rsidRPr="00D71C37" w:rsidRDefault="005E793B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64AD">
        <w:rPr>
          <w:rFonts w:asciiTheme="minorHAnsi" w:hAnsiTheme="minorHAnsi" w:cstheme="minorHAnsi"/>
        </w:rPr>
        <w:t xml:space="preserve">.2. </w:t>
      </w:r>
      <w:r w:rsidR="00BE0DEB" w:rsidRPr="00D71C37">
        <w:rPr>
          <w:rFonts w:asciiTheme="minorHAnsi" w:hAnsiTheme="minorHAnsi" w:cstheme="minorHAnsi"/>
        </w:rPr>
        <w:t>Obě smluvní strany prohlašují, že se seznámily s celým textem dodatku včetně příloh a s celým obsahem dodatku souhlasí. Současně prohlašují, že tento dodatek nebyl sjednán v tísni ani za jinak jednostranně nevýhodných podmínek.</w:t>
      </w:r>
    </w:p>
    <w:p w:rsidR="00BE0DEB" w:rsidRPr="00D71C37" w:rsidRDefault="005E793B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64AD">
        <w:rPr>
          <w:rFonts w:asciiTheme="minorHAnsi" w:hAnsiTheme="minorHAnsi" w:cstheme="minorHAnsi"/>
        </w:rPr>
        <w:t xml:space="preserve">.3. </w:t>
      </w:r>
      <w:r w:rsidR="00BE0DEB" w:rsidRPr="00D71C37">
        <w:rPr>
          <w:rFonts w:asciiTheme="minorHAnsi" w:hAnsiTheme="minorHAnsi" w:cstheme="minorHAnsi"/>
        </w:rPr>
        <w:t>Tento dodatek nabývá platnosti a účinnosti dnem podpisu oběma smluvními stranami.</w:t>
      </w:r>
    </w:p>
    <w:p w:rsidR="00BE0DEB" w:rsidRPr="00D71C37" w:rsidRDefault="005E793B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64AD">
        <w:rPr>
          <w:rFonts w:asciiTheme="minorHAnsi" w:hAnsiTheme="minorHAnsi" w:cstheme="minorHAnsi"/>
        </w:rPr>
        <w:t xml:space="preserve">.4. </w:t>
      </w:r>
      <w:r w:rsidR="00317F05">
        <w:rPr>
          <w:rFonts w:asciiTheme="minorHAnsi" w:hAnsiTheme="minorHAnsi" w:cstheme="minorHAnsi"/>
        </w:rPr>
        <w:t>Zhotovitel</w:t>
      </w:r>
      <w:r w:rsidR="00BE0DEB" w:rsidRPr="00D71C37">
        <w:rPr>
          <w:rFonts w:asciiTheme="minorHAnsi" w:hAnsiTheme="minorHAnsi" w:cstheme="minorHAnsi"/>
        </w:rPr>
        <w:t xml:space="preserve"> souhlasí s uveřejněním plného znění tohoto dodatku včetně jeho příloh v registru smluv podle zákona č. 340/2015 Sb., o zvláštních podmínkách účinnosti některých smluv, uveřejňování těchto smluv a o registru smluv (zákon o registru smluv). Povinnost uveřejnit tento dodatek zajistí </w:t>
      </w:r>
      <w:r w:rsidR="00317F05">
        <w:rPr>
          <w:rFonts w:asciiTheme="minorHAnsi" w:hAnsiTheme="minorHAnsi" w:cstheme="minorHAnsi"/>
        </w:rPr>
        <w:t>objednatel</w:t>
      </w:r>
      <w:r w:rsidR="00BE0DEB" w:rsidRPr="00D71C37">
        <w:rPr>
          <w:rFonts w:asciiTheme="minorHAnsi" w:hAnsiTheme="minorHAnsi" w:cstheme="minorHAnsi"/>
        </w:rPr>
        <w:t xml:space="preserve"> v termínu do 10 dnů po podpisu tohoto dodatku.</w:t>
      </w:r>
    </w:p>
    <w:p w:rsidR="00BE0DEB" w:rsidRPr="00D71C37" w:rsidRDefault="005E793B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64AD">
        <w:rPr>
          <w:rFonts w:asciiTheme="minorHAnsi" w:hAnsiTheme="minorHAnsi" w:cstheme="minorHAnsi"/>
        </w:rPr>
        <w:t xml:space="preserve">.5. </w:t>
      </w:r>
      <w:r w:rsidR="00BE0DEB" w:rsidRPr="00D71C37">
        <w:rPr>
          <w:rFonts w:asciiTheme="minorHAnsi" w:hAnsiTheme="minorHAnsi" w:cstheme="minorHAnsi"/>
        </w:rPr>
        <w:t xml:space="preserve">Ostatní ujednání, která se dodatkem nemění, zůstávají nadále v platnosti dle původní </w:t>
      </w:r>
      <w:r w:rsidR="00D71C37" w:rsidRPr="00D71C37">
        <w:rPr>
          <w:rFonts w:asciiTheme="minorHAnsi" w:hAnsiTheme="minorHAnsi" w:cstheme="minorHAnsi"/>
        </w:rPr>
        <w:t>S</w:t>
      </w:r>
      <w:r w:rsidR="00BE0DEB" w:rsidRPr="00D71C37">
        <w:rPr>
          <w:rFonts w:asciiTheme="minorHAnsi" w:hAnsiTheme="minorHAnsi" w:cstheme="minorHAnsi"/>
        </w:rPr>
        <w:t xml:space="preserve">mlouvy </w:t>
      </w:r>
      <w:r w:rsidR="00C72412">
        <w:rPr>
          <w:rFonts w:asciiTheme="minorHAnsi" w:hAnsiTheme="minorHAnsi" w:cstheme="minorHAnsi"/>
        </w:rPr>
        <w:t>a dříve sjednaných dodatků.</w:t>
      </w:r>
    </w:p>
    <w:p w:rsidR="00BE0DEB" w:rsidRPr="00D71C37" w:rsidRDefault="005E793B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64AD">
        <w:rPr>
          <w:rFonts w:asciiTheme="minorHAnsi" w:hAnsiTheme="minorHAnsi" w:cstheme="minorHAnsi"/>
        </w:rPr>
        <w:t xml:space="preserve">.6. </w:t>
      </w:r>
      <w:r w:rsidR="00BE0DEB" w:rsidRPr="00D71C37">
        <w:rPr>
          <w:rFonts w:asciiTheme="minorHAnsi" w:hAnsiTheme="minorHAnsi" w:cstheme="minorHAnsi"/>
        </w:rPr>
        <w:t>Přílohy tohoto dodatku, které jsou nedílnou součástí smluvního ujednání:</w:t>
      </w:r>
    </w:p>
    <w:p w:rsidR="00BE0DEB" w:rsidRPr="00D71C37" w:rsidRDefault="004F1ADF" w:rsidP="008264AD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Příloha č. </w:t>
      </w:r>
      <w:r w:rsidR="00BE0DEB" w:rsidRPr="00D71C37">
        <w:rPr>
          <w:rFonts w:asciiTheme="minorHAnsi" w:hAnsiTheme="minorHAnsi" w:cstheme="minorHAnsi"/>
        </w:rPr>
        <w:t xml:space="preserve">1 – </w:t>
      </w:r>
      <w:r w:rsidR="00144D1A">
        <w:rPr>
          <w:rFonts w:asciiTheme="minorHAnsi" w:hAnsiTheme="minorHAnsi" w:cstheme="minorHAnsi"/>
        </w:rPr>
        <w:t>technický list změny č. 1 ze dne 12. 11. 2018 a r</w:t>
      </w:r>
      <w:r w:rsidR="005E793B">
        <w:rPr>
          <w:rFonts w:asciiTheme="minorHAnsi" w:hAnsiTheme="minorHAnsi" w:cstheme="minorHAnsi"/>
        </w:rPr>
        <w:t>ozpočt</w:t>
      </w:r>
      <w:r w:rsidR="00144D1A">
        <w:rPr>
          <w:rFonts w:asciiTheme="minorHAnsi" w:hAnsiTheme="minorHAnsi" w:cstheme="minorHAnsi"/>
        </w:rPr>
        <w:t>y</w:t>
      </w:r>
      <w:r w:rsidR="005E793B">
        <w:rPr>
          <w:rFonts w:asciiTheme="minorHAnsi" w:hAnsiTheme="minorHAnsi" w:cstheme="minorHAnsi"/>
        </w:rPr>
        <w:t xml:space="preserve"> ze dne 30. 10. 2018</w:t>
      </w:r>
    </w:p>
    <w:p w:rsidR="00D71C37" w:rsidRPr="00D71C37" w:rsidRDefault="00D71C37" w:rsidP="00BE0DEB">
      <w:pPr>
        <w:numPr>
          <w:ilvl w:val="0"/>
          <w:numId w:val="0"/>
        </w:numPr>
        <w:ind w:left="180" w:firstLine="528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 </w:t>
      </w:r>
      <w:r w:rsidR="00E135B7">
        <w:rPr>
          <w:rFonts w:asciiTheme="minorHAnsi" w:hAnsiTheme="minorHAnsi" w:cstheme="minorHAnsi"/>
        </w:rPr>
        <w:t>1</w:t>
      </w:r>
      <w:r w:rsidR="00144D1A">
        <w:rPr>
          <w:rFonts w:asciiTheme="minorHAnsi" w:hAnsiTheme="minorHAnsi" w:cstheme="minorHAnsi"/>
        </w:rPr>
        <w:t>4</w:t>
      </w:r>
      <w:r w:rsidR="00AE0E54" w:rsidRPr="00D71C37">
        <w:rPr>
          <w:rFonts w:asciiTheme="minorHAnsi" w:hAnsiTheme="minorHAnsi" w:cstheme="minorHAnsi"/>
        </w:rPr>
        <w:t>. 1</w:t>
      </w:r>
      <w:r w:rsidR="00144D1A">
        <w:rPr>
          <w:rFonts w:asciiTheme="minorHAnsi" w:hAnsiTheme="minorHAnsi" w:cstheme="minorHAnsi"/>
        </w:rPr>
        <w:t>1</w:t>
      </w:r>
      <w:r w:rsidR="00AE0E54" w:rsidRPr="00D71C37">
        <w:rPr>
          <w:rFonts w:asciiTheme="minorHAnsi" w:hAnsiTheme="minorHAnsi" w:cstheme="minorHAnsi"/>
        </w:rPr>
        <w:t>. 2018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 xml:space="preserve">dne </w:t>
      </w:r>
      <w:r w:rsidR="00E135B7">
        <w:rPr>
          <w:rFonts w:asciiTheme="minorHAnsi" w:hAnsiTheme="minorHAnsi" w:cstheme="minorHAnsi"/>
        </w:rPr>
        <w:t>1</w:t>
      </w:r>
      <w:r w:rsidR="00144D1A">
        <w:rPr>
          <w:rFonts w:asciiTheme="minorHAnsi" w:hAnsiTheme="minorHAnsi" w:cstheme="minorHAnsi"/>
        </w:rPr>
        <w:t>4</w:t>
      </w:r>
      <w:r w:rsidR="00AE0E54" w:rsidRPr="00D71C37">
        <w:rPr>
          <w:rFonts w:asciiTheme="minorHAnsi" w:hAnsiTheme="minorHAnsi" w:cstheme="minorHAnsi"/>
        </w:rPr>
        <w:t>. 1</w:t>
      </w:r>
      <w:r w:rsidR="00144D1A">
        <w:rPr>
          <w:rFonts w:asciiTheme="minorHAnsi" w:hAnsiTheme="minorHAnsi" w:cstheme="minorHAnsi"/>
        </w:rPr>
        <w:t>1</w:t>
      </w:r>
      <w:r w:rsidR="00AE0E54" w:rsidRPr="00D71C37">
        <w:rPr>
          <w:rFonts w:asciiTheme="minorHAnsi" w:hAnsiTheme="minorHAnsi" w:cstheme="minorHAnsi"/>
        </w:rPr>
        <w:t>. 2018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za objednatele: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za zhotovitele: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:rsidR="00AE0E54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317F05">
        <w:rPr>
          <w:rFonts w:asciiTheme="minorHAnsi" w:hAnsiTheme="minorHAnsi" w:cstheme="minorHAnsi"/>
        </w:rPr>
        <w:tab/>
      </w:r>
      <w:r w:rsidR="00317F05">
        <w:rPr>
          <w:rFonts w:ascii="Calibri" w:hAnsi="Calibri"/>
        </w:rPr>
        <w:t>Ing. Petr Janovský</w:t>
      </w:r>
    </w:p>
    <w:p w:rsidR="00BE0DEB" w:rsidRPr="00D71C37" w:rsidRDefault="00AE0E54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p w:rsidR="00F67815" w:rsidRPr="00D71C37" w:rsidRDefault="00F67815" w:rsidP="00DD0EEC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sectPr w:rsidR="00F67815" w:rsidRPr="00D71C37" w:rsidSect="000958E3">
      <w:headerReference w:type="default" r:id="rId9"/>
      <w:footerReference w:type="even" r:id="rId10"/>
      <w:footerReference w:type="default" r:id="rId11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63" w:rsidRDefault="001E3463">
      <w:r>
        <w:separator/>
      </w:r>
    </w:p>
  </w:endnote>
  <w:endnote w:type="continuationSeparator" w:id="0">
    <w:p w:rsidR="001E3463" w:rsidRDefault="001E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E3" w:rsidRDefault="00DB1E81" w:rsidP="000958E3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58E3" w:rsidRDefault="001E3463" w:rsidP="000958E3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E3" w:rsidRPr="00CC5206" w:rsidRDefault="00DB1E81" w:rsidP="000958E3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Pr="00CC5206">
      <w:rPr>
        <w:rFonts w:ascii="Arial" w:hAnsi="Arial" w:cs="Arial"/>
        <w:b/>
      </w:rPr>
      <w:fldChar w:fldCharType="separate"/>
    </w:r>
    <w:r w:rsidR="00C70767">
      <w:rPr>
        <w:rFonts w:ascii="Arial" w:hAnsi="Arial" w:cs="Arial"/>
        <w:b/>
        <w:noProof/>
      </w:rPr>
      <w:t>1</w:t>
    </w:r>
    <w:r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NUMPAGES  \* Arabic  \* MERGEFORMAT</w:instrText>
    </w:r>
    <w:r w:rsidRPr="00CC5206">
      <w:rPr>
        <w:rFonts w:ascii="Arial" w:hAnsi="Arial" w:cs="Arial"/>
        <w:b/>
      </w:rPr>
      <w:fldChar w:fldCharType="separate"/>
    </w:r>
    <w:r w:rsidR="00C70767">
      <w:rPr>
        <w:rFonts w:ascii="Arial" w:hAnsi="Arial" w:cs="Arial"/>
        <w:b/>
        <w:noProof/>
      </w:rPr>
      <w:t>3</w:t>
    </w:r>
    <w:r w:rsidRPr="00CC5206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63" w:rsidRDefault="001E3463">
      <w:r>
        <w:separator/>
      </w:r>
    </w:p>
  </w:footnote>
  <w:footnote w:type="continuationSeparator" w:id="0">
    <w:p w:rsidR="001E3463" w:rsidRDefault="001E3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E3" w:rsidRPr="00CC5206" w:rsidRDefault="001E3463" w:rsidP="000958E3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EB"/>
    <w:rsid w:val="00030C57"/>
    <w:rsid w:val="00094DCB"/>
    <w:rsid w:val="000B6AA2"/>
    <w:rsid w:val="000C5087"/>
    <w:rsid w:val="000C7C60"/>
    <w:rsid w:val="000E0360"/>
    <w:rsid w:val="000E146E"/>
    <w:rsid w:val="000F2241"/>
    <w:rsid w:val="000F7C8A"/>
    <w:rsid w:val="00112F81"/>
    <w:rsid w:val="0013574E"/>
    <w:rsid w:val="00144D1A"/>
    <w:rsid w:val="00145A90"/>
    <w:rsid w:val="00170795"/>
    <w:rsid w:val="00174B06"/>
    <w:rsid w:val="0017641F"/>
    <w:rsid w:val="001823A4"/>
    <w:rsid w:val="00197C18"/>
    <w:rsid w:val="001A31EF"/>
    <w:rsid w:val="001B7531"/>
    <w:rsid w:val="001C470C"/>
    <w:rsid w:val="001D3746"/>
    <w:rsid w:val="001D53BF"/>
    <w:rsid w:val="001E3463"/>
    <w:rsid w:val="002068C9"/>
    <w:rsid w:val="002360FB"/>
    <w:rsid w:val="0028051E"/>
    <w:rsid w:val="002C33D5"/>
    <w:rsid w:val="002E4273"/>
    <w:rsid w:val="00317F05"/>
    <w:rsid w:val="00341A91"/>
    <w:rsid w:val="003754EB"/>
    <w:rsid w:val="0038675E"/>
    <w:rsid w:val="003878E4"/>
    <w:rsid w:val="00392C03"/>
    <w:rsid w:val="0039568C"/>
    <w:rsid w:val="003B4CBC"/>
    <w:rsid w:val="003C0167"/>
    <w:rsid w:val="003F133F"/>
    <w:rsid w:val="004839ED"/>
    <w:rsid w:val="004A1F23"/>
    <w:rsid w:val="004B2C1B"/>
    <w:rsid w:val="004B4C98"/>
    <w:rsid w:val="004E3CA3"/>
    <w:rsid w:val="004E7690"/>
    <w:rsid w:val="004F1ADF"/>
    <w:rsid w:val="00517EA1"/>
    <w:rsid w:val="00531F08"/>
    <w:rsid w:val="00582308"/>
    <w:rsid w:val="00586DA0"/>
    <w:rsid w:val="005E793B"/>
    <w:rsid w:val="006A024D"/>
    <w:rsid w:val="006C5009"/>
    <w:rsid w:val="006F565C"/>
    <w:rsid w:val="00702D11"/>
    <w:rsid w:val="0070786B"/>
    <w:rsid w:val="00712B51"/>
    <w:rsid w:val="007158D0"/>
    <w:rsid w:val="0074669E"/>
    <w:rsid w:val="00777980"/>
    <w:rsid w:val="00782A30"/>
    <w:rsid w:val="007B04DD"/>
    <w:rsid w:val="007C7773"/>
    <w:rsid w:val="007E0E08"/>
    <w:rsid w:val="00821457"/>
    <w:rsid w:val="008264AD"/>
    <w:rsid w:val="008334A2"/>
    <w:rsid w:val="0084531E"/>
    <w:rsid w:val="00851B23"/>
    <w:rsid w:val="00871229"/>
    <w:rsid w:val="008868D5"/>
    <w:rsid w:val="008A10FF"/>
    <w:rsid w:val="008B78F8"/>
    <w:rsid w:val="008C4BB5"/>
    <w:rsid w:val="008D265F"/>
    <w:rsid w:val="009430FC"/>
    <w:rsid w:val="00967AAB"/>
    <w:rsid w:val="00A04B48"/>
    <w:rsid w:val="00A06724"/>
    <w:rsid w:val="00A246E6"/>
    <w:rsid w:val="00A414C2"/>
    <w:rsid w:val="00AA1F60"/>
    <w:rsid w:val="00AC3881"/>
    <w:rsid w:val="00AC4A1B"/>
    <w:rsid w:val="00AC7DF7"/>
    <w:rsid w:val="00AE0E54"/>
    <w:rsid w:val="00AE3F99"/>
    <w:rsid w:val="00AF0039"/>
    <w:rsid w:val="00AF381D"/>
    <w:rsid w:val="00AF7E30"/>
    <w:rsid w:val="00B54412"/>
    <w:rsid w:val="00B67AEA"/>
    <w:rsid w:val="00BE0DEB"/>
    <w:rsid w:val="00BE5080"/>
    <w:rsid w:val="00C115A9"/>
    <w:rsid w:val="00C12F95"/>
    <w:rsid w:val="00C70767"/>
    <w:rsid w:val="00C72412"/>
    <w:rsid w:val="00CE750C"/>
    <w:rsid w:val="00D60D6B"/>
    <w:rsid w:val="00D71C37"/>
    <w:rsid w:val="00D91FC0"/>
    <w:rsid w:val="00D96F04"/>
    <w:rsid w:val="00DB0AB6"/>
    <w:rsid w:val="00DB1E81"/>
    <w:rsid w:val="00DD0EEC"/>
    <w:rsid w:val="00DD7A76"/>
    <w:rsid w:val="00DF09EE"/>
    <w:rsid w:val="00E135B7"/>
    <w:rsid w:val="00E14C9A"/>
    <w:rsid w:val="00E15D81"/>
    <w:rsid w:val="00E41311"/>
    <w:rsid w:val="00E644C9"/>
    <w:rsid w:val="00E97255"/>
    <w:rsid w:val="00EC5B6D"/>
    <w:rsid w:val="00F21730"/>
    <w:rsid w:val="00F43EEE"/>
    <w:rsid w:val="00F67815"/>
    <w:rsid w:val="00FC0CBF"/>
    <w:rsid w:val="00FC367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DEB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numPr>
        <w:ilvl w:val="0"/>
        <w:numId w:val="0"/>
      </w:numPr>
      <w:tabs>
        <w:tab w:val="num" w:pos="144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DEB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numPr>
        <w:ilvl w:val="0"/>
        <w:numId w:val="0"/>
      </w:numPr>
      <w:tabs>
        <w:tab w:val="num" w:pos="144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ED16-6B06-4118-9ADC-463B18C5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2</cp:revision>
  <cp:lastPrinted>2018-12-19T14:00:00Z</cp:lastPrinted>
  <dcterms:created xsi:type="dcterms:W3CDTF">2018-12-20T15:21:00Z</dcterms:created>
  <dcterms:modified xsi:type="dcterms:W3CDTF">2018-12-20T15:21:00Z</dcterms:modified>
</cp:coreProperties>
</file>