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AB66" w14:textId="77777777" w:rsidR="00B2240E" w:rsidRPr="0084271B" w:rsidRDefault="0084271B" w:rsidP="00614AE3">
      <w:pPr>
        <w:jc w:val="right"/>
        <w:rPr>
          <w:rFonts w:ascii="Calibri" w:hAnsi="Calibri"/>
          <w:i/>
        </w:rPr>
      </w:pPr>
      <w:proofErr w:type="spellStart"/>
      <w:r w:rsidRPr="0084271B">
        <w:rPr>
          <w:rFonts w:ascii="Calibri" w:hAnsi="Calibri"/>
          <w:i/>
        </w:rPr>
        <w:t>Příloha</w:t>
      </w:r>
      <w:proofErr w:type="spellEnd"/>
      <w:r w:rsidRPr="0084271B">
        <w:rPr>
          <w:rFonts w:ascii="Calibri" w:hAnsi="Calibri"/>
          <w:i/>
        </w:rPr>
        <w:t xml:space="preserve"> ZD č. </w:t>
      </w:r>
      <w:r w:rsidR="00EE3D5D">
        <w:rPr>
          <w:rFonts w:ascii="Calibri" w:hAnsi="Calibri"/>
          <w:i/>
        </w:rPr>
        <w:t>4</w:t>
      </w:r>
    </w:p>
    <w:p w14:paraId="2A0457D9" w14:textId="77777777" w:rsidR="00770FA9" w:rsidRPr="00EE3D5D" w:rsidRDefault="00770FA9" w:rsidP="00B2240E">
      <w:pPr>
        <w:pStyle w:val="NormalniBold"/>
        <w:jc w:val="center"/>
        <w:rPr>
          <w:rFonts w:ascii="Calibri" w:hAnsi="Calibri"/>
          <w:sz w:val="28"/>
          <w:szCs w:val="28"/>
        </w:rPr>
      </w:pPr>
      <w:proofErr w:type="spellStart"/>
      <w:r w:rsidRPr="00EE3D5D">
        <w:rPr>
          <w:rFonts w:ascii="Calibri" w:hAnsi="Calibri"/>
          <w:sz w:val="28"/>
          <w:szCs w:val="28"/>
        </w:rPr>
        <w:t>Technické</w:t>
      </w:r>
      <w:proofErr w:type="spellEnd"/>
      <w:r w:rsidRPr="00EE3D5D">
        <w:rPr>
          <w:rFonts w:ascii="Calibri" w:hAnsi="Calibri"/>
          <w:sz w:val="28"/>
          <w:szCs w:val="28"/>
        </w:rPr>
        <w:t xml:space="preserve"> </w:t>
      </w:r>
      <w:proofErr w:type="spellStart"/>
      <w:r w:rsidRPr="00EE3D5D">
        <w:rPr>
          <w:rFonts w:ascii="Calibri" w:hAnsi="Calibri"/>
          <w:sz w:val="28"/>
          <w:szCs w:val="28"/>
        </w:rPr>
        <w:t>zadání</w:t>
      </w:r>
      <w:proofErr w:type="spellEnd"/>
      <w:r w:rsidRPr="00EE3D5D">
        <w:rPr>
          <w:rFonts w:ascii="Calibri" w:hAnsi="Calibri"/>
          <w:sz w:val="28"/>
          <w:szCs w:val="28"/>
        </w:rPr>
        <w:t xml:space="preserve"> </w:t>
      </w:r>
    </w:p>
    <w:p w14:paraId="03AAF9FA" w14:textId="77777777" w:rsidR="00EE3D5D" w:rsidRPr="00EE3D5D" w:rsidRDefault="00EE3D5D" w:rsidP="00B2240E">
      <w:pPr>
        <w:pStyle w:val="NormalniBold"/>
        <w:jc w:val="center"/>
        <w:rPr>
          <w:rFonts w:ascii="Calibri" w:hAnsi="Calibri"/>
          <w:color w:val="0070C0"/>
          <w:sz w:val="24"/>
          <w:szCs w:val="24"/>
        </w:rPr>
      </w:pPr>
      <w:proofErr w:type="spellStart"/>
      <w:r w:rsidRPr="00EE3D5D">
        <w:rPr>
          <w:rFonts w:ascii="Calibri" w:hAnsi="Calibri"/>
          <w:color w:val="0070C0"/>
          <w:sz w:val="24"/>
          <w:szCs w:val="24"/>
        </w:rPr>
        <w:t>Tabulka</w:t>
      </w:r>
      <w:proofErr w:type="spellEnd"/>
      <w:r w:rsidRPr="00EE3D5D">
        <w:rPr>
          <w:rFonts w:ascii="Calibri" w:hAnsi="Calibri"/>
          <w:color w:val="0070C0"/>
          <w:sz w:val="24"/>
          <w:szCs w:val="24"/>
        </w:rPr>
        <w:t xml:space="preserve"> </w:t>
      </w:r>
      <w:proofErr w:type="spellStart"/>
      <w:r w:rsidRPr="00EE3D5D">
        <w:rPr>
          <w:rFonts w:ascii="Calibri" w:hAnsi="Calibri"/>
          <w:color w:val="0070C0"/>
          <w:sz w:val="24"/>
          <w:szCs w:val="24"/>
        </w:rPr>
        <w:t>splněných</w:t>
      </w:r>
      <w:proofErr w:type="spellEnd"/>
      <w:r w:rsidRPr="00EE3D5D">
        <w:rPr>
          <w:rFonts w:ascii="Calibri" w:hAnsi="Calibri"/>
          <w:color w:val="0070C0"/>
          <w:sz w:val="24"/>
          <w:szCs w:val="24"/>
        </w:rPr>
        <w:t xml:space="preserve"> </w:t>
      </w:r>
      <w:proofErr w:type="spellStart"/>
      <w:r w:rsidRPr="00EE3D5D">
        <w:rPr>
          <w:rFonts w:ascii="Calibri" w:hAnsi="Calibri"/>
          <w:color w:val="0070C0"/>
          <w:sz w:val="24"/>
          <w:szCs w:val="24"/>
        </w:rPr>
        <w:t>minimálních</w:t>
      </w:r>
      <w:proofErr w:type="spellEnd"/>
      <w:r w:rsidRPr="00EE3D5D">
        <w:rPr>
          <w:rFonts w:ascii="Calibri" w:hAnsi="Calibri"/>
          <w:color w:val="0070C0"/>
          <w:sz w:val="24"/>
          <w:szCs w:val="24"/>
        </w:rPr>
        <w:t xml:space="preserve"> </w:t>
      </w:r>
      <w:proofErr w:type="spellStart"/>
      <w:r w:rsidRPr="00EE3D5D">
        <w:rPr>
          <w:rFonts w:ascii="Calibri" w:hAnsi="Calibri"/>
          <w:color w:val="0070C0"/>
          <w:sz w:val="24"/>
          <w:szCs w:val="24"/>
        </w:rPr>
        <w:t>technických</w:t>
      </w:r>
      <w:proofErr w:type="spellEnd"/>
      <w:r w:rsidRPr="00EE3D5D">
        <w:rPr>
          <w:rFonts w:ascii="Calibri" w:hAnsi="Calibri"/>
          <w:color w:val="0070C0"/>
          <w:sz w:val="24"/>
          <w:szCs w:val="24"/>
        </w:rPr>
        <w:t xml:space="preserve"> </w:t>
      </w:r>
      <w:proofErr w:type="spellStart"/>
      <w:r w:rsidRPr="00EE3D5D">
        <w:rPr>
          <w:rFonts w:ascii="Calibri" w:hAnsi="Calibri"/>
          <w:color w:val="0070C0"/>
          <w:sz w:val="24"/>
          <w:szCs w:val="24"/>
        </w:rPr>
        <w:t>požadavků</w:t>
      </w:r>
      <w:proofErr w:type="spellEnd"/>
      <w:r w:rsidRPr="00EE3D5D">
        <w:rPr>
          <w:rFonts w:ascii="Calibri" w:hAnsi="Calibri"/>
          <w:color w:val="0070C0"/>
          <w:sz w:val="24"/>
          <w:szCs w:val="24"/>
        </w:rPr>
        <w:t xml:space="preserve"> </w:t>
      </w:r>
      <w:proofErr w:type="spellStart"/>
      <w:r w:rsidRPr="00EE3D5D">
        <w:rPr>
          <w:rFonts w:ascii="Calibri" w:hAnsi="Calibri"/>
          <w:color w:val="0070C0"/>
          <w:sz w:val="24"/>
          <w:szCs w:val="24"/>
        </w:rPr>
        <w:t>dodavatelem</w:t>
      </w:r>
      <w:proofErr w:type="spellEnd"/>
    </w:p>
    <w:p w14:paraId="51448CA3" w14:textId="77777777" w:rsidR="00B2240E" w:rsidRPr="00EE3D5D" w:rsidRDefault="00EE3D5D" w:rsidP="00B2240E">
      <w:pPr>
        <w:pStyle w:val="NormalniBold"/>
        <w:jc w:val="center"/>
        <w:rPr>
          <w:rFonts w:ascii="Calibri" w:hAnsi="Calibri"/>
          <w:b w:val="0"/>
          <w:sz w:val="24"/>
          <w:szCs w:val="24"/>
        </w:rPr>
      </w:pPr>
      <w:r>
        <w:rPr>
          <w:rFonts w:ascii="Calibri" w:hAnsi="Calibri"/>
          <w:sz w:val="24"/>
          <w:szCs w:val="24"/>
        </w:rPr>
        <w:t xml:space="preserve"> </w:t>
      </w:r>
      <w:r w:rsidRPr="00EE3D5D">
        <w:rPr>
          <w:rFonts w:ascii="Calibri" w:hAnsi="Calibri"/>
          <w:b w:val="0"/>
          <w:sz w:val="24"/>
          <w:szCs w:val="24"/>
        </w:rPr>
        <w:t xml:space="preserve">pro </w:t>
      </w:r>
      <w:proofErr w:type="spellStart"/>
      <w:r w:rsidRPr="00EE3D5D">
        <w:rPr>
          <w:rFonts w:ascii="Calibri" w:hAnsi="Calibri"/>
          <w:b w:val="0"/>
          <w:sz w:val="24"/>
          <w:szCs w:val="24"/>
        </w:rPr>
        <w:t>nadlimitní</w:t>
      </w:r>
      <w:proofErr w:type="spellEnd"/>
      <w:r w:rsidRPr="00EE3D5D">
        <w:rPr>
          <w:rFonts w:ascii="Calibri" w:hAnsi="Calibri"/>
          <w:b w:val="0"/>
          <w:sz w:val="24"/>
          <w:szCs w:val="24"/>
        </w:rPr>
        <w:t xml:space="preserve"> </w:t>
      </w:r>
      <w:proofErr w:type="spellStart"/>
      <w:r w:rsidRPr="00EE3D5D">
        <w:rPr>
          <w:rFonts w:ascii="Calibri" w:hAnsi="Calibri"/>
          <w:b w:val="0"/>
          <w:sz w:val="24"/>
          <w:szCs w:val="24"/>
        </w:rPr>
        <w:t>veřejnou</w:t>
      </w:r>
      <w:proofErr w:type="spellEnd"/>
      <w:r w:rsidRPr="00EE3D5D">
        <w:rPr>
          <w:rFonts w:ascii="Calibri" w:hAnsi="Calibri"/>
          <w:b w:val="0"/>
          <w:sz w:val="24"/>
          <w:szCs w:val="24"/>
        </w:rPr>
        <w:t xml:space="preserve"> </w:t>
      </w:r>
      <w:proofErr w:type="spellStart"/>
      <w:r w:rsidRPr="00EE3D5D">
        <w:rPr>
          <w:rFonts w:ascii="Calibri" w:hAnsi="Calibri"/>
          <w:b w:val="0"/>
          <w:sz w:val="24"/>
          <w:szCs w:val="24"/>
        </w:rPr>
        <w:t>zakázku</w:t>
      </w:r>
      <w:proofErr w:type="spellEnd"/>
      <w:r w:rsidRPr="00EE3D5D">
        <w:rPr>
          <w:rFonts w:ascii="Calibri" w:hAnsi="Calibri"/>
          <w:b w:val="0"/>
          <w:sz w:val="24"/>
          <w:szCs w:val="24"/>
        </w:rPr>
        <w:t xml:space="preserve"> </w:t>
      </w:r>
    </w:p>
    <w:p w14:paraId="4DD4387C" w14:textId="77777777" w:rsidR="00EE3D5D" w:rsidRPr="00EE3D5D" w:rsidRDefault="00EE3D5D" w:rsidP="00B2240E">
      <w:pPr>
        <w:pStyle w:val="NormalniBold"/>
        <w:jc w:val="center"/>
        <w:rPr>
          <w:rFonts w:ascii="Calibri" w:hAnsi="Calibri"/>
          <w:b w:val="0"/>
          <w:u w:val="single"/>
        </w:rPr>
      </w:pPr>
      <w:proofErr w:type="spellStart"/>
      <w:r w:rsidRPr="00EE3D5D">
        <w:rPr>
          <w:rFonts w:ascii="Calibri" w:hAnsi="Calibri"/>
          <w:b w:val="0"/>
          <w:sz w:val="24"/>
          <w:szCs w:val="24"/>
          <w:u w:val="single"/>
        </w:rPr>
        <w:t>Systém</w:t>
      </w:r>
      <w:proofErr w:type="spellEnd"/>
      <w:r w:rsidRPr="00EE3D5D">
        <w:rPr>
          <w:rFonts w:ascii="Calibri" w:hAnsi="Calibri"/>
          <w:b w:val="0"/>
          <w:sz w:val="24"/>
          <w:szCs w:val="24"/>
          <w:u w:val="single"/>
        </w:rPr>
        <w:t xml:space="preserve"> </w:t>
      </w:r>
      <w:proofErr w:type="spellStart"/>
      <w:r w:rsidRPr="00EE3D5D">
        <w:rPr>
          <w:rFonts w:ascii="Calibri" w:hAnsi="Calibri"/>
          <w:b w:val="0"/>
          <w:sz w:val="24"/>
          <w:szCs w:val="24"/>
          <w:u w:val="single"/>
        </w:rPr>
        <w:t>ohřevu</w:t>
      </w:r>
      <w:proofErr w:type="spellEnd"/>
      <w:r w:rsidRPr="00EE3D5D">
        <w:rPr>
          <w:rFonts w:ascii="Calibri" w:hAnsi="Calibri"/>
          <w:b w:val="0"/>
          <w:sz w:val="24"/>
          <w:szCs w:val="24"/>
          <w:u w:val="single"/>
        </w:rPr>
        <w:t xml:space="preserve"> </w:t>
      </w:r>
      <w:proofErr w:type="spellStart"/>
      <w:r w:rsidRPr="00EE3D5D">
        <w:rPr>
          <w:rFonts w:ascii="Calibri" w:hAnsi="Calibri"/>
          <w:b w:val="0"/>
          <w:sz w:val="24"/>
          <w:szCs w:val="24"/>
          <w:u w:val="single"/>
        </w:rPr>
        <w:t>pomocí</w:t>
      </w:r>
      <w:proofErr w:type="spellEnd"/>
      <w:r w:rsidRPr="00EE3D5D">
        <w:rPr>
          <w:rFonts w:ascii="Calibri" w:hAnsi="Calibri"/>
          <w:b w:val="0"/>
          <w:sz w:val="24"/>
          <w:szCs w:val="24"/>
          <w:u w:val="single"/>
        </w:rPr>
        <w:t xml:space="preserve"> </w:t>
      </w:r>
      <w:proofErr w:type="spellStart"/>
      <w:r w:rsidRPr="00EE3D5D">
        <w:rPr>
          <w:rFonts w:ascii="Calibri" w:hAnsi="Calibri"/>
          <w:b w:val="0"/>
          <w:sz w:val="24"/>
          <w:szCs w:val="24"/>
          <w:u w:val="single"/>
        </w:rPr>
        <w:t>neutráního</w:t>
      </w:r>
      <w:proofErr w:type="spellEnd"/>
      <w:r w:rsidRPr="00EE3D5D">
        <w:rPr>
          <w:rFonts w:ascii="Calibri" w:hAnsi="Calibri"/>
          <w:b w:val="0"/>
          <w:sz w:val="24"/>
          <w:szCs w:val="24"/>
          <w:u w:val="single"/>
        </w:rPr>
        <w:t xml:space="preserve"> </w:t>
      </w:r>
      <w:proofErr w:type="spellStart"/>
      <w:r w:rsidRPr="00EE3D5D">
        <w:rPr>
          <w:rFonts w:ascii="Calibri" w:hAnsi="Calibri"/>
          <w:b w:val="0"/>
          <w:sz w:val="24"/>
          <w:szCs w:val="24"/>
          <w:u w:val="single"/>
        </w:rPr>
        <w:t>svazku</w:t>
      </w:r>
      <w:proofErr w:type="spellEnd"/>
      <w:r w:rsidRPr="00EE3D5D">
        <w:rPr>
          <w:rFonts w:ascii="Calibri" w:hAnsi="Calibri"/>
          <w:b w:val="0"/>
          <w:sz w:val="24"/>
          <w:szCs w:val="24"/>
          <w:u w:val="single"/>
        </w:rPr>
        <w:t xml:space="preserve"> pro tokamak COMPASS</w:t>
      </w:r>
    </w:p>
    <w:p w14:paraId="6187BCC5" w14:textId="77777777" w:rsidR="00B2240E" w:rsidRDefault="00B2240E" w:rsidP="00B2240E">
      <w:pPr>
        <w:pStyle w:val="NormalniBold"/>
        <w:rPr>
          <w:rFonts w:ascii="Calibri" w:hAnsi="Calibri" w:cs="Calibri"/>
          <w:lang w:val="cs-CZ"/>
        </w:rPr>
      </w:pPr>
    </w:p>
    <w:tbl>
      <w:tblPr>
        <w:tblW w:w="9989" w:type="dxa"/>
        <w:tblLayout w:type="fixed"/>
        <w:tblLook w:val="04A0" w:firstRow="1" w:lastRow="0" w:firstColumn="1" w:lastColumn="0" w:noHBand="0" w:noVBand="1"/>
      </w:tblPr>
      <w:tblGrid>
        <w:gridCol w:w="2093"/>
        <w:gridCol w:w="3118"/>
        <w:gridCol w:w="2127"/>
        <w:gridCol w:w="2651"/>
      </w:tblGrid>
      <w:tr w:rsidR="00306067" w14:paraId="017A80CB" w14:textId="77777777" w:rsidTr="008919A3">
        <w:tc>
          <w:tcPr>
            <w:tcW w:w="2093" w:type="dxa"/>
            <w:tcBorders>
              <w:top w:val="single" w:sz="4" w:space="0" w:color="000000"/>
              <w:left w:val="single" w:sz="4" w:space="0" w:color="000000"/>
              <w:bottom w:val="single" w:sz="4" w:space="0" w:color="000000"/>
              <w:right w:val="nil"/>
            </w:tcBorders>
            <w:vAlign w:val="center"/>
            <w:hideMark/>
          </w:tcPr>
          <w:p w14:paraId="2F61B599" w14:textId="77777777" w:rsidR="00306067" w:rsidRDefault="00306067" w:rsidP="00306067">
            <w:pPr>
              <w:pStyle w:val="NormalniBold"/>
              <w:spacing w:before="120" w:after="60"/>
              <w:ind w:left="426"/>
              <w:rPr>
                <w:rFonts w:ascii="Calibri" w:hAnsi="Calibri" w:cs="Calibri"/>
                <w:b w:val="0"/>
                <w:lang w:val="cs-CZ"/>
              </w:rPr>
            </w:pPr>
            <w:r>
              <w:rPr>
                <w:rFonts w:ascii="Calibri" w:hAnsi="Calibri" w:cs="Calibri"/>
                <w:sz w:val="22"/>
                <w:szCs w:val="22"/>
                <w:lang w:val="cs-CZ"/>
              </w:rPr>
              <w:t xml:space="preserve">Požadavky na neutrální svazek </w:t>
            </w:r>
          </w:p>
        </w:tc>
        <w:tc>
          <w:tcPr>
            <w:tcW w:w="3118" w:type="dxa"/>
            <w:tcBorders>
              <w:top w:val="single" w:sz="4" w:space="0" w:color="000000"/>
              <w:left w:val="single" w:sz="4" w:space="0" w:color="000000"/>
              <w:bottom w:val="single" w:sz="4" w:space="0" w:color="000000"/>
              <w:right w:val="nil"/>
            </w:tcBorders>
            <w:hideMark/>
          </w:tcPr>
          <w:p w14:paraId="528074DD"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Výstupní dodávaný výkon v neutrálech (integrovaný přes všechny energetické složky svazku, deuterium)</w:t>
            </w:r>
          </w:p>
        </w:tc>
        <w:tc>
          <w:tcPr>
            <w:tcW w:w="2127" w:type="dxa"/>
            <w:tcBorders>
              <w:top w:val="single" w:sz="4" w:space="0" w:color="000000"/>
              <w:left w:val="single" w:sz="4" w:space="0" w:color="000000"/>
              <w:bottom w:val="single" w:sz="4" w:space="0" w:color="000000"/>
              <w:right w:val="single" w:sz="4" w:space="0" w:color="000000"/>
            </w:tcBorders>
            <w:hideMark/>
          </w:tcPr>
          <w:p w14:paraId="25102AAA" w14:textId="77777777" w:rsidR="00306067" w:rsidRDefault="00306067">
            <w:pPr>
              <w:pStyle w:val="NormalniBold"/>
              <w:spacing w:before="120" w:after="60"/>
              <w:jc w:val="both"/>
              <w:rPr>
                <w:rFonts w:ascii="Calibri" w:hAnsi="Calibri"/>
              </w:rPr>
            </w:pPr>
            <w:r>
              <w:rPr>
                <w:rFonts w:ascii="Calibri" w:hAnsi="Calibri" w:cs="Calibri"/>
                <w:b w:val="0"/>
                <w:lang w:val="cs-CZ"/>
              </w:rPr>
              <w:t>≥1 MW</w:t>
            </w:r>
          </w:p>
        </w:tc>
        <w:tc>
          <w:tcPr>
            <w:tcW w:w="2651" w:type="dxa"/>
            <w:tcBorders>
              <w:top w:val="single" w:sz="4" w:space="0" w:color="000000"/>
              <w:left w:val="single" w:sz="4" w:space="0" w:color="000000"/>
              <w:bottom w:val="single" w:sz="4" w:space="0" w:color="000000"/>
              <w:right w:val="single" w:sz="4" w:space="0" w:color="000000"/>
            </w:tcBorders>
          </w:tcPr>
          <w:p w14:paraId="78417034" w14:textId="77777777" w:rsidR="00306067" w:rsidRPr="00306067" w:rsidRDefault="00306067">
            <w:pPr>
              <w:pStyle w:val="NormalniBold"/>
              <w:spacing w:before="120" w:after="60"/>
              <w:jc w:val="both"/>
              <w:rPr>
                <w:rFonts w:ascii="Calibri" w:hAnsi="Calibri" w:cs="Calibri"/>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5D8D477E" w14:textId="77777777" w:rsidTr="008919A3">
        <w:tc>
          <w:tcPr>
            <w:tcW w:w="2093" w:type="dxa"/>
            <w:tcBorders>
              <w:top w:val="single" w:sz="4" w:space="0" w:color="000000"/>
              <w:left w:val="single" w:sz="4" w:space="0" w:color="000000"/>
              <w:bottom w:val="single" w:sz="4" w:space="0" w:color="000000"/>
              <w:right w:val="nil"/>
            </w:tcBorders>
          </w:tcPr>
          <w:p w14:paraId="53AB8FA3"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77B23A47" w14:textId="77777777" w:rsidR="00306067" w:rsidRDefault="00306067" w:rsidP="00306067">
            <w:pPr>
              <w:pStyle w:val="NormalniBold"/>
              <w:numPr>
                <w:ilvl w:val="3"/>
                <w:numId w:val="27"/>
              </w:numPr>
              <w:spacing w:before="120" w:after="60"/>
              <w:ind w:left="742" w:hanging="818"/>
              <w:jc w:val="both"/>
              <w:rPr>
                <w:rFonts w:ascii="Calibri" w:hAnsi="Calibri" w:cs="Calibri"/>
                <w:b w:val="0"/>
                <w:color w:val="000000"/>
                <w:lang w:val="cs-CZ"/>
              </w:rPr>
            </w:pPr>
            <w:r>
              <w:rPr>
                <w:rFonts w:ascii="Calibri" w:hAnsi="Calibri" w:cs="Calibri"/>
                <w:b w:val="0"/>
                <w:color w:val="000000"/>
                <w:lang w:val="cs-CZ"/>
              </w:rPr>
              <w:t>Energie převládajícího typu neutrálních částic (deuterium)</w:t>
            </w:r>
          </w:p>
        </w:tc>
        <w:tc>
          <w:tcPr>
            <w:tcW w:w="2127" w:type="dxa"/>
            <w:tcBorders>
              <w:top w:val="single" w:sz="4" w:space="0" w:color="000000"/>
              <w:left w:val="single" w:sz="4" w:space="0" w:color="000000"/>
              <w:bottom w:val="single" w:sz="4" w:space="0" w:color="000000"/>
              <w:right w:val="single" w:sz="4" w:space="0" w:color="000000"/>
            </w:tcBorders>
            <w:hideMark/>
          </w:tcPr>
          <w:p w14:paraId="0B72A7D6" w14:textId="77777777" w:rsidR="00306067" w:rsidRDefault="00306067">
            <w:pPr>
              <w:pStyle w:val="NormalniBold"/>
              <w:spacing w:before="120" w:after="60"/>
              <w:jc w:val="both"/>
              <w:rPr>
                <w:rFonts w:ascii="Calibri" w:hAnsi="Calibri"/>
              </w:rPr>
            </w:pPr>
            <w:r>
              <w:rPr>
                <w:rFonts w:ascii="Calibri" w:hAnsi="Calibri" w:cs="Calibri"/>
                <w:b w:val="0"/>
                <w:lang w:val="cs-CZ"/>
              </w:rPr>
              <w:t>≥80 keV</w:t>
            </w:r>
          </w:p>
        </w:tc>
        <w:tc>
          <w:tcPr>
            <w:tcW w:w="2651" w:type="dxa"/>
            <w:tcBorders>
              <w:top w:val="single" w:sz="4" w:space="0" w:color="000000"/>
              <w:left w:val="single" w:sz="4" w:space="0" w:color="000000"/>
              <w:bottom w:val="single" w:sz="4" w:space="0" w:color="000000"/>
              <w:right w:val="single" w:sz="4" w:space="0" w:color="000000"/>
            </w:tcBorders>
          </w:tcPr>
          <w:p w14:paraId="489D81E7"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1299A22B" w14:textId="77777777" w:rsidTr="008919A3">
        <w:tc>
          <w:tcPr>
            <w:tcW w:w="2093" w:type="dxa"/>
            <w:tcBorders>
              <w:top w:val="single" w:sz="4" w:space="0" w:color="000000"/>
              <w:left w:val="single" w:sz="4" w:space="0" w:color="000000"/>
              <w:bottom w:val="single" w:sz="4" w:space="0" w:color="000000"/>
              <w:right w:val="nil"/>
            </w:tcBorders>
          </w:tcPr>
          <w:p w14:paraId="0FFC9F0B" w14:textId="77777777" w:rsidR="00306067" w:rsidRDefault="00306067">
            <w:pPr>
              <w:pStyle w:val="NormalniBold"/>
              <w:spacing w:before="120" w:after="60"/>
              <w:jc w:val="both"/>
              <w:rPr>
                <w:rFonts w:ascii="Calibri" w:hAnsi="Calibri" w:cs="Calibri"/>
                <w:b w:val="0"/>
                <w:color w:val="000000"/>
                <w:lang w:val="cs-CZ"/>
              </w:rPr>
            </w:pPr>
          </w:p>
        </w:tc>
        <w:tc>
          <w:tcPr>
            <w:tcW w:w="3118" w:type="dxa"/>
            <w:tcBorders>
              <w:top w:val="single" w:sz="4" w:space="0" w:color="000000"/>
              <w:left w:val="single" w:sz="4" w:space="0" w:color="000000"/>
              <w:bottom w:val="single" w:sz="4" w:space="0" w:color="000000"/>
              <w:right w:val="nil"/>
            </w:tcBorders>
            <w:hideMark/>
          </w:tcPr>
          <w:p w14:paraId="696E1C8B" w14:textId="77777777" w:rsidR="00306067" w:rsidRDefault="00306067" w:rsidP="00306067">
            <w:pPr>
              <w:pStyle w:val="NormalniBold"/>
              <w:numPr>
                <w:ilvl w:val="3"/>
                <w:numId w:val="27"/>
              </w:numPr>
              <w:spacing w:before="120" w:after="60"/>
              <w:ind w:left="742" w:hanging="818"/>
              <w:jc w:val="both"/>
              <w:rPr>
                <w:rFonts w:ascii="Calibri" w:hAnsi="Calibri" w:cs="Calibri"/>
                <w:b w:val="0"/>
                <w:color w:val="000000"/>
                <w:lang w:val="cs-CZ"/>
              </w:rPr>
            </w:pPr>
            <w:r>
              <w:rPr>
                <w:rFonts w:ascii="Calibri" w:hAnsi="Calibri" w:cs="Calibri"/>
                <w:b w:val="0"/>
                <w:color w:val="000000"/>
                <w:lang w:val="cs-CZ"/>
              </w:rPr>
              <w:t xml:space="preserve">Podíl převládajícího typu neutrálních částic na </w:t>
            </w:r>
            <w:proofErr w:type="gramStart"/>
            <w:r>
              <w:rPr>
                <w:rFonts w:ascii="Calibri" w:hAnsi="Calibri" w:cs="Calibri"/>
                <w:b w:val="0"/>
                <w:color w:val="000000"/>
                <w:lang w:val="cs-CZ"/>
              </w:rPr>
              <w:t>výstupním  výkonu</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14:paraId="4049FF80" w14:textId="77777777" w:rsidR="00306067" w:rsidRDefault="00306067">
            <w:pPr>
              <w:pStyle w:val="NormalniBold"/>
              <w:spacing w:before="120" w:after="60"/>
              <w:jc w:val="both"/>
              <w:rPr>
                <w:rFonts w:ascii="Calibri" w:hAnsi="Calibri"/>
              </w:rPr>
            </w:pPr>
            <w:r>
              <w:rPr>
                <w:rFonts w:ascii="Calibri" w:hAnsi="Calibri" w:cs="Calibri"/>
                <w:b w:val="0"/>
                <w:lang w:val="cs-CZ"/>
              </w:rPr>
              <w:t>≥60</w:t>
            </w:r>
            <w:r>
              <w:rPr>
                <w:rFonts w:ascii="Calibri" w:hAnsi="Calibri" w:cs="Calibri"/>
                <w:b w:val="0"/>
              </w:rPr>
              <w:t>%</w:t>
            </w:r>
          </w:p>
        </w:tc>
        <w:tc>
          <w:tcPr>
            <w:tcW w:w="2651" w:type="dxa"/>
            <w:tcBorders>
              <w:top w:val="single" w:sz="4" w:space="0" w:color="000000"/>
              <w:left w:val="single" w:sz="4" w:space="0" w:color="000000"/>
              <w:bottom w:val="single" w:sz="4" w:space="0" w:color="000000"/>
              <w:right w:val="single" w:sz="4" w:space="0" w:color="000000"/>
            </w:tcBorders>
          </w:tcPr>
          <w:p w14:paraId="71DBA6C4"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505F81B0" w14:textId="77777777" w:rsidTr="008919A3">
        <w:tc>
          <w:tcPr>
            <w:tcW w:w="2093" w:type="dxa"/>
            <w:tcBorders>
              <w:top w:val="single" w:sz="4" w:space="0" w:color="000000"/>
              <w:left w:val="single" w:sz="4" w:space="0" w:color="000000"/>
              <w:bottom w:val="single" w:sz="4" w:space="0" w:color="000000"/>
              <w:right w:val="nil"/>
            </w:tcBorders>
          </w:tcPr>
          <w:p w14:paraId="2AEF13EE"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30DC4FCD"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Stabilita energie svazku</w:t>
            </w:r>
          </w:p>
        </w:tc>
        <w:tc>
          <w:tcPr>
            <w:tcW w:w="2127" w:type="dxa"/>
            <w:tcBorders>
              <w:top w:val="single" w:sz="4" w:space="0" w:color="000000"/>
              <w:left w:val="single" w:sz="4" w:space="0" w:color="000000"/>
              <w:bottom w:val="single" w:sz="4" w:space="0" w:color="000000"/>
              <w:right w:val="single" w:sz="4" w:space="0" w:color="000000"/>
            </w:tcBorders>
            <w:hideMark/>
          </w:tcPr>
          <w:p w14:paraId="0EEE4A1C" w14:textId="77777777" w:rsidR="00306067" w:rsidRDefault="00306067">
            <w:pPr>
              <w:pStyle w:val="NormalniBold"/>
              <w:spacing w:before="120" w:after="60"/>
              <w:jc w:val="both"/>
              <w:rPr>
                <w:rFonts w:ascii="Calibri" w:hAnsi="Calibri"/>
              </w:rPr>
            </w:pPr>
            <w:r>
              <w:rPr>
                <w:rFonts w:ascii="Calibri" w:hAnsi="Calibri" w:cs="Calibri"/>
                <w:b w:val="0"/>
                <w:lang w:val="cs-CZ"/>
              </w:rPr>
              <w:t>+- 2%</w:t>
            </w:r>
          </w:p>
        </w:tc>
        <w:tc>
          <w:tcPr>
            <w:tcW w:w="2651" w:type="dxa"/>
            <w:tcBorders>
              <w:top w:val="single" w:sz="4" w:space="0" w:color="000000"/>
              <w:left w:val="single" w:sz="4" w:space="0" w:color="000000"/>
              <w:bottom w:val="single" w:sz="4" w:space="0" w:color="000000"/>
              <w:right w:val="single" w:sz="4" w:space="0" w:color="000000"/>
            </w:tcBorders>
          </w:tcPr>
          <w:p w14:paraId="669DD775"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451131F0" w14:textId="77777777" w:rsidTr="008919A3">
        <w:tc>
          <w:tcPr>
            <w:tcW w:w="2093" w:type="dxa"/>
            <w:tcBorders>
              <w:top w:val="single" w:sz="4" w:space="0" w:color="000000"/>
              <w:left w:val="single" w:sz="4" w:space="0" w:color="000000"/>
              <w:bottom w:val="single" w:sz="4" w:space="0" w:color="000000"/>
              <w:right w:val="nil"/>
            </w:tcBorders>
          </w:tcPr>
          <w:p w14:paraId="7AFF2323"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28F3ECA1"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Stabilita proudu svazku</w:t>
            </w:r>
          </w:p>
        </w:tc>
        <w:tc>
          <w:tcPr>
            <w:tcW w:w="2127" w:type="dxa"/>
            <w:tcBorders>
              <w:top w:val="single" w:sz="4" w:space="0" w:color="000000"/>
              <w:left w:val="single" w:sz="4" w:space="0" w:color="000000"/>
              <w:bottom w:val="single" w:sz="4" w:space="0" w:color="000000"/>
              <w:right w:val="single" w:sz="4" w:space="0" w:color="000000"/>
            </w:tcBorders>
            <w:hideMark/>
          </w:tcPr>
          <w:p w14:paraId="30C99A28" w14:textId="77777777" w:rsidR="00306067" w:rsidRDefault="00306067">
            <w:pPr>
              <w:pStyle w:val="NormalniBold"/>
              <w:spacing w:before="120" w:after="60"/>
              <w:jc w:val="both"/>
              <w:rPr>
                <w:rFonts w:ascii="Calibri" w:hAnsi="Calibri"/>
              </w:rPr>
            </w:pPr>
            <w:r>
              <w:rPr>
                <w:rFonts w:ascii="Calibri" w:hAnsi="Calibri" w:cs="Calibri"/>
                <w:b w:val="0"/>
                <w:lang w:val="cs-CZ"/>
              </w:rPr>
              <w:t>+- 3%</w:t>
            </w:r>
          </w:p>
        </w:tc>
        <w:tc>
          <w:tcPr>
            <w:tcW w:w="2651" w:type="dxa"/>
            <w:tcBorders>
              <w:top w:val="single" w:sz="4" w:space="0" w:color="000000"/>
              <w:left w:val="single" w:sz="4" w:space="0" w:color="000000"/>
              <w:bottom w:val="single" w:sz="4" w:space="0" w:color="000000"/>
              <w:right w:val="single" w:sz="4" w:space="0" w:color="000000"/>
            </w:tcBorders>
          </w:tcPr>
          <w:p w14:paraId="412BB6D0"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78BA1335" w14:textId="77777777" w:rsidTr="008919A3">
        <w:tc>
          <w:tcPr>
            <w:tcW w:w="2093" w:type="dxa"/>
            <w:tcBorders>
              <w:top w:val="single" w:sz="4" w:space="0" w:color="000000"/>
              <w:left w:val="single" w:sz="4" w:space="0" w:color="000000"/>
              <w:bottom w:val="single" w:sz="4" w:space="0" w:color="000000"/>
              <w:right w:val="nil"/>
            </w:tcBorders>
          </w:tcPr>
          <w:p w14:paraId="3FB59F00"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35A1A289"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Délka trvání kontinuální pulzu s maximálním výstupním výkonem</w:t>
            </w:r>
          </w:p>
        </w:tc>
        <w:tc>
          <w:tcPr>
            <w:tcW w:w="2127" w:type="dxa"/>
            <w:tcBorders>
              <w:top w:val="single" w:sz="4" w:space="0" w:color="000000"/>
              <w:left w:val="single" w:sz="4" w:space="0" w:color="000000"/>
              <w:bottom w:val="single" w:sz="4" w:space="0" w:color="000000"/>
              <w:right w:val="single" w:sz="4" w:space="0" w:color="000000"/>
            </w:tcBorders>
            <w:hideMark/>
          </w:tcPr>
          <w:p w14:paraId="14E52BF4" w14:textId="77777777" w:rsidR="00306067" w:rsidRDefault="00306067">
            <w:pPr>
              <w:pStyle w:val="NormalniBold"/>
              <w:spacing w:before="120" w:after="60"/>
              <w:jc w:val="both"/>
              <w:rPr>
                <w:rFonts w:ascii="Calibri" w:hAnsi="Calibri"/>
              </w:rPr>
            </w:pPr>
            <w:r>
              <w:rPr>
                <w:rFonts w:ascii="Calibri" w:hAnsi="Calibri" w:cs="Calibri"/>
                <w:b w:val="0"/>
                <w:lang w:val="cs-CZ"/>
              </w:rPr>
              <w:t>≥1 s</w:t>
            </w:r>
          </w:p>
        </w:tc>
        <w:tc>
          <w:tcPr>
            <w:tcW w:w="2651" w:type="dxa"/>
            <w:tcBorders>
              <w:top w:val="single" w:sz="4" w:space="0" w:color="000000"/>
              <w:left w:val="single" w:sz="4" w:space="0" w:color="000000"/>
              <w:bottom w:val="single" w:sz="4" w:space="0" w:color="000000"/>
              <w:right w:val="single" w:sz="4" w:space="0" w:color="000000"/>
            </w:tcBorders>
          </w:tcPr>
          <w:p w14:paraId="36D3DC60"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53A3587A" w14:textId="77777777" w:rsidTr="008919A3">
        <w:tc>
          <w:tcPr>
            <w:tcW w:w="2093" w:type="dxa"/>
            <w:tcBorders>
              <w:top w:val="single" w:sz="4" w:space="0" w:color="000000"/>
              <w:left w:val="single" w:sz="4" w:space="0" w:color="000000"/>
              <w:bottom w:val="single" w:sz="4" w:space="0" w:color="000000"/>
              <w:right w:val="nil"/>
            </w:tcBorders>
          </w:tcPr>
          <w:p w14:paraId="157FCB46"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62A5E903"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Pracovní plyn svazku</w:t>
            </w:r>
          </w:p>
        </w:tc>
        <w:tc>
          <w:tcPr>
            <w:tcW w:w="2127" w:type="dxa"/>
            <w:tcBorders>
              <w:top w:val="single" w:sz="4" w:space="0" w:color="000000"/>
              <w:left w:val="single" w:sz="4" w:space="0" w:color="000000"/>
              <w:bottom w:val="single" w:sz="4" w:space="0" w:color="000000"/>
              <w:right w:val="single" w:sz="4" w:space="0" w:color="000000"/>
            </w:tcBorders>
            <w:hideMark/>
          </w:tcPr>
          <w:p w14:paraId="11E8F4DB" w14:textId="77777777" w:rsidR="00306067" w:rsidRDefault="00306067">
            <w:pPr>
              <w:pStyle w:val="NormalniBold"/>
              <w:spacing w:before="120" w:after="60"/>
              <w:jc w:val="both"/>
              <w:rPr>
                <w:rFonts w:ascii="Calibri" w:hAnsi="Calibri"/>
              </w:rPr>
            </w:pPr>
            <w:r>
              <w:rPr>
                <w:rFonts w:ascii="Calibri" w:hAnsi="Calibri" w:cs="Calibri"/>
                <w:b w:val="0"/>
                <w:lang w:val="cs-CZ"/>
              </w:rPr>
              <w:t>Vodík, deuterium (uvedené parametry jsou pro deuterium)</w:t>
            </w:r>
          </w:p>
        </w:tc>
        <w:tc>
          <w:tcPr>
            <w:tcW w:w="2651" w:type="dxa"/>
            <w:tcBorders>
              <w:top w:val="single" w:sz="4" w:space="0" w:color="000000"/>
              <w:left w:val="single" w:sz="4" w:space="0" w:color="000000"/>
              <w:bottom w:val="single" w:sz="4" w:space="0" w:color="000000"/>
              <w:right w:val="single" w:sz="4" w:space="0" w:color="000000"/>
            </w:tcBorders>
          </w:tcPr>
          <w:p w14:paraId="31062417"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3917DD91" w14:textId="77777777" w:rsidTr="008919A3">
        <w:tc>
          <w:tcPr>
            <w:tcW w:w="2093" w:type="dxa"/>
            <w:tcBorders>
              <w:top w:val="single" w:sz="4" w:space="0" w:color="000000"/>
              <w:left w:val="single" w:sz="4" w:space="0" w:color="000000"/>
              <w:bottom w:val="single" w:sz="4" w:space="0" w:color="000000"/>
              <w:right w:val="nil"/>
            </w:tcBorders>
          </w:tcPr>
          <w:p w14:paraId="3C861D28"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00196366"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Obsah těžkých nečistot</w:t>
            </w:r>
          </w:p>
        </w:tc>
        <w:tc>
          <w:tcPr>
            <w:tcW w:w="2127" w:type="dxa"/>
            <w:tcBorders>
              <w:top w:val="single" w:sz="4" w:space="0" w:color="000000"/>
              <w:left w:val="single" w:sz="4" w:space="0" w:color="000000"/>
              <w:bottom w:val="single" w:sz="4" w:space="0" w:color="000000"/>
              <w:right w:val="single" w:sz="4" w:space="0" w:color="000000"/>
            </w:tcBorders>
            <w:hideMark/>
          </w:tcPr>
          <w:p w14:paraId="6906E7B1" w14:textId="77777777" w:rsidR="00306067" w:rsidRDefault="00306067">
            <w:pPr>
              <w:pStyle w:val="NormalniBold"/>
              <w:spacing w:before="120" w:after="60"/>
              <w:jc w:val="both"/>
              <w:rPr>
                <w:rFonts w:ascii="Calibri" w:hAnsi="Calibri"/>
              </w:rPr>
            </w:pPr>
            <w:r>
              <w:rPr>
                <w:rFonts w:ascii="Calibri" w:hAnsi="Calibri" w:cs="Calibri"/>
                <w:b w:val="0"/>
                <w:lang w:val="cs-CZ"/>
              </w:rPr>
              <w:t xml:space="preserve"> ≤1%</w:t>
            </w:r>
          </w:p>
        </w:tc>
        <w:tc>
          <w:tcPr>
            <w:tcW w:w="2651" w:type="dxa"/>
            <w:tcBorders>
              <w:top w:val="single" w:sz="4" w:space="0" w:color="000000"/>
              <w:left w:val="single" w:sz="4" w:space="0" w:color="000000"/>
              <w:bottom w:val="single" w:sz="4" w:space="0" w:color="000000"/>
              <w:right w:val="single" w:sz="4" w:space="0" w:color="000000"/>
            </w:tcBorders>
          </w:tcPr>
          <w:p w14:paraId="48F34E83"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4DB5B680" w14:textId="77777777" w:rsidTr="008919A3">
        <w:trPr>
          <w:trHeight w:val="447"/>
        </w:trPr>
        <w:tc>
          <w:tcPr>
            <w:tcW w:w="2093" w:type="dxa"/>
            <w:tcBorders>
              <w:top w:val="single" w:sz="4" w:space="0" w:color="000000"/>
              <w:left w:val="single" w:sz="4" w:space="0" w:color="000000"/>
              <w:bottom w:val="single" w:sz="4" w:space="0" w:color="000000"/>
              <w:right w:val="nil"/>
            </w:tcBorders>
          </w:tcPr>
          <w:p w14:paraId="639BE5AE" w14:textId="77777777" w:rsidR="00306067" w:rsidRDefault="00306067">
            <w:pPr>
              <w:pStyle w:val="NormalniBold"/>
              <w:spacing w:before="120" w:after="60"/>
              <w:jc w:val="both"/>
              <w:rPr>
                <w:rFonts w:ascii="Calibri" w:hAnsi="Calibri" w:cs="Calibri"/>
                <w:b w:val="0"/>
                <w:color w:val="000000"/>
                <w:lang w:val="cs-CZ"/>
              </w:rPr>
            </w:pPr>
          </w:p>
        </w:tc>
        <w:tc>
          <w:tcPr>
            <w:tcW w:w="3118" w:type="dxa"/>
            <w:tcBorders>
              <w:top w:val="single" w:sz="4" w:space="0" w:color="000000"/>
              <w:left w:val="single" w:sz="4" w:space="0" w:color="000000"/>
              <w:bottom w:val="single" w:sz="4" w:space="0" w:color="000000"/>
              <w:right w:val="nil"/>
            </w:tcBorders>
            <w:hideMark/>
          </w:tcPr>
          <w:p w14:paraId="6EC73487" w14:textId="77777777" w:rsidR="00306067" w:rsidRDefault="00306067" w:rsidP="00306067">
            <w:pPr>
              <w:pStyle w:val="NormalniBold"/>
              <w:numPr>
                <w:ilvl w:val="3"/>
                <w:numId w:val="27"/>
              </w:numPr>
              <w:spacing w:before="120" w:after="60"/>
              <w:ind w:left="742" w:hanging="818"/>
              <w:jc w:val="both"/>
              <w:rPr>
                <w:rFonts w:ascii="Calibri" w:hAnsi="Calibri" w:cs="Calibri"/>
                <w:b w:val="0"/>
                <w:color w:val="000000"/>
                <w:lang w:val="cs-CZ"/>
              </w:rPr>
            </w:pPr>
            <w:r>
              <w:rPr>
                <w:rFonts w:ascii="Calibri" w:hAnsi="Calibri" w:cs="Calibri"/>
                <w:b w:val="0"/>
                <w:color w:val="000000"/>
                <w:lang w:val="cs-CZ"/>
              </w:rPr>
              <w:t>Průměr svazku v místě clony (90% výkonu při maximálních parametrech)</w:t>
            </w:r>
          </w:p>
        </w:tc>
        <w:tc>
          <w:tcPr>
            <w:tcW w:w="2127" w:type="dxa"/>
            <w:tcBorders>
              <w:top w:val="single" w:sz="4" w:space="0" w:color="000000"/>
              <w:left w:val="single" w:sz="4" w:space="0" w:color="000000"/>
              <w:bottom w:val="single" w:sz="4" w:space="0" w:color="000000"/>
              <w:right w:val="single" w:sz="4" w:space="0" w:color="000000"/>
            </w:tcBorders>
            <w:hideMark/>
          </w:tcPr>
          <w:p w14:paraId="6B370398" w14:textId="77777777" w:rsidR="00306067" w:rsidRDefault="00306067">
            <w:pPr>
              <w:pStyle w:val="NormalniBold"/>
              <w:spacing w:before="120" w:after="60"/>
              <w:jc w:val="both"/>
              <w:rPr>
                <w:rFonts w:ascii="Calibri" w:hAnsi="Calibri"/>
              </w:rPr>
            </w:pPr>
            <w:r>
              <w:rPr>
                <w:rFonts w:ascii="Calibri" w:hAnsi="Calibri" w:cs="Calibri"/>
                <w:b w:val="0"/>
                <w:lang w:val="cs-CZ"/>
              </w:rPr>
              <w:t>≤200 mm</w:t>
            </w:r>
          </w:p>
        </w:tc>
        <w:tc>
          <w:tcPr>
            <w:tcW w:w="2651" w:type="dxa"/>
            <w:tcBorders>
              <w:top w:val="single" w:sz="4" w:space="0" w:color="000000"/>
              <w:left w:val="single" w:sz="4" w:space="0" w:color="000000"/>
              <w:bottom w:val="single" w:sz="4" w:space="0" w:color="000000"/>
              <w:right w:val="single" w:sz="4" w:space="0" w:color="000000"/>
            </w:tcBorders>
          </w:tcPr>
          <w:p w14:paraId="3891D56E"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6B91B129" w14:textId="77777777" w:rsidTr="008919A3">
        <w:tc>
          <w:tcPr>
            <w:tcW w:w="2093" w:type="dxa"/>
            <w:tcBorders>
              <w:top w:val="single" w:sz="4" w:space="0" w:color="000000"/>
              <w:left w:val="single" w:sz="4" w:space="0" w:color="000000"/>
              <w:bottom w:val="single" w:sz="4" w:space="0" w:color="000000"/>
              <w:right w:val="nil"/>
            </w:tcBorders>
          </w:tcPr>
          <w:p w14:paraId="4F2728A9"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2C4FC545"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Divergence svazku</w:t>
            </w:r>
          </w:p>
        </w:tc>
        <w:tc>
          <w:tcPr>
            <w:tcW w:w="2127" w:type="dxa"/>
            <w:tcBorders>
              <w:top w:val="single" w:sz="4" w:space="0" w:color="000000"/>
              <w:left w:val="single" w:sz="4" w:space="0" w:color="000000"/>
              <w:bottom w:val="single" w:sz="4" w:space="0" w:color="000000"/>
              <w:right w:val="single" w:sz="4" w:space="0" w:color="000000"/>
            </w:tcBorders>
            <w:hideMark/>
          </w:tcPr>
          <w:p w14:paraId="0B4FB4CC" w14:textId="77777777" w:rsidR="00306067" w:rsidRDefault="00306067">
            <w:pPr>
              <w:pStyle w:val="NormalniBold"/>
              <w:spacing w:before="120" w:after="60"/>
              <w:jc w:val="both"/>
              <w:rPr>
                <w:rFonts w:ascii="Calibri" w:hAnsi="Calibri"/>
              </w:rPr>
            </w:pPr>
            <w:r>
              <w:rPr>
                <w:rFonts w:ascii="Calibri" w:hAnsi="Calibri" w:cs="Calibri"/>
                <w:b w:val="0"/>
                <w:lang w:val="cs-CZ"/>
              </w:rPr>
              <w:t xml:space="preserve">≤17 </w:t>
            </w:r>
            <w:proofErr w:type="spellStart"/>
            <w:r>
              <w:rPr>
                <w:rFonts w:ascii="Calibri" w:hAnsi="Calibri" w:cs="Calibri"/>
                <w:b w:val="0"/>
                <w:lang w:val="cs-CZ"/>
              </w:rPr>
              <w:t>mrad</w:t>
            </w:r>
            <w:proofErr w:type="spellEnd"/>
          </w:p>
        </w:tc>
        <w:tc>
          <w:tcPr>
            <w:tcW w:w="2651" w:type="dxa"/>
            <w:tcBorders>
              <w:top w:val="single" w:sz="4" w:space="0" w:color="000000"/>
              <w:left w:val="single" w:sz="4" w:space="0" w:color="000000"/>
              <w:bottom w:val="single" w:sz="4" w:space="0" w:color="000000"/>
              <w:right w:val="single" w:sz="4" w:space="0" w:color="000000"/>
            </w:tcBorders>
          </w:tcPr>
          <w:p w14:paraId="0BD7A997" w14:textId="77777777" w:rsidR="00306067" w:rsidRPr="00306067" w:rsidRDefault="00306067">
            <w:pPr>
              <w:pStyle w:val="NormalniBold"/>
              <w:spacing w:before="120" w:after="60"/>
              <w:jc w:val="both"/>
              <w:rPr>
                <w:rFonts w:ascii="Calibri" w:hAnsi="Calibri" w:cs="Calibri"/>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33E6C819" w14:textId="77777777" w:rsidTr="008919A3">
        <w:tc>
          <w:tcPr>
            <w:tcW w:w="2093" w:type="dxa"/>
            <w:tcBorders>
              <w:top w:val="single" w:sz="4" w:space="0" w:color="000000"/>
              <w:left w:val="single" w:sz="4" w:space="0" w:color="000000"/>
              <w:bottom w:val="single" w:sz="4" w:space="0" w:color="000000"/>
              <w:right w:val="nil"/>
            </w:tcBorders>
          </w:tcPr>
          <w:p w14:paraId="4F4671A6" w14:textId="77777777" w:rsidR="00306067" w:rsidRDefault="00306067">
            <w:pPr>
              <w:pStyle w:val="NormalniBold"/>
              <w:spacing w:before="120" w:after="60"/>
              <w:jc w:val="both"/>
              <w:rPr>
                <w:rFonts w:ascii="Calibri" w:hAnsi="Calibri" w:cs="Calibri"/>
                <w:b w:val="0"/>
              </w:rPr>
            </w:pPr>
          </w:p>
        </w:tc>
        <w:tc>
          <w:tcPr>
            <w:tcW w:w="3118" w:type="dxa"/>
            <w:tcBorders>
              <w:top w:val="single" w:sz="4" w:space="0" w:color="000000"/>
              <w:left w:val="single" w:sz="4" w:space="0" w:color="000000"/>
              <w:bottom w:val="single" w:sz="4" w:space="0" w:color="000000"/>
              <w:right w:val="nil"/>
            </w:tcBorders>
            <w:hideMark/>
          </w:tcPr>
          <w:p w14:paraId="5C82BB9A"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proofErr w:type="spellStart"/>
            <w:r>
              <w:rPr>
                <w:rFonts w:ascii="Calibri" w:hAnsi="Calibri" w:cs="Calibri"/>
                <w:b w:val="0"/>
              </w:rPr>
              <w:t>Čas</w:t>
            </w:r>
            <w:proofErr w:type="spellEnd"/>
            <w:r>
              <w:rPr>
                <w:rFonts w:ascii="Calibri" w:hAnsi="Calibri" w:cs="Calibri"/>
                <w:b w:val="0"/>
              </w:rPr>
              <w:t xml:space="preserve"> </w:t>
            </w:r>
            <w:proofErr w:type="spellStart"/>
            <w:r>
              <w:rPr>
                <w:rFonts w:ascii="Calibri" w:hAnsi="Calibri" w:cs="Calibri"/>
                <w:b w:val="0"/>
              </w:rPr>
              <w:t>náběhu</w:t>
            </w:r>
            <w:proofErr w:type="spellEnd"/>
            <w:r>
              <w:rPr>
                <w:rFonts w:ascii="Calibri" w:hAnsi="Calibri" w:cs="Calibri"/>
                <w:b w:val="0"/>
              </w:rPr>
              <w:t xml:space="preserve"> a </w:t>
            </w:r>
            <w:proofErr w:type="spellStart"/>
            <w:r>
              <w:rPr>
                <w:rFonts w:ascii="Calibri" w:hAnsi="Calibri" w:cs="Calibri"/>
                <w:b w:val="0"/>
              </w:rPr>
              <w:t>vypnutí</w:t>
            </w:r>
            <w:proofErr w:type="spellEnd"/>
            <w:r>
              <w:rPr>
                <w:rFonts w:ascii="Calibri" w:hAnsi="Calibri" w:cs="Calibri"/>
                <w:b w:val="0"/>
              </w:rPr>
              <w:t xml:space="preserve"> </w:t>
            </w:r>
            <w:proofErr w:type="spellStart"/>
            <w:r>
              <w:rPr>
                <w:rFonts w:ascii="Calibri" w:hAnsi="Calibri" w:cs="Calibri"/>
                <w:b w:val="0"/>
              </w:rPr>
              <w:t>svazku</w:t>
            </w:r>
            <w:proofErr w:type="spellEnd"/>
            <w:r>
              <w:rPr>
                <w:rFonts w:ascii="Calibri" w:hAnsi="Calibri" w:cs="Calibri"/>
                <w:b w:val="0"/>
              </w:rPr>
              <w:t xml:space="preserve"> </w:t>
            </w:r>
            <w:proofErr w:type="spellStart"/>
            <w:r>
              <w:rPr>
                <w:rFonts w:ascii="Calibri" w:hAnsi="Calibri" w:cs="Calibri"/>
                <w:b w:val="0"/>
              </w:rPr>
              <w:t>na</w:t>
            </w:r>
            <w:proofErr w:type="spellEnd"/>
            <w:r>
              <w:rPr>
                <w:rFonts w:ascii="Calibri" w:hAnsi="Calibri" w:cs="Calibri"/>
                <w:b w:val="0"/>
              </w:rPr>
              <w:t xml:space="preserve">/z </w:t>
            </w:r>
            <w:proofErr w:type="spellStart"/>
            <w:r>
              <w:rPr>
                <w:rFonts w:ascii="Calibri" w:hAnsi="Calibri" w:cs="Calibri"/>
                <w:b w:val="0"/>
              </w:rPr>
              <w:t>plný</w:t>
            </w:r>
            <w:proofErr w:type="spellEnd"/>
            <w:r>
              <w:rPr>
                <w:rFonts w:ascii="Calibri" w:hAnsi="Calibri" w:cs="Calibri"/>
                <w:b w:val="0"/>
              </w:rPr>
              <w:t xml:space="preserve"> </w:t>
            </w:r>
            <w:proofErr w:type="spellStart"/>
            <w:r>
              <w:rPr>
                <w:rFonts w:ascii="Calibri" w:hAnsi="Calibri" w:cs="Calibri"/>
                <w:b w:val="0"/>
              </w:rPr>
              <w:t>výkon</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14:paraId="1E63FC08" w14:textId="77777777" w:rsidR="00306067" w:rsidRDefault="00306067">
            <w:pPr>
              <w:pStyle w:val="NormalniBold"/>
              <w:spacing w:before="120" w:after="60"/>
              <w:jc w:val="both"/>
              <w:rPr>
                <w:rFonts w:ascii="Calibri" w:hAnsi="Calibri"/>
              </w:rPr>
            </w:pPr>
            <w:r>
              <w:rPr>
                <w:rFonts w:ascii="Calibri" w:hAnsi="Calibri" w:cs="Calibri"/>
                <w:b w:val="0"/>
                <w:lang w:val="cs-CZ"/>
              </w:rPr>
              <w:t xml:space="preserve">≤2 </w:t>
            </w:r>
            <w:proofErr w:type="spellStart"/>
            <w:r>
              <w:rPr>
                <w:rFonts w:ascii="Calibri" w:hAnsi="Calibri" w:cs="Calibri"/>
                <w:b w:val="0"/>
                <w:lang w:val="cs-CZ"/>
              </w:rPr>
              <w:t>ms</w:t>
            </w:r>
            <w:proofErr w:type="spellEnd"/>
          </w:p>
        </w:tc>
        <w:tc>
          <w:tcPr>
            <w:tcW w:w="2651" w:type="dxa"/>
            <w:tcBorders>
              <w:top w:val="single" w:sz="4" w:space="0" w:color="000000"/>
              <w:left w:val="single" w:sz="4" w:space="0" w:color="000000"/>
              <w:bottom w:val="single" w:sz="4" w:space="0" w:color="000000"/>
              <w:right w:val="single" w:sz="4" w:space="0" w:color="000000"/>
            </w:tcBorders>
          </w:tcPr>
          <w:p w14:paraId="7CC886C2"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 xml:space="preserve">Dodavatel splňuje tento minimální technický požadavek uvedený v tomto </w:t>
            </w:r>
            <w:r w:rsidRPr="00306067">
              <w:rPr>
                <w:rFonts w:ascii="Calibri" w:hAnsi="Calibri" w:cs="Calibri"/>
                <w:color w:val="0070C0"/>
                <w:lang w:val="cs-CZ"/>
              </w:rPr>
              <w:lastRenderedPageBreak/>
              <w:t>řádku</w:t>
            </w:r>
          </w:p>
        </w:tc>
      </w:tr>
      <w:tr w:rsidR="00306067" w14:paraId="108DAC92" w14:textId="77777777" w:rsidTr="008919A3">
        <w:tc>
          <w:tcPr>
            <w:tcW w:w="2093" w:type="dxa"/>
            <w:tcBorders>
              <w:top w:val="single" w:sz="4" w:space="0" w:color="000000"/>
              <w:left w:val="single" w:sz="4" w:space="0" w:color="000000"/>
              <w:bottom w:val="single" w:sz="4" w:space="0" w:color="000000"/>
              <w:right w:val="nil"/>
            </w:tcBorders>
          </w:tcPr>
          <w:p w14:paraId="3797383B" w14:textId="77777777" w:rsidR="00306067" w:rsidRDefault="00306067">
            <w:pPr>
              <w:pStyle w:val="NormalniBold"/>
              <w:spacing w:before="120" w:after="60"/>
              <w:jc w:val="both"/>
              <w:rPr>
                <w:rFonts w:ascii="Calibri" w:hAnsi="Calibri" w:cs="Calibri"/>
                <w:b w:val="0"/>
              </w:rPr>
            </w:pPr>
          </w:p>
        </w:tc>
        <w:tc>
          <w:tcPr>
            <w:tcW w:w="3118" w:type="dxa"/>
            <w:tcBorders>
              <w:top w:val="single" w:sz="4" w:space="0" w:color="000000"/>
              <w:left w:val="single" w:sz="4" w:space="0" w:color="000000"/>
              <w:bottom w:val="single" w:sz="4" w:space="0" w:color="000000"/>
              <w:right w:val="nil"/>
            </w:tcBorders>
            <w:hideMark/>
          </w:tcPr>
          <w:p w14:paraId="3F54FE69"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proofErr w:type="spellStart"/>
            <w:r>
              <w:rPr>
                <w:rFonts w:ascii="Calibri" w:hAnsi="Calibri" w:cs="Calibri"/>
                <w:b w:val="0"/>
              </w:rPr>
              <w:t>Modulace</w:t>
            </w:r>
            <w:proofErr w:type="spellEnd"/>
            <w:r>
              <w:rPr>
                <w:rFonts w:ascii="Calibri" w:hAnsi="Calibri" w:cs="Calibri"/>
                <w:b w:val="0"/>
              </w:rPr>
              <w:t xml:space="preserve"> </w:t>
            </w:r>
            <w:proofErr w:type="spellStart"/>
            <w:r>
              <w:rPr>
                <w:rFonts w:ascii="Calibri" w:hAnsi="Calibri" w:cs="Calibri"/>
                <w:b w:val="0"/>
              </w:rPr>
              <w:t>výkonu</w:t>
            </w:r>
            <w:proofErr w:type="spellEnd"/>
            <w:r>
              <w:rPr>
                <w:rFonts w:ascii="Calibri" w:hAnsi="Calibri" w:cs="Calibri"/>
                <w:b w:val="0"/>
              </w:rPr>
              <w:t xml:space="preserve"> </w:t>
            </w:r>
            <w:proofErr w:type="spellStart"/>
            <w:r>
              <w:rPr>
                <w:rFonts w:ascii="Calibri" w:hAnsi="Calibri" w:cs="Calibri"/>
                <w:b w:val="0"/>
              </w:rPr>
              <w:t>svazku</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14:paraId="3AB0C6DB" w14:textId="77777777" w:rsidR="00306067" w:rsidRDefault="00306067">
            <w:pPr>
              <w:pStyle w:val="NormalniBold"/>
              <w:spacing w:before="120" w:after="60"/>
              <w:jc w:val="both"/>
              <w:rPr>
                <w:rFonts w:ascii="Calibri" w:hAnsi="Calibri"/>
              </w:rPr>
            </w:pPr>
            <w:r>
              <w:rPr>
                <w:rFonts w:ascii="Calibri" w:hAnsi="Calibri" w:cs="Calibri"/>
                <w:b w:val="0"/>
                <w:lang w:val="cs-CZ"/>
              </w:rPr>
              <w:t xml:space="preserve">Svazek musí být schopen měnit dodávaný výkon během jednoho pulzu na základě předdefinovaného požadavku s minimální rychlostí změny výkonu 1 MW/2 </w:t>
            </w:r>
            <w:proofErr w:type="spellStart"/>
            <w:r>
              <w:rPr>
                <w:rFonts w:ascii="Calibri" w:hAnsi="Calibri" w:cs="Calibri"/>
                <w:b w:val="0"/>
                <w:lang w:val="cs-CZ"/>
              </w:rPr>
              <w:t>ms</w:t>
            </w:r>
            <w:proofErr w:type="spellEnd"/>
          </w:p>
        </w:tc>
        <w:tc>
          <w:tcPr>
            <w:tcW w:w="2651" w:type="dxa"/>
            <w:tcBorders>
              <w:top w:val="single" w:sz="4" w:space="0" w:color="000000"/>
              <w:left w:val="single" w:sz="4" w:space="0" w:color="000000"/>
              <w:bottom w:val="single" w:sz="4" w:space="0" w:color="000000"/>
              <w:right w:val="single" w:sz="4" w:space="0" w:color="000000"/>
            </w:tcBorders>
          </w:tcPr>
          <w:p w14:paraId="2AC988B1"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65CC20A8" w14:textId="77777777" w:rsidTr="008919A3">
        <w:tc>
          <w:tcPr>
            <w:tcW w:w="2093" w:type="dxa"/>
            <w:tcBorders>
              <w:top w:val="single" w:sz="4" w:space="0" w:color="000000"/>
              <w:left w:val="single" w:sz="4" w:space="0" w:color="000000"/>
              <w:bottom w:val="single" w:sz="4" w:space="0" w:color="000000"/>
              <w:right w:val="nil"/>
            </w:tcBorders>
          </w:tcPr>
          <w:p w14:paraId="26220E58" w14:textId="77777777" w:rsidR="00306067" w:rsidRDefault="00306067">
            <w:pPr>
              <w:pStyle w:val="NormalniBold"/>
              <w:spacing w:before="120" w:after="60"/>
              <w:jc w:val="both"/>
              <w:rPr>
                <w:rFonts w:ascii="Calibri" w:hAnsi="Calibri" w:cs="Calibri"/>
                <w:b w:val="0"/>
              </w:rPr>
            </w:pPr>
          </w:p>
        </w:tc>
        <w:tc>
          <w:tcPr>
            <w:tcW w:w="3118" w:type="dxa"/>
            <w:tcBorders>
              <w:top w:val="single" w:sz="4" w:space="0" w:color="000000"/>
              <w:left w:val="single" w:sz="4" w:space="0" w:color="000000"/>
              <w:bottom w:val="single" w:sz="4" w:space="0" w:color="000000"/>
              <w:right w:val="nil"/>
            </w:tcBorders>
            <w:hideMark/>
          </w:tcPr>
          <w:p w14:paraId="038D0D61" w14:textId="77777777" w:rsidR="00306067" w:rsidRDefault="00306067" w:rsidP="00306067">
            <w:pPr>
              <w:pStyle w:val="NormalniBold"/>
              <w:numPr>
                <w:ilvl w:val="3"/>
                <w:numId w:val="27"/>
              </w:numPr>
              <w:spacing w:before="120" w:after="60"/>
              <w:ind w:left="742" w:hanging="818"/>
              <w:jc w:val="both"/>
              <w:rPr>
                <w:rFonts w:ascii="Calibri" w:hAnsi="Calibri" w:cs="Calibri"/>
                <w:b w:val="0"/>
              </w:rPr>
            </w:pPr>
            <w:r>
              <w:rPr>
                <w:rFonts w:ascii="Calibri" w:hAnsi="Calibri" w:cs="Calibri"/>
                <w:b w:val="0"/>
                <w:lang w:val="cs-CZ"/>
              </w:rPr>
              <w:t>Porty pro diagnostiku svazku</w:t>
            </w:r>
          </w:p>
        </w:tc>
        <w:tc>
          <w:tcPr>
            <w:tcW w:w="2127" w:type="dxa"/>
            <w:tcBorders>
              <w:top w:val="single" w:sz="4" w:space="0" w:color="000000"/>
              <w:left w:val="single" w:sz="4" w:space="0" w:color="000000"/>
              <w:bottom w:val="single" w:sz="4" w:space="0" w:color="000000"/>
              <w:right w:val="single" w:sz="4" w:space="0" w:color="000000"/>
            </w:tcBorders>
          </w:tcPr>
          <w:p w14:paraId="5546F9AF" w14:textId="77777777" w:rsidR="00306067" w:rsidRDefault="00306067">
            <w:pPr>
              <w:pStyle w:val="NormalniBold"/>
              <w:spacing w:before="120" w:after="60"/>
              <w:jc w:val="both"/>
              <w:rPr>
                <w:rFonts w:ascii="Calibri" w:hAnsi="Calibri" w:cs="Calibri"/>
                <w:b w:val="0"/>
                <w:lang w:val="cs-CZ"/>
              </w:rPr>
            </w:pPr>
            <w:r>
              <w:rPr>
                <w:rFonts w:ascii="Calibri" w:hAnsi="Calibri" w:cs="Calibri"/>
                <w:b w:val="0"/>
                <w:lang w:val="cs-CZ"/>
              </w:rPr>
              <w:t xml:space="preserve">Termočlánky na kalorimetru a na vstupu do </w:t>
            </w:r>
            <w:proofErr w:type="spellStart"/>
            <w:r>
              <w:rPr>
                <w:rFonts w:ascii="Calibri" w:hAnsi="Calibri" w:cs="Calibri"/>
                <w:b w:val="0"/>
                <w:lang w:val="cs-CZ"/>
              </w:rPr>
              <w:t>beam</w:t>
            </w:r>
            <w:proofErr w:type="spellEnd"/>
            <w:r>
              <w:rPr>
                <w:rFonts w:ascii="Calibri" w:hAnsi="Calibri" w:cs="Calibri"/>
                <w:b w:val="0"/>
                <w:lang w:val="cs-CZ"/>
              </w:rPr>
              <w:t xml:space="preserve"> </w:t>
            </w:r>
            <w:proofErr w:type="spellStart"/>
            <w:r>
              <w:rPr>
                <w:rFonts w:ascii="Calibri" w:hAnsi="Calibri" w:cs="Calibri"/>
                <w:b w:val="0"/>
                <w:lang w:val="cs-CZ"/>
              </w:rPr>
              <w:t>ductu</w:t>
            </w:r>
            <w:proofErr w:type="spellEnd"/>
          </w:p>
          <w:p w14:paraId="1EE5984D" w14:textId="77777777" w:rsidR="00306067" w:rsidRDefault="00306067">
            <w:pPr>
              <w:pStyle w:val="NormalniBold"/>
              <w:spacing w:before="120" w:after="60"/>
              <w:jc w:val="both"/>
              <w:rPr>
                <w:rFonts w:ascii="Calibri" w:hAnsi="Calibri" w:cs="Calibri"/>
                <w:b w:val="0"/>
                <w:color w:val="000000"/>
                <w:lang w:val="cs-CZ"/>
              </w:rPr>
            </w:pPr>
            <w:r>
              <w:rPr>
                <w:rFonts w:ascii="Calibri" w:hAnsi="Calibri" w:cs="Calibri"/>
                <w:b w:val="0"/>
                <w:color w:val="000000"/>
                <w:lang w:val="cs-CZ"/>
              </w:rPr>
              <w:t xml:space="preserve">Okénko na iontovém zdroji </w:t>
            </w:r>
          </w:p>
          <w:p w14:paraId="691080C3" w14:textId="77777777" w:rsidR="00306067" w:rsidRDefault="00306067">
            <w:pPr>
              <w:pStyle w:val="NormalniBold"/>
              <w:spacing w:before="120" w:after="60"/>
              <w:jc w:val="both"/>
              <w:rPr>
                <w:rFonts w:ascii="Calibri" w:hAnsi="Calibri" w:cs="Calibri"/>
                <w:b w:val="0"/>
                <w:lang w:val="cs-CZ"/>
              </w:rPr>
            </w:pPr>
          </w:p>
        </w:tc>
        <w:tc>
          <w:tcPr>
            <w:tcW w:w="2651" w:type="dxa"/>
            <w:tcBorders>
              <w:top w:val="single" w:sz="4" w:space="0" w:color="000000"/>
              <w:left w:val="single" w:sz="4" w:space="0" w:color="000000"/>
              <w:bottom w:val="single" w:sz="4" w:space="0" w:color="000000"/>
              <w:right w:val="single" w:sz="4" w:space="0" w:color="000000"/>
            </w:tcBorders>
          </w:tcPr>
          <w:p w14:paraId="39289AEC"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77474C3A" w14:textId="77777777" w:rsidTr="008919A3">
        <w:tc>
          <w:tcPr>
            <w:tcW w:w="2093" w:type="dxa"/>
            <w:tcBorders>
              <w:top w:val="single" w:sz="4" w:space="0" w:color="000000"/>
              <w:left w:val="single" w:sz="4" w:space="0" w:color="000000"/>
              <w:bottom w:val="single" w:sz="4" w:space="0" w:color="000000"/>
              <w:right w:val="nil"/>
            </w:tcBorders>
          </w:tcPr>
          <w:p w14:paraId="630DAD76" w14:textId="77777777" w:rsidR="00306067" w:rsidRDefault="00306067">
            <w:pPr>
              <w:pStyle w:val="NormalniBold"/>
              <w:spacing w:before="120" w:after="60"/>
              <w:jc w:val="both"/>
              <w:rPr>
                <w:rFonts w:ascii="Calibri" w:hAnsi="Calibri" w:cs="Calibri"/>
                <w:b w:val="0"/>
              </w:rPr>
            </w:pPr>
          </w:p>
        </w:tc>
        <w:tc>
          <w:tcPr>
            <w:tcW w:w="3118" w:type="dxa"/>
            <w:tcBorders>
              <w:top w:val="single" w:sz="4" w:space="0" w:color="000000"/>
              <w:left w:val="single" w:sz="4" w:space="0" w:color="000000"/>
              <w:bottom w:val="single" w:sz="4" w:space="0" w:color="000000"/>
              <w:right w:val="nil"/>
            </w:tcBorders>
            <w:hideMark/>
          </w:tcPr>
          <w:p w14:paraId="1EC47F4E"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Teplota chladicí vody</w:t>
            </w:r>
          </w:p>
        </w:tc>
        <w:tc>
          <w:tcPr>
            <w:tcW w:w="2127" w:type="dxa"/>
            <w:tcBorders>
              <w:top w:val="single" w:sz="4" w:space="0" w:color="000000"/>
              <w:left w:val="single" w:sz="4" w:space="0" w:color="000000"/>
              <w:bottom w:val="single" w:sz="4" w:space="0" w:color="000000"/>
              <w:right w:val="single" w:sz="4" w:space="0" w:color="000000"/>
            </w:tcBorders>
            <w:hideMark/>
          </w:tcPr>
          <w:p w14:paraId="73549B57" w14:textId="77777777" w:rsidR="00306067" w:rsidRDefault="00306067">
            <w:pPr>
              <w:pStyle w:val="NormalniBold"/>
              <w:spacing w:before="120" w:after="60"/>
              <w:jc w:val="both"/>
              <w:rPr>
                <w:rFonts w:ascii="Calibri" w:hAnsi="Calibri" w:cs="Calibri"/>
                <w:b w:val="0"/>
                <w:highlight w:val="yellow"/>
                <w:lang w:val="cs-CZ"/>
              </w:rPr>
            </w:pPr>
            <w:r>
              <w:rPr>
                <w:rFonts w:ascii="Calibri" w:hAnsi="Calibri" w:cs="Calibri"/>
                <w:b w:val="0"/>
                <w:color w:val="000000"/>
                <w:lang w:val="cs-CZ"/>
              </w:rPr>
              <w:t>Svazek musí být vybaven měřením teploty chladící vody. Tato teplota nesmí překročit teplotu varu vody.</w:t>
            </w:r>
          </w:p>
        </w:tc>
        <w:tc>
          <w:tcPr>
            <w:tcW w:w="2651" w:type="dxa"/>
            <w:tcBorders>
              <w:top w:val="single" w:sz="4" w:space="0" w:color="000000"/>
              <w:left w:val="single" w:sz="4" w:space="0" w:color="000000"/>
              <w:bottom w:val="single" w:sz="4" w:space="0" w:color="000000"/>
              <w:right w:val="single" w:sz="4" w:space="0" w:color="000000"/>
            </w:tcBorders>
          </w:tcPr>
          <w:p w14:paraId="0FD847CD"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7AD921CD" w14:textId="77777777" w:rsidTr="008919A3">
        <w:tc>
          <w:tcPr>
            <w:tcW w:w="2093" w:type="dxa"/>
            <w:tcBorders>
              <w:top w:val="single" w:sz="4" w:space="0" w:color="000000"/>
              <w:left w:val="single" w:sz="4" w:space="0" w:color="000000"/>
              <w:bottom w:val="single" w:sz="4" w:space="0" w:color="000000"/>
              <w:right w:val="nil"/>
            </w:tcBorders>
          </w:tcPr>
          <w:p w14:paraId="05443539" w14:textId="77777777" w:rsidR="00306067" w:rsidRDefault="00306067">
            <w:pPr>
              <w:pStyle w:val="NormalniBold"/>
              <w:spacing w:before="120" w:after="60"/>
              <w:jc w:val="both"/>
              <w:rPr>
                <w:rFonts w:ascii="Calibri" w:hAnsi="Calibri" w:cs="Calibri"/>
                <w:b w:val="0"/>
              </w:rPr>
            </w:pPr>
          </w:p>
        </w:tc>
        <w:tc>
          <w:tcPr>
            <w:tcW w:w="3118" w:type="dxa"/>
            <w:tcBorders>
              <w:top w:val="single" w:sz="4" w:space="0" w:color="000000"/>
              <w:left w:val="single" w:sz="4" w:space="0" w:color="000000"/>
              <w:bottom w:val="single" w:sz="4" w:space="0" w:color="000000"/>
              <w:right w:val="nil"/>
            </w:tcBorders>
            <w:hideMark/>
          </w:tcPr>
          <w:p w14:paraId="24BA91C4"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Výplach vzduchem</w:t>
            </w:r>
          </w:p>
        </w:tc>
        <w:tc>
          <w:tcPr>
            <w:tcW w:w="2127" w:type="dxa"/>
            <w:tcBorders>
              <w:top w:val="single" w:sz="4" w:space="0" w:color="000000"/>
              <w:left w:val="single" w:sz="4" w:space="0" w:color="000000"/>
              <w:bottom w:val="single" w:sz="4" w:space="0" w:color="000000"/>
              <w:right w:val="single" w:sz="4" w:space="0" w:color="000000"/>
            </w:tcBorders>
            <w:hideMark/>
          </w:tcPr>
          <w:p w14:paraId="2476DFAD" w14:textId="77777777" w:rsidR="00306067" w:rsidRDefault="00306067">
            <w:pPr>
              <w:pStyle w:val="NormalniBold"/>
              <w:spacing w:before="120" w:after="60"/>
              <w:jc w:val="both"/>
              <w:rPr>
                <w:rFonts w:ascii="Calibri" w:hAnsi="Calibri" w:cs="Calibri"/>
                <w:b w:val="0"/>
                <w:highlight w:val="yellow"/>
                <w:lang w:val="cs-CZ"/>
              </w:rPr>
            </w:pPr>
            <w:r>
              <w:rPr>
                <w:rFonts w:ascii="Calibri" w:hAnsi="Calibri" w:cs="Calibri"/>
                <w:b w:val="0"/>
                <w:color w:val="000000"/>
                <w:lang w:val="cs-CZ"/>
              </w:rPr>
              <w:t>V případě výpadku cirkulace chladící vody musí být svazek schopen automaticky provést výplach chladícího potrubí vzduchem, aby nedocházelo k zamrzání chladící vody a poškození systému.</w:t>
            </w:r>
          </w:p>
        </w:tc>
        <w:tc>
          <w:tcPr>
            <w:tcW w:w="2651" w:type="dxa"/>
            <w:tcBorders>
              <w:top w:val="single" w:sz="4" w:space="0" w:color="000000"/>
              <w:left w:val="single" w:sz="4" w:space="0" w:color="000000"/>
              <w:bottom w:val="single" w:sz="4" w:space="0" w:color="000000"/>
              <w:right w:val="single" w:sz="4" w:space="0" w:color="000000"/>
            </w:tcBorders>
          </w:tcPr>
          <w:p w14:paraId="7F6FB0A8"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568CC0F0" w14:textId="77777777" w:rsidTr="008919A3">
        <w:tc>
          <w:tcPr>
            <w:tcW w:w="2093" w:type="dxa"/>
            <w:tcBorders>
              <w:top w:val="single" w:sz="4" w:space="0" w:color="000000"/>
              <w:left w:val="single" w:sz="4" w:space="0" w:color="000000"/>
              <w:bottom w:val="single" w:sz="4" w:space="0" w:color="000000"/>
              <w:right w:val="nil"/>
            </w:tcBorders>
            <w:hideMark/>
          </w:tcPr>
          <w:p w14:paraId="76F2B094" w14:textId="77777777" w:rsidR="00306067" w:rsidRDefault="00306067" w:rsidP="00306067">
            <w:pPr>
              <w:pStyle w:val="NormalniBold"/>
              <w:spacing w:before="120" w:after="60"/>
              <w:ind w:left="426"/>
              <w:jc w:val="both"/>
              <w:rPr>
                <w:rFonts w:ascii="Calibri" w:hAnsi="Calibri" w:cs="Calibri"/>
                <w:color w:val="000000"/>
                <w:sz w:val="22"/>
                <w:szCs w:val="22"/>
                <w:lang w:val="cs-CZ"/>
              </w:rPr>
            </w:pPr>
            <w:r>
              <w:rPr>
                <w:rFonts w:ascii="Calibri" w:hAnsi="Calibri" w:cs="Calibri"/>
                <w:color w:val="000000"/>
                <w:sz w:val="22"/>
                <w:szCs w:val="22"/>
                <w:lang w:val="cs-CZ"/>
              </w:rPr>
              <w:t>Požadavky na zařízení</w:t>
            </w:r>
          </w:p>
        </w:tc>
        <w:tc>
          <w:tcPr>
            <w:tcW w:w="3118" w:type="dxa"/>
            <w:tcBorders>
              <w:top w:val="single" w:sz="4" w:space="0" w:color="000000"/>
              <w:left w:val="single" w:sz="4" w:space="0" w:color="000000"/>
              <w:bottom w:val="single" w:sz="4" w:space="0" w:color="000000"/>
              <w:right w:val="nil"/>
            </w:tcBorders>
            <w:hideMark/>
          </w:tcPr>
          <w:p w14:paraId="576D0863"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Opakovací výkonová charakteristika</w:t>
            </w:r>
          </w:p>
        </w:tc>
        <w:tc>
          <w:tcPr>
            <w:tcW w:w="2127" w:type="dxa"/>
            <w:tcBorders>
              <w:top w:val="single" w:sz="4" w:space="0" w:color="000000"/>
              <w:left w:val="single" w:sz="4" w:space="0" w:color="000000"/>
              <w:bottom w:val="single" w:sz="4" w:space="0" w:color="000000"/>
              <w:right w:val="single" w:sz="4" w:space="0" w:color="000000"/>
            </w:tcBorders>
            <w:hideMark/>
          </w:tcPr>
          <w:p w14:paraId="0CE7AA17" w14:textId="06814A86" w:rsidR="00306067" w:rsidRDefault="00306067" w:rsidP="003C6F72">
            <w:pPr>
              <w:pStyle w:val="NormalniBold"/>
              <w:spacing w:before="120" w:after="60"/>
              <w:jc w:val="both"/>
              <w:rPr>
                <w:rFonts w:ascii="Calibri" w:hAnsi="Calibri"/>
              </w:rPr>
            </w:pPr>
            <w:r>
              <w:rPr>
                <w:rFonts w:ascii="Calibri" w:hAnsi="Calibri" w:cs="Calibri"/>
                <w:b w:val="0"/>
                <w:lang w:val="cs-CZ"/>
              </w:rPr>
              <w:t xml:space="preserve"> 1 s trvající kontinuální puls na maximálních paramet</w:t>
            </w:r>
            <w:r w:rsidR="00676D80">
              <w:rPr>
                <w:rFonts w:ascii="Calibri" w:hAnsi="Calibri" w:cs="Calibri"/>
                <w:b w:val="0"/>
                <w:lang w:val="cs-CZ"/>
              </w:rPr>
              <w:t>rech každých 15 minut po dobu 10</w:t>
            </w:r>
            <w:r>
              <w:rPr>
                <w:rFonts w:ascii="Calibri" w:hAnsi="Calibri" w:cs="Calibri"/>
                <w:b w:val="0"/>
                <w:lang w:val="cs-CZ"/>
              </w:rPr>
              <w:t xml:space="preserve"> hodin</w:t>
            </w:r>
            <w:r w:rsidR="003C6F72">
              <w:rPr>
                <w:rFonts w:ascii="Calibri" w:hAnsi="Calibri" w:cs="Calibri"/>
                <w:b w:val="0"/>
                <w:lang w:val="cs-CZ"/>
              </w:rPr>
              <w:t xml:space="preserve"> (</w:t>
            </w:r>
            <w:proofErr w:type="spellStart"/>
            <w:r w:rsidR="003C6F72">
              <w:rPr>
                <w:rFonts w:ascii="Calibri" w:hAnsi="Calibri" w:cs="Calibri"/>
                <w:b w:val="0"/>
              </w:rPr>
              <w:t>nebo</w:t>
            </w:r>
            <w:proofErr w:type="spellEnd"/>
            <w:r w:rsidR="003C6F72">
              <w:rPr>
                <w:rFonts w:ascii="Calibri" w:hAnsi="Calibri" w:cs="Calibri"/>
                <w:b w:val="0"/>
              </w:rPr>
              <w:t xml:space="preserve"> </w:t>
            </w:r>
            <w:proofErr w:type="spellStart"/>
            <w:r w:rsidR="003C6F72">
              <w:rPr>
                <w:rFonts w:ascii="Calibri" w:hAnsi="Calibri" w:cs="Calibri"/>
                <w:b w:val="0"/>
              </w:rPr>
              <w:t>stejný</w:t>
            </w:r>
            <w:proofErr w:type="spellEnd"/>
            <w:r w:rsidR="003C6F72">
              <w:rPr>
                <w:rFonts w:ascii="Calibri" w:hAnsi="Calibri" w:cs="Calibri"/>
                <w:b w:val="0"/>
              </w:rPr>
              <w:t xml:space="preserve"> </w:t>
            </w:r>
            <w:proofErr w:type="spellStart"/>
            <w:r w:rsidR="003C6F72">
              <w:rPr>
                <w:rFonts w:ascii="Calibri" w:hAnsi="Calibri" w:cs="Calibri"/>
                <w:b w:val="0"/>
              </w:rPr>
              <w:t>počet</w:t>
            </w:r>
            <w:proofErr w:type="spellEnd"/>
            <w:r w:rsidR="003C6F72">
              <w:rPr>
                <w:rFonts w:ascii="Calibri" w:hAnsi="Calibri" w:cs="Calibri"/>
                <w:b w:val="0"/>
              </w:rPr>
              <w:t xml:space="preserve"> </w:t>
            </w:r>
            <w:proofErr w:type="spellStart"/>
            <w:r w:rsidR="003C6F72">
              <w:rPr>
                <w:rFonts w:ascii="Calibri" w:hAnsi="Calibri" w:cs="Calibri"/>
                <w:b w:val="0"/>
              </w:rPr>
              <w:t>p</w:t>
            </w:r>
            <w:bookmarkStart w:id="0" w:name="_GoBack"/>
            <w:bookmarkEnd w:id="0"/>
            <w:r w:rsidR="003C6F72">
              <w:rPr>
                <w:rFonts w:ascii="Calibri" w:hAnsi="Calibri" w:cs="Calibri"/>
                <w:b w:val="0"/>
              </w:rPr>
              <w:t>ulsů</w:t>
            </w:r>
            <w:proofErr w:type="spellEnd"/>
            <w:r w:rsidR="003C6F72">
              <w:rPr>
                <w:rFonts w:ascii="Calibri" w:hAnsi="Calibri" w:cs="Calibri"/>
                <w:b w:val="0"/>
              </w:rPr>
              <w:t xml:space="preserve"> </w:t>
            </w:r>
            <w:proofErr w:type="spellStart"/>
            <w:r w:rsidR="003C6F72">
              <w:rPr>
                <w:rFonts w:ascii="Calibri" w:hAnsi="Calibri" w:cs="Calibri"/>
                <w:b w:val="0"/>
              </w:rPr>
              <w:t>za</w:t>
            </w:r>
            <w:proofErr w:type="spellEnd"/>
            <w:r w:rsidR="003C6F72">
              <w:rPr>
                <w:rFonts w:ascii="Calibri" w:hAnsi="Calibri" w:cs="Calibri"/>
                <w:b w:val="0"/>
              </w:rPr>
              <w:t xml:space="preserve"> </w:t>
            </w:r>
            <w:proofErr w:type="spellStart"/>
            <w:r w:rsidR="003C6F72">
              <w:rPr>
                <w:rFonts w:ascii="Calibri" w:hAnsi="Calibri" w:cs="Calibri"/>
                <w:b w:val="0"/>
              </w:rPr>
              <w:t>kratší</w:t>
            </w:r>
            <w:proofErr w:type="spellEnd"/>
            <w:r w:rsidR="003C6F72">
              <w:rPr>
                <w:rFonts w:ascii="Calibri" w:hAnsi="Calibri" w:cs="Calibri"/>
                <w:b w:val="0"/>
              </w:rPr>
              <w:t xml:space="preserve"> </w:t>
            </w:r>
            <w:proofErr w:type="spellStart"/>
            <w:r w:rsidR="003C6F72">
              <w:rPr>
                <w:rFonts w:ascii="Calibri" w:hAnsi="Calibri" w:cs="Calibri"/>
                <w:b w:val="0"/>
              </w:rPr>
              <w:t>dobu</w:t>
            </w:r>
            <w:proofErr w:type="spellEnd"/>
            <w:r w:rsidR="003C6F72">
              <w:rPr>
                <w:rFonts w:ascii="Calibri" w:hAnsi="Calibri" w:cs="Calibri"/>
                <w:b w:val="0"/>
              </w:rPr>
              <w:t>)</w:t>
            </w:r>
            <w:r>
              <w:rPr>
                <w:rFonts w:ascii="Calibri" w:hAnsi="Calibri" w:cs="Calibri"/>
                <w:b w:val="0"/>
                <w:lang w:val="cs-CZ"/>
              </w:rPr>
              <w:t xml:space="preserve"> s ≥90</w:t>
            </w:r>
            <w:r>
              <w:rPr>
                <w:rFonts w:ascii="Calibri" w:hAnsi="Calibri" w:cs="Calibri"/>
                <w:b w:val="0"/>
              </w:rPr>
              <w:t>%</w:t>
            </w:r>
            <w:r w:rsidR="003C6F72">
              <w:rPr>
                <w:rFonts w:ascii="Calibri" w:hAnsi="Calibri" w:cs="Calibri"/>
                <w:b w:val="0"/>
              </w:rPr>
              <w:t xml:space="preserve"> </w:t>
            </w:r>
            <w:proofErr w:type="spellStart"/>
            <w:r w:rsidR="003C6F72">
              <w:rPr>
                <w:rFonts w:ascii="Calibri" w:hAnsi="Calibri" w:cs="Calibri"/>
                <w:b w:val="0"/>
              </w:rPr>
              <w:t>úspěšností</w:t>
            </w:r>
            <w:proofErr w:type="spellEnd"/>
            <w:r w:rsidR="00676D80">
              <w:rPr>
                <w:rFonts w:ascii="Calibri" w:hAnsi="Calibri" w:cs="Calibri"/>
                <w:b w:val="0"/>
              </w:rPr>
              <w:t>.</w:t>
            </w:r>
            <w:r>
              <w:rPr>
                <w:rFonts w:ascii="Calibri" w:hAnsi="Calibri" w:cs="Calibri"/>
                <w:b w:val="0"/>
              </w:rP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2E74EBF4"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683C63ED" w14:textId="77777777" w:rsidTr="008919A3">
        <w:tc>
          <w:tcPr>
            <w:tcW w:w="2093" w:type="dxa"/>
            <w:tcBorders>
              <w:top w:val="single" w:sz="4" w:space="0" w:color="000000"/>
              <w:left w:val="single" w:sz="4" w:space="0" w:color="000000"/>
              <w:bottom w:val="single" w:sz="4" w:space="0" w:color="000000"/>
              <w:right w:val="nil"/>
            </w:tcBorders>
          </w:tcPr>
          <w:p w14:paraId="70D29419"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598865E9"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 xml:space="preserve">Stínění proti elektromagnetickému rušení okolních systémů </w:t>
            </w:r>
          </w:p>
        </w:tc>
        <w:tc>
          <w:tcPr>
            <w:tcW w:w="2127" w:type="dxa"/>
            <w:tcBorders>
              <w:top w:val="single" w:sz="4" w:space="0" w:color="000000"/>
              <w:left w:val="single" w:sz="4" w:space="0" w:color="000000"/>
              <w:bottom w:val="single" w:sz="4" w:space="0" w:color="000000"/>
              <w:right w:val="single" w:sz="4" w:space="0" w:color="000000"/>
            </w:tcBorders>
          </w:tcPr>
          <w:p w14:paraId="60BA8BF6" w14:textId="77777777" w:rsidR="00306067" w:rsidRDefault="00306067">
            <w:pPr>
              <w:pStyle w:val="NormalniBold"/>
              <w:spacing w:before="120" w:after="60"/>
              <w:jc w:val="both"/>
              <w:rPr>
                <w:rFonts w:ascii="Calibri" w:hAnsi="Calibri" w:cs="Calibri"/>
                <w:b w:val="0"/>
                <w:lang w:val="cs-CZ"/>
              </w:rPr>
            </w:pPr>
            <w:r>
              <w:rPr>
                <w:rFonts w:ascii="Calibri" w:hAnsi="Calibri" w:cs="Calibri"/>
                <w:b w:val="0"/>
                <w:lang w:val="cs-CZ"/>
              </w:rPr>
              <w:t>Všechny zdroje elektromagnetického rušení musí být adekvátně stíněny, tak aby nenarušovaly řídící systémy tokamaku.</w:t>
            </w:r>
          </w:p>
          <w:p w14:paraId="6F9840EB" w14:textId="77777777" w:rsidR="00306067" w:rsidRDefault="00306067">
            <w:pPr>
              <w:pStyle w:val="NormalniBold"/>
              <w:spacing w:before="120" w:after="60"/>
              <w:jc w:val="both"/>
              <w:rPr>
                <w:rFonts w:ascii="Calibri" w:hAnsi="Calibri" w:cs="Calibri"/>
                <w:b w:val="0"/>
                <w:lang w:val="cs-CZ"/>
              </w:rPr>
            </w:pPr>
          </w:p>
        </w:tc>
        <w:tc>
          <w:tcPr>
            <w:tcW w:w="2651" w:type="dxa"/>
            <w:tcBorders>
              <w:top w:val="single" w:sz="4" w:space="0" w:color="000000"/>
              <w:left w:val="single" w:sz="4" w:space="0" w:color="000000"/>
              <w:bottom w:val="single" w:sz="4" w:space="0" w:color="000000"/>
              <w:right w:val="single" w:sz="4" w:space="0" w:color="000000"/>
            </w:tcBorders>
          </w:tcPr>
          <w:p w14:paraId="3EFF6E6F"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36181F6D" w14:textId="77777777" w:rsidTr="008919A3">
        <w:tc>
          <w:tcPr>
            <w:tcW w:w="2093" w:type="dxa"/>
            <w:tcBorders>
              <w:top w:val="single" w:sz="4" w:space="0" w:color="000000"/>
              <w:left w:val="single" w:sz="4" w:space="0" w:color="000000"/>
              <w:bottom w:val="single" w:sz="4" w:space="0" w:color="000000"/>
              <w:right w:val="nil"/>
            </w:tcBorders>
          </w:tcPr>
          <w:p w14:paraId="6FD25F80"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74A69A9F"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Umístění nejužšího místa svazku</w:t>
            </w:r>
          </w:p>
        </w:tc>
        <w:tc>
          <w:tcPr>
            <w:tcW w:w="2127" w:type="dxa"/>
            <w:tcBorders>
              <w:top w:val="single" w:sz="4" w:space="0" w:color="000000"/>
              <w:left w:val="single" w:sz="4" w:space="0" w:color="000000"/>
              <w:bottom w:val="single" w:sz="4" w:space="0" w:color="000000"/>
              <w:right w:val="single" w:sz="4" w:space="0" w:color="000000"/>
            </w:tcBorders>
            <w:hideMark/>
          </w:tcPr>
          <w:p w14:paraId="3686BFF8" w14:textId="77777777" w:rsidR="00306067" w:rsidRDefault="00306067">
            <w:pPr>
              <w:pStyle w:val="NormalniBold"/>
              <w:spacing w:before="120" w:after="60"/>
              <w:jc w:val="both"/>
              <w:rPr>
                <w:rFonts w:ascii="Calibri" w:hAnsi="Calibri"/>
              </w:rPr>
            </w:pPr>
            <w:r>
              <w:rPr>
                <w:rFonts w:ascii="Calibri" w:hAnsi="Calibri" w:cs="Calibri"/>
                <w:b w:val="0"/>
                <w:lang w:val="cs-CZ"/>
              </w:rPr>
              <w:t xml:space="preserve">Z=0, </w:t>
            </w:r>
            <w:r>
              <w:rPr>
                <w:rFonts w:ascii="Calibri" w:hAnsi="Calibri" w:cs="Calibri"/>
                <w:b w:val="0"/>
                <w:color w:val="000000"/>
                <w:lang w:val="cs-CZ"/>
              </w:rPr>
              <w:t>R≥1.3</w:t>
            </w:r>
            <w:r>
              <w:rPr>
                <w:rFonts w:ascii="Calibri" w:hAnsi="Calibri" w:cs="Calibri"/>
                <w:b w:val="0"/>
                <w:lang w:val="cs-CZ"/>
              </w:rPr>
              <w:t xml:space="preserve"> m (Z je vertikální vzdálenost od </w:t>
            </w:r>
            <w:proofErr w:type="spellStart"/>
            <w:r>
              <w:rPr>
                <w:rFonts w:ascii="Calibri" w:hAnsi="Calibri" w:cs="Calibri"/>
                <w:b w:val="0"/>
                <w:lang w:val="cs-CZ"/>
              </w:rPr>
              <w:t>outer</w:t>
            </w:r>
            <w:proofErr w:type="spellEnd"/>
            <w:r>
              <w:rPr>
                <w:rFonts w:ascii="Calibri" w:hAnsi="Calibri" w:cs="Calibri"/>
                <w:b w:val="0"/>
                <w:lang w:val="cs-CZ"/>
              </w:rPr>
              <w:t xml:space="preserve"> </w:t>
            </w:r>
            <w:proofErr w:type="spellStart"/>
            <w:r>
              <w:rPr>
                <w:rFonts w:ascii="Calibri" w:hAnsi="Calibri" w:cs="Calibri"/>
                <w:b w:val="0"/>
                <w:lang w:val="cs-CZ"/>
              </w:rPr>
              <w:t>midplane</w:t>
            </w:r>
            <w:proofErr w:type="spellEnd"/>
            <w:r>
              <w:rPr>
                <w:rFonts w:ascii="Calibri" w:hAnsi="Calibri" w:cs="Calibri"/>
                <w:b w:val="0"/>
                <w:lang w:val="cs-CZ"/>
              </w:rPr>
              <w:t xml:space="preserve">, R je vzdálenost od osy </w:t>
            </w:r>
            <w:r>
              <w:rPr>
                <w:rFonts w:ascii="Calibri" w:hAnsi="Calibri" w:cs="Calibri"/>
                <w:b w:val="0"/>
                <w:lang w:val="cs-CZ"/>
              </w:rPr>
              <w:lastRenderedPageBreak/>
              <w:t>torusu), viz obrázek č. 1 strana č. 8 ZD</w:t>
            </w:r>
          </w:p>
        </w:tc>
        <w:tc>
          <w:tcPr>
            <w:tcW w:w="2651" w:type="dxa"/>
            <w:tcBorders>
              <w:top w:val="single" w:sz="4" w:space="0" w:color="000000"/>
              <w:left w:val="single" w:sz="4" w:space="0" w:color="000000"/>
              <w:bottom w:val="single" w:sz="4" w:space="0" w:color="000000"/>
              <w:right w:val="single" w:sz="4" w:space="0" w:color="000000"/>
            </w:tcBorders>
          </w:tcPr>
          <w:p w14:paraId="6A7F70D2"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lastRenderedPageBreak/>
              <w:t>Dodavatel splňuje tento minimální technický požadavek uvedený v tomto řádku</w:t>
            </w:r>
          </w:p>
        </w:tc>
      </w:tr>
      <w:tr w:rsidR="00306067" w14:paraId="7AC45A1F" w14:textId="77777777" w:rsidTr="008919A3">
        <w:tc>
          <w:tcPr>
            <w:tcW w:w="2093" w:type="dxa"/>
            <w:tcBorders>
              <w:top w:val="single" w:sz="4" w:space="0" w:color="000000"/>
              <w:left w:val="single" w:sz="4" w:space="0" w:color="000000"/>
              <w:bottom w:val="single" w:sz="4" w:space="0" w:color="000000"/>
              <w:right w:val="nil"/>
            </w:tcBorders>
          </w:tcPr>
          <w:p w14:paraId="567A6B18"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316B5109"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Charakteristiky náhradní dílů</w:t>
            </w:r>
          </w:p>
        </w:tc>
        <w:tc>
          <w:tcPr>
            <w:tcW w:w="2127" w:type="dxa"/>
            <w:tcBorders>
              <w:top w:val="single" w:sz="4" w:space="0" w:color="000000"/>
              <w:left w:val="single" w:sz="4" w:space="0" w:color="000000"/>
              <w:bottom w:val="single" w:sz="4" w:space="0" w:color="000000"/>
              <w:right w:val="single" w:sz="4" w:space="0" w:color="000000"/>
            </w:tcBorders>
            <w:hideMark/>
          </w:tcPr>
          <w:p w14:paraId="7D108D86" w14:textId="77777777" w:rsidR="00306067" w:rsidRDefault="00CE23C5">
            <w:pPr>
              <w:pStyle w:val="NormalniBold"/>
              <w:spacing w:before="120" w:after="60"/>
              <w:jc w:val="both"/>
              <w:rPr>
                <w:rFonts w:ascii="Calibri" w:hAnsi="Calibri"/>
              </w:rPr>
            </w:pPr>
            <w:r w:rsidRPr="008919A3">
              <w:rPr>
                <w:rFonts w:ascii="Calibri" w:hAnsi="Calibri" w:cs="Calibri"/>
                <w:b w:val="0"/>
                <w:lang w:val="cs-CZ"/>
              </w:rPr>
              <w:t>Kritické komponenty a náhradní díly nesmí podléhat omezením dovozu do EU či exportu ze země výroby.</w:t>
            </w:r>
          </w:p>
        </w:tc>
        <w:tc>
          <w:tcPr>
            <w:tcW w:w="2651" w:type="dxa"/>
            <w:tcBorders>
              <w:top w:val="single" w:sz="4" w:space="0" w:color="000000"/>
              <w:left w:val="single" w:sz="4" w:space="0" w:color="000000"/>
              <w:bottom w:val="single" w:sz="4" w:space="0" w:color="000000"/>
              <w:right w:val="single" w:sz="4" w:space="0" w:color="000000"/>
            </w:tcBorders>
          </w:tcPr>
          <w:p w14:paraId="7F1243EA"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2B401C29" w14:textId="77777777" w:rsidTr="008919A3">
        <w:tc>
          <w:tcPr>
            <w:tcW w:w="2093" w:type="dxa"/>
            <w:tcBorders>
              <w:top w:val="single" w:sz="4" w:space="0" w:color="000000"/>
              <w:left w:val="single" w:sz="4" w:space="0" w:color="000000"/>
              <w:bottom w:val="single" w:sz="4" w:space="0" w:color="000000"/>
              <w:right w:val="nil"/>
            </w:tcBorders>
          </w:tcPr>
          <w:p w14:paraId="59C249AD"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0D9159C7"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Materiály subsystémů</w:t>
            </w:r>
          </w:p>
        </w:tc>
        <w:tc>
          <w:tcPr>
            <w:tcW w:w="2127" w:type="dxa"/>
            <w:tcBorders>
              <w:top w:val="single" w:sz="4" w:space="0" w:color="000000"/>
              <w:left w:val="single" w:sz="4" w:space="0" w:color="000000"/>
              <w:bottom w:val="single" w:sz="4" w:space="0" w:color="000000"/>
              <w:right w:val="single" w:sz="4" w:space="0" w:color="000000"/>
            </w:tcBorders>
            <w:hideMark/>
          </w:tcPr>
          <w:p w14:paraId="1C2DD84C" w14:textId="77777777" w:rsidR="00306067" w:rsidRDefault="00306067">
            <w:pPr>
              <w:pStyle w:val="NormalniBold"/>
              <w:spacing w:after="60"/>
              <w:jc w:val="both"/>
              <w:rPr>
                <w:rFonts w:ascii="Calibri" w:hAnsi="Calibri"/>
              </w:rPr>
            </w:pPr>
            <w:r>
              <w:rPr>
                <w:rFonts w:ascii="Calibri" w:hAnsi="Calibri" w:cs="Calibri"/>
                <w:b w:val="0"/>
                <w:lang w:val="cs-CZ"/>
              </w:rPr>
              <w:t>Veškeré ocelové díly musí být z nemagnetické a nerezové oceli (</w:t>
            </w:r>
            <w:r>
              <w:rPr>
                <w:rFonts w:ascii="Calibri" w:hAnsi="Calibri" w:cs="Calibri"/>
                <w:lang w:val="en-GB"/>
              </w:rPr>
              <w:t xml:space="preserve">316L </w:t>
            </w:r>
            <w:proofErr w:type="spellStart"/>
            <w:r>
              <w:rPr>
                <w:rFonts w:ascii="Calibri" w:hAnsi="Calibri" w:cs="Calibri"/>
                <w:b w:val="0"/>
                <w:lang w:val="en-GB"/>
              </w:rPr>
              <w:t>pokud</w:t>
            </w:r>
            <w:proofErr w:type="spellEnd"/>
            <w:r>
              <w:rPr>
                <w:rFonts w:ascii="Calibri" w:hAnsi="Calibri" w:cs="Calibri"/>
                <w:b w:val="0"/>
                <w:lang w:val="en-GB"/>
              </w:rPr>
              <w:t xml:space="preserve"> to </w:t>
            </w:r>
            <w:proofErr w:type="spellStart"/>
            <w:r>
              <w:rPr>
                <w:rFonts w:ascii="Calibri" w:hAnsi="Calibri" w:cs="Calibri"/>
                <w:b w:val="0"/>
                <w:lang w:val="en-GB"/>
              </w:rPr>
              <w:t>umožňují</w:t>
            </w:r>
            <w:proofErr w:type="spellEnd"/>
            <w:r>
              <w:rPr>
                <w:rFonts w:ascii="Calibri" w:hAnsi="Calibri" w:cs="Calibri"/>
                <w:b w:val="0"/>
                <w:lang w:val="en-GB"/>
              </w:rPr>
              <w:t xml:space="preserve"> </w:t>
            </w:r>
            <w:proofErr w:type="spellStart"/>
            <w:r>
              <w:rPr>
                <w:rFonts w:ascii="Calibri" w:hAnsi="Calibri" w:cs="Calibri"/>
                <w:b w:val="0"/>
                <w:lang w:val="en-GB"/>
              </w:rPr>
              <w:t>materiálové</w:t>
            </w:r>
            <w:proofErr w:type="spellEnd"/>
            <w:r>
              <w:rPr>
                <w:rFonts w:ascii="Calibri" w:hAnsi="Calibri" w:cs="Calibri"/>
                <w:b w:val="0"/>
                <w:lang w:val="en-GB"/>
              </w:rPr>
              <w:t xml:space="preserve"> </w:t>
            </w:r>
            <w:proofErr w:type="spellStart"/>
            <w:r>
              <w:rPr>
                <w:rFonts w:ascii="Calibri" w:hAnsi="Calibri" w:cs="Calibri"/>
                <w:b w:val="0"/>
                <w:lang w:val="en-GB"/>
              </w:rPr>
              <w:t>nároky</w:t>
            </w:r>
            <w:proofErr w:type="spellEnd"/>
            <w:r>
              <w:rPr>
                <w:rFonts w:ascii="Calibri" w:hAnsi="Calibri" w:cs="Calibri"/>
                <w:b w:val="0"/>
                <w:lang w:val="en-GB"/>
              </w:rPr>
              <w:t xml:space="preserve"> </w:t>
            </w:r>
            <w:proofErr w:type="spellStart"/>
            <w:r>
              <w:rPr>
                <w:rFonts w:ascii="Calibri" w:hAnsi="Calibri" w:cs="Calibri"/>
                <w:b w:val="0"/>
                <w:lang w:val="en-GB"/>
              </w:rPr>
              <w:t>komponent</w:t>
            </w:r>
            <w:proofErr w:type="spellEnd"/>
            <w:r>
              <w:rPr>
                <w:rFonts w:ascii="Calibri" w:hAnsi="Calibri" w:cs="Calibri"/>
                <w:b w:val="0"/>
                <w:lang w:val="cs-CZ"/>
              </w:rPr>
              <w:t>, případně 316N pro porty</w:t>
            </w:r>
            <w:r>
              <w:rPr>
                <w:rFonts w:ascii="Calibri" w:hAnsi="Calibri" w:cs="Calibri"/>
                <w:b w:val="0"/>
                <w:color w:val="000000"/>
                <w:lang w:val="cs-CZ"/>
              </w:rPr>
              <w:t>)</w:t>
            </w:r>
          </w:p>
        </w:tc>
        <w:tc>
          <w:tcPr>
            <w:tcW w:w="2651" w:type="dxa"/>
            <w:tcBorders>
              <w:top w:val="single" w:sz="4" w:space="0" w:color="000000"/>
              <w:left w:val="single" w:sz="4" w:space="0" w:color="000000"/>
              <w:bottom w:val="single" w:sz="4" w:space="0" w:color="000000"/>
              <w:right w:val="single" w:sz="4" w:space="0" w:color="000000"/>
            </w:tcBorders>
          </w:tcPr>
          <w:p w14:paraId="25CFAD82"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12B37FFB" w14:textId="77777777" w:rsidTr="008919A3">
        <w:tc>
          <w:tcPr>
            <w:tcW w:w="2093" w:type="dxa"/>
            <w:tcBorders>
              <w:top w:val="single" w:sz="4" w:space="0" w:color="000000"/>
              <w:left w:val="single" w:sz="4" w:space="0" w:color="000000"/>
              <w:bottom w:val="single" w:sz="4" w:space="0" w:color="000000"/>
              <w:right w:val="nil"/>
            </w:tcBorders>
          </w:tcPr>
          <w:p w14:paraId="558512C1"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6D2D695A"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Použití magnetických materiálů</w:t>
            </w:r>
          </w:p>
        </w:tc>
        <w:tc>
          <w:tcPr>
            <w:tcW w:w="2127" w:type="dxa"/>
            <w:tcBorders>
              <w:top w:val="single" w:sz="4" w:space="0" w:color="000000"/>
              <w:left w:val="single" w:sz="4" w:space="0" w:color="000000"/>
              <w:bottom w:val="single" w:sz="4" w:space="0" w:color="000000"/>
              <w:right w:val="single" w:sz="4" w:space="0" w:color="000000"/>
            </w:tcBorders>
            <w:hideMark/>
          </w:tcPr>
          <w:p w14:paraId="022F897A" w14:textId="77777777" w:rsidR="00306067" w:rsidRDefault="00306067">
            <w:pPr>
              <w:pStyle w:val="NormalniBold"/>
              <w:spacing w:after="60"/>
              <w:jc w:val="both"/>
              <w:rPr>
                <w:rFonts w:ascii="Calibri" w:hAnsi="Calibri"/>
              </w:rPr>
            </w:pPr>
            <w:r>
              <w:rPr>
                <w:rFonts w:ascii="Calibri" w:hAnsi="Calibri" w:cs="Calibri"/>
                <w:b w:val="0"/>
                <w:lang w:val="cs-CZ"/>
              </w:rPr>
              <w:t xml:space="preserve">Pouze pro nutné </w:t>
            </w:r>
            <w:r>
              <w:rPr>
                <w:rFonts w:ascii="Calibri" w:hAnsi="Calibri" w:cs="Calibri"/>
                <w:b w:val="0"/>
                <w:color w:val="000000"/>
                <w:lang w:val="cs-CZ"/>
              </w:rPr>
              <w:t>stínění pro iontový</w:t>
            </w:r>
            <w:r>
              <w:rPr>
                <w:rFonts w:ascii="Calibri" w:hAnsi="Calibri" w:cs="Calibri"/>
                <w:b w:val="0"/>
                <w:lang w:val="cs-CZ"/>
              </w:rPr>
              <w:t xml:space="preserve"> zdroj a pro </w:t>
            </w:r>
            <w:proofErr w:type="spellStart"/>
            <w:r>
              <w:rPr>
                <w:rFonts w:ascii="Calibri" w:hAnsi="Calibri" w:cs="Calibri"/>
                <w:b w:val="0"/>
                <w:lang w:val="cs-CZ"/>
              </w:rPr>
              <w:t>odkláněcí</w:t>
            </w:r>
            <w:proofErr w:type="spellEnd"/>
            <w:r>
              <w:rPr>
                <w:rFonts w:ascii="Calibri" w:hAnsi="Calibri" w:cs="Calibri"/>
                <w:b w:val="0"/>
                <w:lang w:val="cs-CZ"/>
              </w:rPr>
              <w:t xml:space="preserve"> magnet. </w:t>
            </w:r>
          </w:p>
        </w:tc>
        <w:tc>
          <w:tcPr>
            <w:tcW w:w="2651" w:type="dxa"/>
            <w:tcBorders>
              <w:top w:val="single" w:sz="4" w:space="0" w:color="000000"/>
              <w:left w:val="single" w:sz="4" w:space="0" w:color="000000"/>
              <w:bottom w:val="single" w:sz="4" w:space="0" w:color="000000"/>
              <w:right w:val="single" w:sz="4" w:space="0" w:color="000000"/>
            </w:tcBorders>
          </w:tcPr>
          <w:p w14:paraId="74B9B075"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62701825" w14:textId="77777777" w:rsidTr="008919A3">
        <w:tc>
          <w:tcPr>
            <w:tcW w:w="2093" w:type="dxa"/>
            <w:tcBorders>
              <w:top w:val="single" w:sz="4" w:space="0" w:color="000000"/>
              <w:left w:val="single" w:sz="4" w:space="0" w:color="000000"/>
              <w:bottom w:val="single" w:sz="4" w:space="0" w:color="000000"/>
              <w:right w:val="nil"/>
            </w:tcBorders>
          </w:tcPr>
          <w:p w14:paraId="0B4173F6"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690A6B8C"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Konstrukce strukturálních elementů</w:t>
            </w:r>
          </w:p>
        </w:tc>
        <w:tc>
          <w:tcPr>
            <w:tcW w:w="2127" w:type="dxa"/>
            <w:tcBorders>
              <w:top w:val="single" w:sz="4" w:space="0" w:color="000000"/>
              <w:left w:val="single" w:sz="4" w:space="0" w:color="000000"/>
              <w:bottom w:val="single" w:sz="4" w:space="0" w:color="000000"/>
              <w:right w:val="single" w:sz="4" w:space="0" w:color="000000"/>
            </w:tcBorders>
            <w:hideMark/>
          </w:tcPr>
          <w:p w14:paraId="4FCCC921" w14:textId="77777777" w:rsidR="00306067" w:rsidRDefault="00306067">
            <w:pPr>
              <w:pStyle w:val="NormalniBold"/>
              <w:spacing w:after="60"/>
              <w:jc w:val="both"/>
              <w:rPr>
                <w:rFonts w:ascii="Calibri" w:hAnsi="Calibri"/>
              </w:rPr>
            </w:pPr>
            <w:r>
              <w:rPr>
                <w:rFonts w:ascii="Calibri" w:hAnsi="Calibri" w:cs="Calibri"/>
                <w:b w:val="0"/>
                <w:lang w:val="cs-CZ"/>
              </w:rPr>
              <w:t>Strukturální elementy nesmí vytvářet horizontální proudové smyčky v ploše větší než 0.5 m</w:t>
            </w:r>
            <w:r>
              <w:rPr>
                <w:rFonts w:ascii="Calibri" w:hAnsi="Calibri" w:cs="Calibri"/>
                <w:b w:val="0"/>
                <w:vertAlign w:val="superscript"/>
                <w:lang w:val="cs-CZ"/>
              </w:rPr>
              <w:t>2</w:t>
            </w:r>
          </w:p>
        </w:tc>
        <w:tc>
          <w:tcPr>
            <w:tcW w:w="2651" w:type="dxa"/>
            <w:tcBorders>
              <w:top w:val="single" w:sz="4" w:space="0" w:color="000000"/>
              <w:left w:val="single" w:sz="4" w:space="0" w:color="000000"/>
              <w:bottom w:val="single" w:sz="4" w:space="0" w:color="000000"/>
              <w:right w:val="single" w:sz="4" w:space="0" w:color="000000"/>
            </w:tcBorders>
          </w:tcPr>
          <w:p w14:paraId="7E4CC6B5"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798C6BA6" w14:textId="77777777" w:rsidTr="008919A3">
        <w:tc>
          <w:tcPr>
            <w:tcW w:w="2093" w:type="dxa"/>
            <w:tcBorders>
              <w:top w:val="single" w:sz="4" w:space="0" w:color="000000"/>
              <w:left w:val="single" w:sz="4" w:space="0" w:color="000000"/>
              <w:bottom w:val="single" w:sz="4" w:space="0" w:color="000000"/>
              <w:right w:val="nil"/>
            </w:tcBorders>
          </w:tcPr>
          <w:p w14:paraId="015B302B"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2253843D"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Zemnění zařízení</w:t>
            </w:r>
          </w:p>
        </w:tc>
        <w:tc>
          <w:tcPr>
            <w:tcW w:w="2127" w:type="dxa"/>
            <w:tcBorders>
              <w:top w:val="single" w:sz="4" w:space="0" w:color="000000"/>
              <w:left w:val="single" w:sz="4" w:space="0" w:color="000000"/>
              <w:bottom w:val="single" w:sz="4" w:space="0" w:color="000000"/>
              <w:right w:val="single" w:sz="4" w:space="0" w:color="000000"/>
            </w:tcBorders>
            <w:hideMark/>
          </w:tcPr>
          <w:p w14:paraId="7904EEDA" w14:textId="77777777" w:rsidR="00306067" w:rsidRDefault="00306067">
            <w:pPr>
              <w:pStyle w:val="NormalniBold"/>
              <w:spacing w:after="60"/>
              <w:jc w:val="both"/>
              <w:rPr>
                <w:rFonts w:ascii="Calibri" w:hAnsi="Calibri"/>
              </w:rPr>
            </w:pPr>
            <w:r>
              <w:rPr>
                <w:rFonts w:ascii="Calibri" w:hAnsi="Calibri" w:cs="Calibri"/>
                <w:b w:val="0"/>
                <w:lang w:val="cs-CZ"/>
              </w:rPr>
              <w:t>Všechny komponenty, které jsou přístupné zvenku musí být uzemněny k zemi injektoru.</w:t>
            </w:r>
          </w:p>
        </w:tc>
        <w:tc>
          <w:tcPr>
            <w:tcW w:w="2651" w:type="dxa"/>
            <w:tcBorders>
              <w:top w:val="single" w:sz="4" w:space="0" w:color="000000"/>
              <w:left w:val="single" w:sz="4" w:space="0" w:color="000000"/>
              <w:bottom w:val="single" w:sz="4" w:space="0" w:color="000000"/>
              <w:right w:val="single" w:sz="4" w:space="0" w:color="000000"/>
            </w:tcBorders>
          </w:tcPr>
          <w:p w14:paraId="4D4C0C9B"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7530A233" w14:textId="77777777" w:rsidTr="008919A3">
        <w:tc>
          <w:tcPr>
            <w:tcW w:w="2093" w:type="dxa"/>
            <w:tcBorders>
              <w:top w:val="single" w:sz="4" w:space="0" w:color="000000"/>
              <w:left w:val="single" w:sz="4" w:space="0" w:color="000000"/>
              <w:bottom w:val="single" w:sz="4" w:space="0" w:color="000000"/>
              <w:right w:val="nil"/>
            </w:tcBorders>
          </w:tcPr>
          <w:p w14:paraId="1B0ABB3D"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05BDD76C"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Stínění zařízení</w:t>
            </w:r>
          </w:p>
        </w:tc>
        <w:tc>
          <w:tcPr>
            <w:tcW w:w="2127" w:type="dxa"/>
            <w:tcBorders>
              <w:top w:val="single" w:sz="4" w:space="0" w:color="000000"/>
              <w:left w:val="single" w:sz="4" w:space="0" w:color="000000"/>
              <w:bottom w:val="single" w:sz="4" w:space="0" w:color="000000"/>
              <w:right w:val="single" w:sz="4" w:space="0" w:color="000000"/>
            </w:tcBorders>
            <w:hideMark/>
          </w:tcPr>
          <w:p w14:paraId="5EFE0FEB" w14:textId="77777777" w:rsidR="00306067" w:rsidRDefault="00306067">
            <w:pPr>
              <w:pStyle w:val="NormalniBold"/>
              <w:spacing w:after="60"/>
              <w:jc w:val="both"/>
              <w:rPr>
                <w:rFonts w:ascii="Calibri" w:hAnsi="Calibri"/>
              </w:rPr>
            </w:pPr>
            <w:r>
              <w:rPr>
                <w:rFonts w:ascii="Calibri" w:hAnsi="Calibri" w:cs="Calibri"/>
                <w:b w:val="0"/>
                <w:lang w:val="cs-CZ"/>
              </w:rPr>
              <w:t xml:space="preserve">Komponenty musí být dostatečně stíněny proti magnetickému poli generovanému tokamakem </w:t>
            </w:r>
            <w:r>
              <w:rPr>
                <w:rFonts w:ascii="Calibri" w:hAnsi="Calibri" w:cs="Calibri"/>
                <w:b w:val="0"/>
                <w:color w:val="000000"/>
                <w:lang w:val="cs-CZ"/>
              </w:rPr>
              <w:t>(</w:t>
            </w:r>
            <w:proofErr w:type="spellStart"/>
            <w:r>
              <w:rPr>
                <w:rFonts w:ascii="Calibri" w:hAnsi="Calibri" w:cs="Calibri"/>
                <w:b w:val="0"/>
                <w:color w:val="000000"/>
                <w:lang w:val="en-GB"/>
              </w:rPr>
              <w:t>B</w:t>
            </w:r>
            <w:r>
              <w:rPr>
                <w:rFonts w:ascii="Calibri" w:hAnsi="Calibri" w:cs="Calibri"/>
                <w:b w:val="0"/>
                <w:color w:val="000000"/>
                <w:vertAlign w:val="subscript"/>
                <w:lang w:val="en-GB"/>
              </w:rPr>
              <w:t>z</w:t>
            </w:r>
            <w:proofErr w:type="spellEnd"/>
            <w:r>
              <w:rPr>
                <w:rFonts w:ascii="Calibri" w:hAnsi="Calibri" w:cs="Calibri"/>
                <w:b w:val="0"/>
                <w:color w:val="000000"/>
                <w:lang w:val="en-GB"/>
              </w:rPr>
              <w:t xml:space="preserve"> &lt; 0.02 T a B</w:t>
            </w:r>
            <w:r>
              <w:rPr>
                <w:rFonts w:ascii="Calibri" w:hAnsi="Calibri" w:cs="Calibri"/>
                <w:b w:val="0"/>
                <w:color w:val="000000"/>
                <w:vertAlign w:val="subscript"/>
                <w:lang w:val="en-GB"/>
              </w:rPr>
              <w:t>R</w:t>
            </w:r>
            <w:r>
              <w:rPr>
                <w:rFonts w:ascii="Calibri" w:hAnsi="Calibri" w:cs="Calibri"/>
                <w:b w:val="0"/>
                <w:color w:val="000000"/>
                <w:lang w:val="en-GB"/>
              </w:rPr>
              <w:t xml:space="preserve"> &lt; 0.01 T v </w:t>
            </w:r>
            <w:proofErr w:type="spellStart"/>
            <w:r>
              <w:rPr>
                <w:rFonts w:ascii="Calibri" w:hAnsi="Calibri" w:cs="Calibri"/>
                <w:b w:val="0"/>
                <w:color w:val="000000"/>
                <w:lang w:val="en-GB"/>
              </w:rPr>
              <w:t>místě</w:t>
            </w:r>
            <w:proofErr w:type="spellEnd"/>
            <w:r>
              <w:rPr>
                <w:rFonts w:ascii="Calibri" w:hAnsi="Calibri" w:cs="Calibri"/>
                <w:b w:val="0"/>
                <w:color w:val="000000"/>
                <w:lang w:val="en-GB"/>
              </w:rPr>
              <w:t xml:space="preserve"> </w:t>
            </w:r>
            <w:r>
              <w:rPr>
                <w:rFonts w:ascii="Calibri" w:hAnsi="Calibri" w:cs="Calibri"/>
                <w:b w:val="0"/>
                <w:color w:val="000000"/>
                <w:lang w:val="cs-CZ"/>
              </w:rPr>
              <w:t>z</w:t>
            </w:r>
            <w:r>
              <w:rPr>
                <w:rFonts w:ascii="Calibri" w:hAnsi="Calibri" w:cs="Calibri"/>
                <w:b w:val="0"/>
                <w:color w:val="000000"/>
                <w:lang w:val="en-GB"/>
              </w:rPr>
              <w:t>= 0 m, R= 4.0 m)</w:t>
            </w:r>
            <w:r>
              <w:rPr>
                <w:rFonts w:ascii="Calibri" w:hAnsi="Calibri" w:cs="Calibri"/>
                <w:color w:val="000000"/>
                <w:lang w:val="en-GB"/>
              </w:rPr>
              <w:t xml:space="preserve">, </w:t>
            </w:r>
            <w:proofErr w:type="spellStart"/>
            <w:r>
              <w:rPr>
                <w:rFonts w:ascii="Calibri" w:hAnsi="Calibri" w:cs="Calibri"/>
                <w:b w:val="0"/>
                <w:color w:val="000000"/>
                <w:lang w:val="en-GB"/>
              </w:rPr>
              <w:t>tak</w:t>
            </w:r>
            <w:proofErr w:type="spellEnd"/>
            <w:r>
              <w:rPr>
                <w:rFonts w:ascii="Calibri" w:hAnsi="Calibri" w:cs="Calibri"/>
                <w:b w:val="0"/>
                <w:color w:val="000000"/>
                <w:lang w:val="en-GB"/>
              </w:rPr>
              <w:t xml:space="preserve"> aby </w:t>
            </w:r>
            <w:proofErr w:type="spellStart"/>
            <w:r>
              <w:rPr>
                <w:rFonts w:ascii="Calibri" w:hAnsi="Calibri" w:cs="Calibri"/>
                <w:b w:val="0"/>
                <w:color w:val="000000"/>
                <w:lang w:val="en-GB"/>
              </w:rPr>
              <w:t>nedocházelo</w:t>
            </w:r>
            <w:proofErr w:type="spellEnd"/>
            <w:r>
              <w:rPr>
                <w:rFonts w:ascii="Calibri" w:hAnsi="Calibri" w:cs="Calibri"/>
                <w:b w:val="0"/>
                <w:color w:val="000000"/>
                <w:lang w:val="en-GB"/>
              </w:rPr>
              <w:t xml:space="preserve"> k </w:t>
            </w:r>
            <w:proofErr w:type="spellStart"/>
            <w:r>
              <w:rPr>
                <w:rFonts w:ascii="Calibri" w:hAnsi="Calibri" w:cs="Calibri"/>
                <w:b w:val="0"/>
                <w:color w:val="000000"/>
                <w:lang w:val="en-GB"/>
              </w:rPr>
              <w:t>omezení</w:t>
            </w:r>
            <w:proofErr w:type="spellEnd"/>
            <w:r>
              <w:rPr>
                <w:rFonts w:ascii="Calibri" w:hAnsi="Calibri" w:cs="Calibri"/>
                <w:b w:val="0"/>
                <w:color w:val="000000"/>
                <w:lang w:val="en-GB"/>
              </w:rPr>
              <w:t xml:space="preserve"> </w:t>
            </w:r>
            <w:proofErr w:type="spellStart"/>
            <w:r>
              <w:rPr>
                <w:rFonts w:ascii="Calibri" w:hAnsi="Calibri" w:cs="Calibri"/>
                <w:b w:val="0"/>
                <w:color w:val="000000"/>
                <w:lang w:val="en-GB"/>
              </w:rPr>
              <w:t>funkčnosti</w:t>
            </w:r>
            <w:proofErr w:type="spellEnd"/>
            <w:r>
              <w:rPr>
                <w:rFonts w:ascii="Calibri" w:hAnsi="Calibri" w:cs="Calibri"/>
                <w:b w:val="0"/>
                <w:color w:val="000000"/>
                <w:lang w:val="en-GB"/>
              </w:rPr>
              <w:t xml:space="preserve"> </w:t>
            </w:r>
            <w:proofErr w:type="spellStart"/>
            <w:r>
              <w:rPr>
                <w:rFonts w:ascii="Calibri" w:hAnsi="Calibri" w:cs="Calibri"/>
                <w:b w:val="0"/>
                <w:color w:val="000000"/>
                <w:lang w:val="en-GB"/>
              </w:rPr>
              <w:t>svazku</w:t>
            </w:r>
            <w:proofErr w:type="spellEnd"/>
            <w:r>
              <w:rPr>
                <w:rFonts w:ascii="Calibri" w:hAnsi="Calibri" w:cs="Calibri"/>
                <w:b w:val="0"/>
                <w:color w:val="000000"/>
                <w:lang w:val="en-GB"/>
              </w:rPr>
              <w:t>.</w:t>
            </w:r>
          </w:p>
        </w:tc>
        <w:tc>
          <w:tcPr>
            <w:tcW w:w="2651" w:type="dxa"/>
            <w:tcBorders>
              <w:top w:val="single" w:sz="4" w:space="0" w:color="000000"/>
              <w:left w:val="single" w:sz="4" w:space="0" w:color="000000"/>
              <w:bottom w:val="single" w:sz="4" w:space="0" w:color="000000"/>
              <w:right w:val="single" w:sz="4" w:space="0" w:color="000000"/>
            </w:tcBorders>
          </w:tcPr>
          <w:p w14:paraId="53B5815D"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4A3E9BDA" w14:textId="77777777" w:rsidTr="008919A3">
        <w:tc>
          <w:tcPr>
            <w:tcW w:w="2093" w:type="dxa"/>
            <w:tcBorders>
              <w:top w:val="single" w:sz="4" w:space="0" w:color="000000"/>
              <w:left w:val="single" w:sz="4" w:space="0" w:color="000000"/>
              <w:bottom w:val="single" w:sz="4" w:space="0" w:color="000000"/>
              <w:right w:val="nil"/>
            </w:tcBorders>
          </w:tcPr>
          <w:p w14:paraId="65CB816D"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4B311906"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Chlazení zařízení</w:t>
            </w:r>
          </w:p>
        </w:tc>
        <w:tc>
          <w:tcPr>
            <w:tcW w:w="2127" w:type="dxa"/>
            <w:tcBorders>
              <w:top w:val="single" w:sz="4" w:space="0" w:color="000000"/>
              <w:left w:val="single" w:sz="4" w:space="0" w:color="000000"/>
              <w:bottom w:val="single" w:sz="4" w:space="0" w:color="000000"/>
              <w:right w:val="single" w:sz="4" w:space="0" w:color="000000"/>
            </w:tcBorders>
            <w:hideMark/>
          </w:tcPr>
          <w:p w14:paraId="3599E0A2" w14:textId="77777777" w:rsidR="00306067" w:rsidRDefault="00306067">
            <w:pPr>
              <w:pStyle w:val="NormalniBold"/>
              <w:spacing w:after="60"/>
              <w:jc w:val="both"/>
              <w:rPr>
                <w:rFonts w:ascii="Calibri" w:hAnsi="Calibri"/>
              </w:rPr>
            </w:pPr>
            <w:r>
              <w:rPr>
                <w:rFonts w:ascii="Calibri" w:hAnsi="Calibri" w:cs="Calibri"/>
                <w:b w:val="0"/>
                <w:lang w:val="cs-CZ"/>
              </w:rPr>
              <w:t>Všechny subsystémy přístupné zvenku musí být adekvátně chlazeny, tak aby teplota na vnějším povrchu nepřekročila 50</w:t>
            </w:r>
            <w:r>
              <w:rPr>
                <w:rFonts w:ascii="Calibri" w:hAnsi="Calibri" w:cs="Calibri"/>
                <w:b w:val="0"/>
                <w:vertAlign w:val="superscript"/>
                <w:lang w:val="cs-CZ"/>
              </w:rPr>
              <w:t>o</w:t>
            </w:r>
            <w:r>
              <w:rPr>
                <w:rFonts w:ascii="Calibri" w:hAnsi="Calibri" w:cs="Calibri"/>
                <w:b w:val="0"/>
                <w:lang w:val="cs-CZ"/>
              </w:rPr>
              <w:t xml:space="preserve"> C.</w:t>
            </w:r>
          </w:p>
        </w:tc>
        <w:tc>
          <w:tcPr>
            <w:tcW w:w="2651" w:type="dxa"/>
            <w:tcBorders>
              <w:top w:val="single" w:sz="4" w:space="0" w:color="000000"/>
              <w:left w:val="single" w:sz="4" w:space="0" w:color="000000"/>
              <w:bottom w:val="single" w:sz="4" w:space="0" w:color="000000"/>
              <w:right w:val="single" w:sz="4" w:space="0" w:color="000000"/>
            </w:tcBorders>
          </w:tcPr>
          <w:p w14:paraId="6B4B7E71"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7A48E4E5" w14:textId="77777777" w:rsidTr="008919A3">
        <w:tc>
          <w:tcPr>
            <w:tcW w:w="2093" w:type="dxa"/>
            <w:tcBorders>
              <w:top w:val="single" w:sz="4" w:space="0" w:color="000000"/>
              <w:left w:val="single" w:sz="4" w:space="0" w:color="000000"/>
              <w:bottom w:val="single" w:sz="4" w:space="0" w:color="000000"/>
              <w:right w:val="nil"/>
            </w:tcBorders>
          </w:tcPr>
          <w:p w14:paraId="5EEDDC20"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6622A0F9"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Rozměry a tvar zařízení</w:t>
            </w:r>
          </w:p>
        </w:tc>
        <w:tc>
          <w:tcPr>
            <w:tcW w:w="2127" w:type="dxa"/>
            <w:tcBorders>
              <w:top w:val="single" w:sz="4" w:space="0" w:color="000000"/>
              <w:left w:val="single" w:sz="4" w:space="0" w:color="000000"/>
              <w:bottom w:val="single" w:sz="4" w:space="0" w:color="000000"/>
              <w:right w:val="single" w:sz="4" w:space="0" w:color="000000"/>
            </w:tcBorders>
            <w:hideMark/>
          </w:tcPr>
          <w:p w14:paraId="59865921" w14:textId="77777777" w:rsidR="00306067" w:rsidRDefault="00306067">
            <w:pPr>
              <w:pStyle w:val="NormalniBold"/>
              <w:spacing w:after="60"/>
              <w:jc w:val="both"/>
              <w:rPr>
                <w:rFonts w:ascii="Calibri" w:hAnsi="Calibri"/>
              </w:rPr>
            </w:pPr>
            <w:r>
              <w:rPr>
                <w:rFonts w:ascii="Calibri" w:hAnsi="Calibri" w:cs="Calibri"/>
                <w:b w:val="0"/>
                <w:lang w:val="cs-CZ"/>
              </w:rPr>
              <w:t xml:space="preserve">Tvar a umístění komponent musí být kompatibilní s tvarem tokamaku COMPASS a jeho systémů viz </w:t>
            </w:r>
            <w:proofErr w:type="spellStart"/>
            <w:r>
              <w:rPr>
                <w:rFonts w:ascii="Calibri" w:hAnsi="Calibri" w:cs="Calibri"/>
                <w:b w:val="0"/>
                <w:lang w:val="cs-CZ"/>
              </w:rPr>
              <w:t>obázek</w:t>
            </w:r>
            <w:proofErr w:type="spellEnd"/>
            <w:r>
              <w:rPr>
                <w:rFonts w:ascii="Calibri" w:hAnsi="Calibri" w:cs="Calibri"/>
                <w:b w:val="0"/>
                <w:lang w:val="cs-CZ"/>
              </w:rPr>
              <w:t xml:space="preserve"> č. 1 na straně č. 8 ZD.</w:t>
            </w:r>
          </w:p>
        </w:tc>
        <w:tc>
          <w:tcPr>
            <w:tcW w:w="2651" w:type="dxa"/>
            <w:tcBorders>
              <w:top w:val="single" w:sz="4" w:space="0" w:color="000000"/>
              <w:left w:val="single" w:sz="4" w:space="0" w:color="000000"/>
              <w:bottom w:val="single" w:sz="4" w:space="0" w:color="000000"/>
              <w:right w:val="single" w:sz="4" w:space="0" w:color="000000"/>
            </w:tcBorders>
          </w:tcPr>
          <w:p w14:paraId="12163DAE"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099FD891" w14:textId="77777777" w:rsidTr="008919A3">
        <w:tc>
          <w:tcPr>
            <w:tcW w:w="2093" w:type="dxa"/>
            <w:tcBorders>
              <w:top w:val="single" w:sz="4" w:space="0" w:color="000000"/>
              <w:left w:val="single" w:sz="4" w:space="0" w:color="000000"/>
              <w:bottom w:val="single" w:sz="4" w:space="0" w:color="000000"/>
              <w:right w:val="nil"/>
            </w:tcBorders>
          </w:tcPr>
          <w:p w14:paraId="5982173B"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6EC21DF4"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Umístění subsystémů</w:t>
            </w:r>
          </w:p>
        </w:tc>
        <w:tc>
          <w:tcPr>
            <w:tcW w:w="2127" w:type="dxa"/>
            <w:tcBorders>
              <w:top w:val="single" w:sz="4" w:space="0" w:color="000000"/>
              <w:left w:val="single" w:sz="4" w:space="0" w:color="000000"/>
              <w:bottom w:val="single" w:sz="4" w:space="0" w:color="000000"/>
              <w:right w:val="single" w:sz="4" w:space="0" w:color="000000"/>
            </w:tcBorders>
            <w:hideMark/>
          </w:tcPr>
          <w:p w14:paraId="28040C95" w14:textId="77777777" w:rsidR="00306067" w:rsidRDefault="00306067">
            <w:pPr>
              <w:pStyle w:val="NormalniBold"/>
              <w:spacing w:after="60"/>
              <w:jc w:val="both"/>
              <w:rPr>
                <w:rFonts w:ascii="Calibri" w:hAnsi="Calibri"/>
              </w:rPr>
            </w:pPr>
            <w:r>
              <w:rPr>
                <w:rFonts w:ascii="Calibri" w:hAnsi="Calibri" w:cs="Calibri"/>
                <w:b w:val="0"/>
                <w:lang w:val="cs-CZ"/>
              </w:rPr>
              <w:t xml:space="preserve">Všechny subsystémy, které nemusí být </w:t>
            </w:r>
            <w:r>
              <w:rPr>
                <w:rFonts w:ascii="Calibri" w:hAnsi="Calibri" w:cs="Calibri"/>
                <w:b w:val="0"/>
                <w:lang w:val="cs-CZ"/>
              </w:rPr>
              <w:lastRenderedPageBreak/>
              <w:t>nezbytně umístěny v blízkosti tokamaku musí být umístěny v přízemí haly ve vlastním ohrazeném prostoru. Ovládací počítač svazku musí být umístěn mimo experimentální halu tokamaku nebo adekvátně stíněn proti radiaci.</w:t>
            </w:r>
          </w:p>
        </w:tc>
        <w:tc>
          <w:tcPr>
            <w:tcW w:w="2651" w:type="dxa"/>
            <w:tcBorders>
              <w:top w:val="single" w:sz="4" w:space="0" w:color="000000"/>
              <w:left w:val="single" w:sz="4" w:space="0" w:color="000000"/>
              <w:bottom w:val="single" w:sz="4" w:space="0" w:color="000000"/>
              <w:right w:val="single" w:sz="4" w:space="0" w:color="000000"/>
            </w:tcBorders>
          </w:tcPr>
          <w:p w14:paraId="3E637C2E"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lastRenderedPageBreak/>
              <w:t xml:space="preserve">Dodavatel splňuje tento minimální technický </w:t>
            </w:r>
            <w:r w:rsidRPr="00306067">
              <w:rPr>
                <w:rFonts w:ascii="Calibri" w:hAnsi="Calibri" w:cs="Calibri"/>
                <w:color w:val="0070C0"/>
                <w:lang w:val="cs-CZ"/>
              </w:rPr>
              <w:lastRenderedPageBreak/>
              <w:t>požadavek uvedený v tomto řádku</w:t>
            </w:r>
          </w:p>
        </w:tc>
      </w:tr>
      <w:tr w:rsidR="00306067" w14:paraId="7A92E50A" w14:textId="77777777" w:rsidTr="008919A3">
        <w:tc>
          <w:tcPr>
            <w:tcW w:w="2093" w:type="dxa"/>
            <w:tcBorders>
              <w:top w:val="single" w:sz="4" w:space="0" w:color="000000"/>
              <w:left w:val="single" w:sz="4" w:space="0" w:color="000000"/>
              <w:bottom w:val="single" w:sz="4" w:space="0" w:color="000000"/>
              <w:right w:val="nil"/>
            </w:tcBorders>
          </w:tcPr>
          <w:p w14:paraId="5443DCB6"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4A770822"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Korekce umístění komponent</w:t>
            </w:r>
          </w:p>
        </w:tc>
        <w:tc>
          <w:tcPr>
            <w:tcW w:w="2127" w:type="dxa"/>
            <w:tcBorders>
              <w:top w:val="single" w:sz="4" w:space="0" w:color="000000"/>
              <w:left w:val="single" w:sz="4" w:space="0" w:color="000000"/>
              <w:bottom w:val="single" w:sz="4" w:space="0" w:color="000000"/>
              <w:right w:val="single" w:sz="4" w:space="0" w:color="000000"/>
            </w:tcBorders>
            <w:hideMark/>
          </w:tcPr>
          <w:p w14:paraId="537FEE45" w14:textId="77777777" w:rsidR="00306067" w:rsidRDefault="00306067">
            <w:pPr>
              <w:pStyle w:val="NormalniBold"/>
              <w:spacing w:after="60"/>
              <w:jc w:val="both"/>
              <w:rPr>
                <w:rFonts w:ascii="Calibri" w:hAnsi="Calibri"/>
              </w:rPr>
            </w:pPr>
            <w:r>
              <w:rPr>
                <w:rFonts w:ascii="Calibri" w:hAnsi="Calibri" w:cs="Calibri"/>
                <w:b w:val="0"/>
                <w:lang w:val="cs-CZ"/>
              </w:rPr>
              <w:t>Stojan systému ohřevu musí být navržen tak, aby umožnil přesné a robustní nastavení polohy a orientace svazku. Toto nastavení musí být proveditelné bez použití jeřábu. Samotný systému ohřevu ale musí být zároveň uzpůsoben k transportu jeřábem. Stojan musí také umožnit výrazný (</w:t>
            </w:r>
            <w:r>
              <w:rPr>
                <w:rFonts w:ascii="Calibri" w:hAnsi="Calibri" w:cs="Calibri"/>
                <w:b w:val="0"/>
              </w:rPr>
              <w:t xml:space="preserve">&gt;1m) </w:t>
            </w:r>
            <w:r>
              <w:rPr>
                <w:rFonts w:ascii="Calibri" w:hAnsi="Calibri" w:cs="Calibri"/>
                <w:b w:val="0"/>
                <w:lang w:val="cs-CZ"/>
              </w:rPr>
              <w:t>lineární posun svazku bez použití těžkých strojů pro případnou údržbu a opravy.</w:t>
            </w:r>
          </w:p>
        </w:tc>
        <w:tc>
          <w:tcPr>
            <w:tcW w:w="2651" w:type="dxa"/>
            <w:tcBorders>
              <w:top w:val="single" w:sz="4" w:space="0" w:color="000000"/>
              <w:left w:val="single" w:sz="4" w:space="0" w:color="000000"/>
              <w:bottom w:val="single" w:sz="4" w:space="0" w:color="000000"/>
              <w:right w:val="single" w:sz="4" w:space="0" w:color="000000"/>
            </w:tcBorders>
          </w:tcPr>
          <w:p w14:paraId="6DE4B8D0"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25DECB48" w14:textId="77777777" w:rsidTr="008919A3">
        <w:tc>
          <w:tcPr>
            <w:tcW w:w="2093" w:type="dxa"/>
            <w:tcBorders>
              <w:top w:val="single" w:sz="4" w:space="0" w:color="000000"/>
              <w:left w:val="single" w:sz="4" w:space="0" w:color="000000"/>
              <w:bottom w:val="single" w:sz="4" w:space="0" w:color="000000"/>
              <w:right w:val="nil"/>
            </w:tcBorders>
          </w:tcPr>
          <w:p w14:paraId="7069BCF9"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23837E8A"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Kompatibilita elektrických zdrojů</w:t>
            </w:r>
          </w:p>
        </w:tc>
        <w:tc>
          <w:tcPr>
            <w:tcW w:w="2127" w:type="dxa"/>
            <w:tcBorders>
              <w:top w:val="single" w:sz="4" w:space="0" w:color="000000"/>
              <w:left w:val="single" w:sz="4" w:space="0" w:color="000000"/>
              <w:bottom w:val="single" w:sz="4" w:space="0" w:color="000000"/>
              <w:right w:val="single" w:sz="4" w:space="0" w:color="000000"/>
            </w:tcBorders>
            <w:hideMark/>
          </w:tcPr>
          <w:p w14:paraId="069A4522" w14:textId="77777777" w:rsidR="00306067" w:rsidRDefault="00306067">
            <w:pPr>
              <w:pStyle w:val="NormalniBold"/>
              <w:spacing w:after="60"/>
              <w:jc w:val="both"/>
              <w:rPr>
                <w:rFonts w:ascii="Calibri" w:hAnsi="Calibri"/>
              </w:rPr>
            </w:pPr>
            <w:r>
              <w:rPr>
                <w:rFonts w:ascii="Calibri" w:hAnsi="Calibri" w:cs="Calibri"/>
                <w:b w:val="0"/>
                <w:lang w:val="cs-CZ"/>
              </w:rPr>
              <w:t>Veškeré vybavení musí být kompatibilní s příslušnými předpisy a doporučeními ČSN a vnitřními předpisy ÚFP (ty jsou dostupné na dotaz).</w:t>
            </w:r>
          </w:p>
        </w:tc>
        <w:tc>
          <w:tcPr>
            <w:tcW w:w="2651" w:type="dxa"/>
            <w:tcBorders>
              <w:top w:val="single" w:sz="4" w:space="0" w:color="000000"/>
              <w:left w:val="single" w:sz="4" w:space="0" w:color="000000"/>
              <w:bottom w:val="single" w:sz="4" w:space="0" w:color="000000"/>
              <w:right w:val="single" w:sz="4" w:space="0" w:color="000000"/>
            </w:tcBorders>
          </w:tcPr>
          <w:p w14:paraId="675AEA63"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35351ECC" w14:textId="77777777" w:rsidTr="008919A3">
        <w:tc>
          <w:tcPr>
            <w:tcW w:w="2093" w:type="dxa"/>
            <w:tcBorders>
              <w:top w:val="single" w:sz="4" w:space="0" w:color="000000"/>
              <w:left w:val="single" w:sz="4" w:space="0" w:color="000000"/>
              <w:bottom w:val="single" w:sz="4" w:space="0" w:color="000000"/>
              <w:right w:val="nil"/>
            </w:tcBorders>
          </w:tcPr>
          <w:p w14:paraId="6F295189"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1F29E072"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 xml:space="preserve"> Elektrická izolace zařízení</w:t>
            </w:r>
          </w:p>
        </w:tc>
        <w:tc>
          <w:tcPr>
            <w:tcW w:w="2127" w:type="dxa"/>
            <w:tcBorders>
              <w:top w:val="single" w:sz="4" w:space="0" w:color="000000"/>
              <w:left w:val="single" w:sz="4" w:space="0" w:color="000000"/>
              <w:bottom w:val="single" w:sz="4" w:space="0" w:color="000000"/>
              <w:right w:val="single" w:sz="4" w:space="0" w:color="000000"/>
            </w:tcBorders>
            <w:hideMark/>
          </w:tcPr>
          <w:p w14:paraId="249429A4" w14:textId="77777777" w:rsidR="00306067" w:rsidRDefault="00306067">
            <w:pPr>
              <w:pStyle w:val="NormalniBold"/>
              <w:spacing w:after="60"/>
              <w:jc w:val="both"/>
              <w:rPr>
                <w:rFonts w:ascii="Calibri" w:hAnsi="Calibri"/>
              </w:rPr>
            </w:pPr>
            <w:r>
              <w:rPr>
                <w:rFonts w:ascii="Calibri" w:hAnsi="Calibri" w:cs="Calibri"/>
                <w:b w:val="0"/>
                <w:lang w:val="cs-CZ"/>
              </w:rPr>
              <w:t>Vysokonapěťové, kontrolní a uzemněné komponenty musí být od sebe dostatečně elektricky izolované.</w:t>
            </w:r>
          </w:p>
        </w:tc>
        <w:tc>
          <w:tcPr>
            <w:tcW w:w="2651" w:type="dxa"/>
            <w:tcBorders>
              <w:top w:val="single" w:sz="4" w:space="0" w:color="000000"/>
              <w:left w:val="single" w:sz="4" w:space="0" w:color="000000"/>
              <w:bottom w:val="single" w:sz="4" w:space="0" w:color="000000"/>
              <w:right w:val="single" w:sz="4" w:space="0" w:color="000000"/>
            </w:tcBorders>
          </w:tcPr>
          <w:p w14:paraId="630E4334"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7752A556" w14:textId="77777777" w:rsidTr="008919A3">
        <w:tc>
          <w:tcPr>
            <w:tcW w:w="2093" w:type="dxa"/>
            <w:tcBorders>
              <w:top w:val="single" w:sz="4" w:space="0" w:color="000000"/>
              <w:left w:val="single" w:sz="4" w:space="0" w:color="000000"/>
              <w:bottom w:val="single" w:sz="4" w:space="0" w:color="000000"/>
              <w:right w:val="nil"/>
            </w:tcBorders>
          </w:tcPr>
          <w:p w14:paraId="51EB4A15"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4A85D687"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Bezpečnost zařízení</w:t>
            </w:r>
          </w:p>
        </w:tc>
        <w:tc>
          <w:tcPr>
            <w:tcW w:w="2127" w:type="dxa"/>
            <w:tcBorders>
              <w:top w:val="single" w:sz="4" w:space="0" w:color="000000"/>
              <w:left w:val="single" w:sz="4" w:space="0" w:color="000000"/>
              <w:bottom w:val="single" w:sz="4" w:space="0" w:color="000000"/>
              <w:right w:val="single" w:sz="4" w:space="0" w:color="000000"/>
            </w:tcBorders>
            <w:hideMark/>
          </w:tcPr>
          <w:p w14:paraId="0B83DD27" w14:textId="77777777" w:rsidR="00306067" w:rsidRDefault="00306067">
            <w:pPr>
              <w:pStyle w:val="NormalniBold"/>
              <w:spacing w:after="60"/>
              <w:jc w:val="both"/>
              <w:rPr>
                <w:rFonts w:ascii="Calibri" w:hAnsi="Calibri"/>
              </w:rPr>
            </w:pPr>
            <w:r>
              <w:rPr>
                <w:rFonts w:ascii="Calibri" w:hAnsi="Calibri" w:cs="Calibri"/>
                <w:b w:val="0"/>
                <w:lang w:val="cs-CZ"/>
              </w:rPr>
              <w:t xml:space="preserve">Zařízení musí být vybaveno světelnými ukazateli stavu vysokonapěťových komponent. </w:t>
            </w:r>
          </w:p>
        </w:tc>
        <w:tc>
          <w:tcPr>
            <w:tcW w:w="2651" w:type="dxa"/>
            <w:tcBorders>
              <w:top w:val="single" w:sz="4" w:space="0" w:color="000000"/>
              <w:left w:val="single" w:sz="4" w:space="0" w:color="000000"/>
              <w:bottom w:val="single" w:sz="4" w:space="0" w:color="000000"/>
              <w:right w:val="single" w:sz="4" w:space="0" w:color="000000"/>
            </w:tcBorders>
          </w:tcPr>
          <w:p w14:paraId="5CC7C80E"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24CAE63B" w14:textId="77777777" w:rsidTr="008919A3">
        <w:tc>
          <w:tcPr>
            <w:tcW w:w="2093" w:type="dxa"/>
            <w:tcBorders>
              <w:top w:val="single" w:sz="4" w:space="0" w:color="000000"/>
              <w:left w:val="single" w:sz="4" w:space="0" w:color="000000"/>
              <w:bottom w:val="single" w:sz="4" w:space="0" w:color="000000"/>
              <w:right w:val="nil"/>
            </w:tcBorders>
          </w:tcPr>
          <w:p w14:paraId="389DD5CB"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tcPr>
          <w:p w14:paraId="1A1FA8D6"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Dokumentace</w:t>
            </w:r>
          </w:p>
          <w:p w14:paraId="4B9CD649" w14:textId="77777777" w:rsidR="00306067" w:rsidRDefault="00306067" w:rsidP="00306067">
            <w:pPr>
              <w:pStyle w:val="NormalniBold"/>
              <w:spacing w:before="120" w:after="60"/>
              <w:ind w:left="742" w:hanging="818"/>
              <w:jc w:val="both"/>
              <w:rPr>
                <w:rFonts w:ascii="Calibri" w:hAnsi="Calibri" w:cs="Calibri"/>
                <w:b w:val="0"/>
                <w:lang w:val="cs-CZ"/>
              </w:rPr>
            </w:pPr>
          </w:p>
        </w:tc>
        <w:tc>
          <w:tcPr>
            <w:tcW w:w="2127" w:type="dxa"/>
            <w:tcBorders>
              <w:top w:val="single" w:sz="4" w:space="0" w:color="000000"/>
              <w:left w:val="single" w:sz="4" w:space="0" w:color="000000"/>
              <w:bottom w:val="single" w:sz="4" w:space="0" w:color="000000"/>
              <w:right w:val="single" w:sz="4" w:space="0" w:color="000000"/>
            </w:tcBorders>
            <w:hideMark/>
          </w:tcPr>
          <w:p w14:paraId="5AD57F5E" w14:textId="77777777" w:rsidR="00306067" w:rsidRDefault="00306067">
            <w:pPr>
              <w:pStyle w:val="NormalniBold"/>
              <w:spacing w:after="60"/>
              <w:jc w:val="both"/>
              <w:rPr>
                <w:rFonts w:ascii="Calibri" w:hAnsi="Calibri"/>
              </w:rPr>
            </w:pPr>
            <w:r>
              <w:rPr>
                <w:rFonts w:ascii="Calibri" w:hAnsi="Calibri" w:cs="Calibri"/>
                <w:b w:val="0"/>
                <w:lang w:val="cs-CZ"/>
              </w:rPr>
              <w:t xml:space="preserve">Dodavatel musí dodat konstrukční a provozní dokumentaci k veškerým mechanickým, elektrickým a softwarovým komponentám zařízení, které nejsou komerčně dostupné, a </w:t>
            </w:r>
            <w:r>
              <w:rPr>
                <w:rFonts w:ascii="Calibri" w:hAnsi="Calibri" w:cs="Calibri"/>
                <w:b w:val="0"/>
                <w:lang w:val="cs-CZ"/>
              </w:rPr>
              <w:lastRenderedPageBreak/>
              <w:t>to včetně zdrojových kódů příslušného software a elektrických schémat s přesným typovým označením komponent. Součástí dokumentace bude také seznam provedených modifikací komerčních komponent.</w:t>
            </w:r>
          </w:p>
        </w:tc>
        <w:tc>
          <w:tcPr>
            <w:tcW w:w="2651" w:type="dxa"/>
            <w:tcBorders>
              <w:top w:val="single" w:sz="4" w:space="0" w:color="000000"/>
              <w:left w:val="single" w:sz="4" w:space="0" w:color="000000"/>
              <w:bottom w:val="single" w:sz="4" w:space="0" w:color="000000"/>
              <w:right w:val="single" w:sz="4" w:space="0" w:color="000000"/>
            </w:tcBorders>
          </w:tcPr>
          <w:p w14:paraId="4B84129D"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lastRenderedPageBreak/>
              <w:t>Dodavatel splňuje tento minimální technický požadavek uvedený v tomto řádku</w:t>
            </w:r>
          </w:p>
        </w:tc>
      </w:tr>
      <w:tr w:rsidR="00306067" w14:paraId="6D3571EB" w14:textId="77777777" w:rsidTr="008919A3">
        <w:tc>
          <w:tcPr>
            <w:tcW w:w="2093" w:type="dxa"/>
            <w:tcBorders>
              <w:top w:val="single" w:sz="4" w:space="0" w:color="000000"/>
              <w:left w:val="single" w:sz="4" w:space="0" w:color="000000"/>
              <w:bottom w:val="single" w:sz="4" w:space="0" w:color="000000"/>
              <w:right w:val="nil"/>
            </w:tcBorders>
          </w:tcPr>
          <w:p w14:paraId="16EF2D11"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70A0B186"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 xml:space="preserve">Tlak v místě připojení svazku na komoru </w:t>
            </w:r>
            <w:proofErr w:type="spellStart"/>
            <w:r>
              <w:rPr>
                <w:rFonts w:ascii="Calibri" w:hAnsi="Calibri" w:cs="Calibri"/>
                <w:b w:val="0"/>
                <w:lang w:val="cs-CZ"/>
              </w:rPr>
              <w:t>COMPASSu</w:t>
            </w:r>
            <w:proofErr w:type="spellEnd"/>
            <w:r>
              <w:rPr>
                <w:rFonts w:ascii="Calibri" w:hAnsi="Calibri" w:cs="Calibri"/>
                <w:b w:val="0"/>
                <w:lang w:val="cs-CZ"/>
              </w:rPr>
              <w:t xml:space="preserve"> během pulsu svazku</w:t>
            </w:r>
          </w:p>
        </w:tc>
        <w:tc>
          <w:tcPr>
            <w:tcW w:w="2127" w:type="dxa"/>
            <w:tcBorders>
              <w:top w:val="single" w:sz="4" w:space="0" w:color="000000"/>
              <w:left w:val="single" w:sz="4" w:space="0" w:color="000000"/>
              <w:bottom w:val="single" w:sz="4" w:space="0" w:color="000000"/>
              <w:right w:val="single" w:sz="4" w:space="0" w:color="000000"/>
            </w:tcBorders>
            <w:hideMark/>
          </w:tcPr>
          <w:p w14:paraId="5FC76567" w14:textId="77777777" w:rsidR="00306067" w:rsidRDefault="00306067">
            <w:pPr>
              <w:pStyle w:val="NormalniBold"/>
              <w:spacing w:after="60"/>
              <w:jc w:val="both"/>
              <w:rPr>
                <w:rFonts w:ascii="Calibri" w:hAnsi="Calibri" w:cs="Calibri"/>
                <w:b w:val="0"/>
                <w:lang w:val="cs-CZ"/>
              </w:rPr>
            </w:pPr>
            <w:r>
              <w:rPr>
                <w:rFonts w:ascii="Calibri" w:hAnsi="Calibri" w:cs="Calibri"/>
                <w:b w:val="0"/>
                <w:lang w:val="cs-CZ"/>
              </w:rPr>
              <w:t>≤</w:t>
            </w:r>
            <w:r>
              <w:rPr>
                <w:rFonts w:ascii="Calibri" w:hAnsi="Calibri" w:cs="Calibri"/>
                <w:b w:val="0"/>
                <w:lang w:val="en-GB"/>
              </w:rPr>
              <w:t>2·10</w:t>
            </w:r>
            <w:r>
              <w:rPr>
                <w:rFonts w:ascii="Calibri" w:hAnsi="Calibri" w:cs="Calibri"/>
                <w:b w:val="0"/>
                <w:vertAlign w:val="superscript"/>
                <w:lang w:val="en-GB"/>
              </w:rPr>
              <w:t>-2</w:t>
            </w:r>
            <w:r>
              <w:rPr>
                <w:rFonts w:ascii="Calibri" w:hAnsi="Calibri" w:cs="Calibri"/>
                <w:b w:val="0"/>
                <w:lang w:val="en-GB"/>
              </w:rPr>
              <w:t xml:space="preserve"> Pa  </w:t>
            </w:r>
          </w:p>
        </w:tc>
        <w:tc>
          <w:tcPr>
            <w:tcW w:w="2651" w:type="dxa"/>
            <w:tcBorders>
              <w:top w:val="single" w:sz="4" w:space="0" w:color="000000"/>
              <w:left w:val="single" w:sz="4" w:space="0" w:color="000000"/>
              <w:bottom w:val="single" w:sz="4" w:space="0" w:color="000000"/>
              <w:right w:val="single" w:sz="4" w:space="0" w:color="000000"/>
            </w:tcBorders>
          </w:tcPr>
          <w:p w14:paraId="7F8A06D7"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2E183195" w14:textId="77777777" w:rsidTr="008919A3">
        <w:tc>
          <w:tcPr>
            <w:tcW w:w="2093" w:type="dxa"/>
            <w:tcBorders>
              <w:top w:val="single" w:sz="4" w:space="0" w:color="000000"/>
              <w:left w:val="single" w:sz="4" w:space="0" w:color="000000"/>
              <w:bottom w:val="single" w:sz="4" w:space="0" w:color="000000"/>
              <w:right w:val="nil"/>
            </w:tcBorders>
          </w:tcPr>
          <w:p w14:paraId="3660427A"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25E310C6"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 xml:space="preserve">Tlak v místě připojení svazku na komoru </w:t>
            </w:r>
            <w:proofErr w:type="spellStart"/>
            <w:r>
              <w:rPr>
                <w:rFonts w:ascii="Calibri" w:hAnsi="Calibri" w:cs="Calibri"/>
                <w:b w:val="0"/>
                <w:lang w:val="cs-CZ"/>
              </w:rPr>
              <w:t>COMPASSu</w:t>
            </w:r>
            <w:proofErr w:type="spellEnd"/>
            <w:r>
              <w:rPr>
                <w:rFonts w:ascii="Calibri" w:hAnsi="Calibri" w:cs="Calibri"/>
                <w:b w:val="0"/>
                <w:lang w:val="cs-CZ"/>
              </w:rPr>
              <w:t xml:space="preserve"> mimo puls svazku</w:t>
            </w:r>
          </w:p>
        </w:tc>
        <w:tc>
          <w:tcPr>
            <w:tcW w:w="2127" w:type="dxa"/>
            <w:tcBorders>
              <w:top w:val="single" w:sz="4" w:space="0" w:color="000000"/>
              <w:left w:val="single" w:sz="4" w:space="0" w:color="000000"/>
              <w:bottom w:val="single" w:sz="4" w:space="0" w:color="000000"/>
              <w:right w:val="single" w:sz="4" w:space="0" w:color="000000"/>
            </w:tcBorders>
            <w:hideMark/>
          </w:tcPr>
          <w:p w14:paraId="1307363A" w14:textId="77777777" w:rsidR="00306067" w:rsidRDefault="00306067">
            <w:pPr>
              <w:pStyle w:val="NormalniBold"/>
              <w:spacing w:after="60"/>
              <w:jc w:val="both"/>
              <w:rPr>
                <w:rFonts w:ascii="Calibri" w:hAnsi="Calibri" w:cs="Calibri"/>
                <w:b w:val="0"/>
                <w:lang w:val="cs-CZ"/>
              </w:rPr>
            </w:pPr>
            <w:r>
              <w:rPr>
                <w:rFonts w:ascii="Calibri" w:hAnsi="Calibri" w:cs="Calibri"/>
                <w:b w:val="0"/>
                <w:lang w:val="cs-CZ"/>
              </w:rPr>
              <w:t>≤</w:t>
            </w:r>
            <w:r>
              <w:rPr>
                <w:rFonts w:ascii="Calibri" w:hAnsi="Calibri" w:cs="Calibri"/>
                <w:b w:val="0"/>
                <w:lang w:val="en-GB"/>
              </w:rPr>
              <w:t>2·10</w:t>
            </w:r>
            <w:r>
              <w:rPr>
                <w:rFonts w:ascii="Calibri" w:hAnsi="Calibri" w:cs="Calibri"/>
                <w:b w:val="0"/>
                <w:vertAlign w:val="superscript"/>
                <w:lang w:val="en-GB"/>
              </w:rPr>
              <w:t>-5</w:t>
            </w:r>
            <w:r>
              <w:rPr>
                <w:rFonts w:ascii="Calibri" w:hAnsi="Calibri" w:cs="Calibri"/>
                <w:b w:val="0"/>
                <w:lang w:val="en-GB"/>
              </w:rPr>
              <w:t xml:space="preserve"> Pa  </w:t>
            </w:r>
          </w:p>
        </w:tc>
        <w:tc>
          <w:tcPr>
            <w:tcW w:w="2651" w:type="dxa"/>
            <w:tcBorders>
              <w:top w:val="single" w:sz="4" w:space="0" w:color="000000"/>
              <w:left w:val="single" w:sz="4" w:space="0" w:color="000000"/>
              <w:bottom w:val="single" w:sz="4" w:space="0" w:color="000000"/>
              <w:right w:val="single" w:sz="4" w:space="0" w:color="000000"/>
            </w:tcBorders>
          </w:tcPr>
          <w:p w14:paraId="16B80EB0"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084774B9" w14:textId="77777777" w:rsidTr="008919A3">
        <w:tc>
          <w:tcPr>
            <w:tcW w:w="2093" w:type="dxa"/>
            <w:tcBorders>
              <w:top w:val="single" w:sz="4" w:space="0" w:color="000000"/>
              <w:left w:val="single" w:sz="4" w:space="0" w:color="000000"/>
              <w:bottom w:val="single" w:sz="4" w:space="0" w:color="000000"/>
              <w:right w:val="nil"/>
            </w:tcBorders>
          </w:tcPr>
          <w:p w14:paraId="7132EB15"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4971692F"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Typ vakuového těsnění</w:t>
            </w:r>
          </w:p>
        </w:tc>
        <w:tc>
          <w:tcPr>
            <w:tcW w:w="2127" w:type="dxa"/>
            <w:tcBorders>
              <w:top w:val="single" w:sz="4" w:space="0" w:color="000000"/>
              <w:left w:val="single" w:sz="4" w:space="0" w:color="000000"/>
              <w:bottom w:val="single" w:sz="4" w:space="0" w:color="000000"/>
              <w:right w:val="single" w:sz="4" w:space="0" w:color="000000"/>
            </w:tcBorders>
            <w:hideMark/>
          </w:tcPr>
          <w:p w14:paraId="1EDD00ED" w14:textId="77777777" w:rsidR="00306067" w:rsidRDefault="00306067">
            <w:pPr>
              <w:pStyle w:val="NormalniBold"/>
              <w:spacing w:after="60"/>
              <w:jc w:val="both"/>
              <w:rPr>
                <w:rFonts w:ascii="Calibri" w:hAnsi="Calibri" w:cs="Calibri"/>
                <w:b w:val="0"/>
                <w:lang w:val="cs-CZ"/>
              </w:rPr>
            </w:pPr>
            <w:r>
              <w:rPr>
                <w:rFonts w:ascii="Calibri" w:hAnsi="Calibri" w:cs="Calibri"/>
                <w:b w:val="0"/>
                <w:lang w:val="cs-CZ"/>
              </w:rPr>
              <w:t>CF pro menší porty, pro větší může být elastomerové</w:t>
            </w:r>
          </w:p>
        </w:tc>
        <w:tc>
          <w:tcPr>
            <w:tcW w:w="2651" w:type="dxa"/>
            <w:tcBorders>
              <w:top w:val="single" w:sz="4" w:space="0" w:color="000000"/>
              <w:left w:val="single" w:sz="4" w:space="0" w:color="000000"/>
              <w:bottom w:val="single" w:sz="4" w:space="0" w:color="000000"/>
              <w:right w:val="single" w:sz="4" w:space="0" w:color="000000"/>
            </w:tcBorders>
          </w:tcPr>
          <w:p w14:paraId="1F793733"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343C98B8" w14:textId="77777777" w:rsidTr="008919A3">
        <w:tc>
          <w:tcPr>
            <w:tcW w:w="2093" w:type="dxa"/>
            <w:tcBorders>
              <w:top w:val="single" w:sz="4" w:space="0" w:color="000000"/>
              <w:left w:val="single" w:sz="4" w:space="0" w:color="000000"/>
              <w:bottom w:val="single" w:sz="4" w:space="0" w:color="000000"/>
              <w:right w:val="nil"/>
            </w:tcBorders>
          </w:tcPr>
          <w:p w14:paraId="3855A4D7"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48A19875"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 xml:space="preserve">Kapacita </w:t>
            </w:r>
            <w:proofErr w:type="spellStart"/>
            <w:r>
              <w:rPr>
                <w:rFonts w:ascii="Calibri" w:hAnsi="Calibri" w:cs="Calibri"/>
                <w:b w:val="0"/>
                <w:lang w:val="cs-CZ"/>
              </w:rPr>
              <w:t>kryopump</w:t>
            </w:r>
            <w:proofErr w:type="spellEnd"/>
            <w:r>
              <w:rPr>
                <w:rFonts w:ascii="Calibri" w:hAnsi="Calibri" w:cs="Calibri"/>
                <w:b w:val="0"/>
                <w:lang w:val="cs-CZ"/>
              </w:rPr>
              <w:t xml:space="preserve"> bez nutnosti regenerace</w:t>
            </w:r>
          </w:p>
        </w:tc>
        <w:tc>
          <w:tcPr>
            <w:tcW w:w="2127" w:type="dxa"/>
            <w:tcBorders>
              <w:top w:val="single" w:sz="4" w:space="0" w:color="000000"/>
              <w:left w:val="single" w:sz="4" w:space="0" w:color="000000"/>
              <w:bottom w:val="single" w:sz="4" w:space="0" w:color="000000"/>
              <w:right w:val="single" w:sz="4" w:space="0" w:color="000000"/>
            </w:tcBorders>
          </w:tcPr>
          <w:p w14:paraId="7A629DDC" w14:textId="77777777" w:rsidR="00306067" w:rsidRDefault="00306067">
            <w:pPr>
              <w:pStyle w:val="NormalniBold"/>
              <w:spacing w:before="120" w:after="60"/>
              <w:jc w:val="both"/>
              <w:rPr>
                <w:rFonts w:ascii="Calibri" w:hAnsi="Calibri"/>
              </w:rPr>
            </w:pPr>
            <w:r>
              <w:rPr>
                <w:rFonts w:ascii="Calibri" w:hAnsi="Calibri" w:cs="Calibri"/>
                <w:b w:val="0"/>
                <w:lang w:val="cs-CZ"/>
              </w:rPr>
              <w:t>≥100 pulzů každý trvající ≥1 s</w:t>
            </w:r>
          </w:p>
          <w:p w14:paraId="344F0D90" w14:textId="77777777" w:rsidR="00306067" w:rsidRDefault="00306067">
            <w:pPr>
              <w:pStyle w:val="NormalniBold"/>
              <w:spacing w:after="60"/>
              <w:jc w:val="both"/>
              <w:rPr>
                <w:rFonts w:ascii="Calibri" w:hAnsi="Calibri" w:cs="Calibri"/>
                <w:b w:val="0"/>
                <w:lang w:val="cs-CZ"/>
              </w:rPr>
            </w:pPr>
          </w:p>
        </w:tc>
        <w:tc>
          <w:tcPr>
            <w:tcW w:w="2651" w:type="dxa"/>
            <w:tcBorders>
              <w:top w:val="single" w:sz="4" w:space="0" w:color="000000"/>
              <w:left w:val="single" w:sz="4" w:space="0" w:color="000000"/>
              <w:bottom w:val="single" w:sz="4" w:space="0" w:color="000000"/>
              <w:right w:val="single" w:sz="4" w:space="0" w:color="000000"/>
            </w:tcBorders>
          </w:tcPr>
          <w:p w14:paraId="57C824E7"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581A28E9" w14:textId="77777777" w:rsidTr="008919A3">
        <w:tc>
          <w:tcPr>
            <w:tcW w:w="2093" w:type="dxa"/>
            <w:tcBorders>
              <w:top w:val="single" w:sz="4" w:space="0" w:color="000000"/>
              <w:left w:val="single" w:sz="4" w:space="0" w:color="000000"/>
              <w:bottom w:val="single" w:sz="4" w:space="0" w:color="000000"/>
              <w:right w:val="nil"/>
            </w:tcBorders>
          </w:tcPr>
          <w:p w14:paraId="13BBACC7"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21E01148"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Rozhraní pro monitorování stavu vakua ve svazku</w:t>
            </w:r>
          </w:p>
        </w:tc>
        <w:tc>
          <w:tcPr>
            <w:tcW w:w="2127" w:type="dxa"/>
            <w:tcBorders>
              <w:top w:val="single" w:sz="4" w:space="0" w:color="000000"/>
              <w:left w:val="single" w:sz="4" w:space="0" w:color="000000"/>
              <w:bottom w:val="single" w:sz="4" w:space="0" w:color="000000"/>
              <w:right w:val="single" w:sz="4" w:space="0" w:color="000000"/>
            </w:tcBorders>
            <w:hideMark/>
          </w:tcPr>
          <w:p w14:paraId="2C03B978" w14:textId="77777777" w:rsidR="00306067" w:rsidRDefault="00306067">
            <w:pPr>
              <w:pStyle w:val="NormalniBold"/>
              <w:spacing w:before="120" w:after="60"/>
              <w:jc w:val="both"/>
              <w:rPr>
                <w:rFonts w:ascii="Calibri" w:hAnsi="Calibri" w:cs="Calibri"/>
                <w:b w:val="0"/>
                <w:lang w:val="cs-CZ"/>
              </w:rPr>
            </w:pPr>
            <w:r>
              <w:rPr>
                <w:rFonts w:ascii="Calibri" w:hAnsi="Calibri" w:cs="Calibri"/>
                <w:b w:val="0"/>
                <w:lang w:val="cs-CZ"/>
              </w:rPr>
              <w:t>Dodané zařízení musí kontinuálně měřit tlak plynu s dostatečnou přesností pro spolehlivý provoz zařízení.</w:t>
            </w:r>
          </w:p>
          <w:p w14:paraId="25EF00EB" w14:textId="77777777" w:rsidR="00306067" w:rsidRDefault="00306067">
            <w:pPr>
              <w:pStyle w:val="NormalniBold"/>
              <w:spacing w:after="60"/>
              <w:jc w:val="both"/>
              <w:rPr>
                <w:rFonts w:ascii="Calibri" w:hAnsi="Calibri" w:cs="Calibri"/>
                <w:b w:val="0"/>
                <w:lang w:val="cs-CZ"/>
              </w:rPr>
            </w:pPr>
            <w:r>
              <w:rPr>
                <w:rFonts w:ascii="Calibri" w:hAnsi="Calibri" w:cs="Calibri"/>
                <w:b w:val="0"/>
                <w:lang w:val="cs-CZ"/>
              </w:rPr>
              <w:t>Vakuový subsystém svazku musí mít výstup přes optický výstup, který umožní monitorování kvality vakua</w:t>
            </w:r>
          </w:p>
        </w:tc>
        <w:tc>
          <w:tcPr>
            <w:tcW w:w="2651" w:type="dxa"/>
            <w:tcBorders>
              <w:top w:val="single" w:sz="4" w:space="0" w:color="000000"/>
              <w:left w:val="single" w:sz="4" w:space="0" w:color="000000"/>
              <w:bottom w:val="single" w:sz="4" w:space="0" w:color="000000"/>
              <w:right w:val="single" w:sz="4" w:space="0" w:color="000000"/>
            </w:tcBorders>
          </w:tcPr>
          <w:p w14:paraId="5D03066B"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7C7D8046" w14:textId="77777777" w:rsidTr="008919A3">
        <w:tc>
          <w:tcPr>
            <w:tcW w:w="2093" w:type="dxa"/>
            <w:tcBorders>
              <w:top w:val="single" w:sz="4" w:space="0" w:color="000000"/>
              <w:left w:val="single" w:sz="4" w:space="0" w:color="000000"/>
              <w:bottom w:val="single" w:sz="4" w:space="0" w:color="000000"/>
              <w:right w:val="nil"/>
            </w:tcBorders>
          </w:tcPr>
          <w:p w14:paraId="7EA05E03"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6943A474" w14:textId="77777777" w:rsidR="00306067" w:rsidRDefault="00306067" w:rsidP="00306067">
            <w:pPr>
              <w:pStyle w:val="NormalniBold"/>
              <w:numPr>
                <w:ilvl w:val="3"/>
                <w:numId w:val="27"/>
              </w:numPr>
              <w:spacing w:before="120" w:after="60"/>
              <w:ind w:left="742" w:hanging="818"/>
              <w:jc w:val="both"/>
              <w:rPr>
                <w:rFonts w:ascii="Calibri" w:hAnsi="Calibri" w:cs="Calibri"/>
                <w:b w:val="0"/>
                <w:lang w:val="cs-CZ"/>
              </w:rPr>
            </w:pPr>
            <w:r>
              <w:rPr>
                <w:rFonts w:ascii="Calibri" w:hAnsi="Calibri" w:cs="Calibri"/>
                <w:b w:val="0"/>
                <w:lang w:val="cs-CZ"/>
              </w:rPr>
              <w:t xml:space="preserve">Elektrické zdroje </w:t>
            </w:r>
          </w:p>
        </w:tc>
        <w:tc>
          <w:tcPr>
            <w:tcW w:w="2127" w:type="dxa"/>
            <w:tcBorders>
              <w:top w:val="single" w:sz="4" w:space="0" w:color="000000"/>
              <w:left w:val="single" w:sz="4" w:space="0" w:color="000000"/>
              <w:bottom w:val="single" w:sz="4" w:space="0" w:color="000000"/>
              <w:right w:val="single" w:sz="4" w:space="0" w:color="000000"/>
            </w:tcBorders>
            <w:hideMark/>
          </w:tcPr>
          <w:p w14:paraId="6308F0A6" w14:textId="77777777" w:rsidR="00306067" w:rsidRDefault="00306067">
            <w:pPr>
              <w:pStyle w:val="NormalniBold"/>
              <w:spacing w:before="120" w:after="60"/>
              <w:jc w:val="both"/>
              <w:rPr>
                <w:rFonts w:ascii="Calibri" w:hAnsi="Calibri" w:cs="Calibri"/>
                <w:b w:val="0"/>
                <w:lang w:val="cs-CZ"/>
              </w:rPr>
            </w:pPr>
            <w:r>
              <w:rPr>
                <w:rFonts w:ascii="Calibri" w:hAnsi="Calibri" w:cs="Calibri"/>
                <w:b w:val="0"/>
                <w:lang w:val="cs-CZ"/>
              </w:rPr>
              <w:t xml:space="preserve">Systém ohřevu plazmatu musí být dodán spolu s veškerými potřebnými elektrickými zdroji. Elektrický výkon potřebný pro provoz svazku (maximálně 3 </w:t>
            </w:r>
            <w:proofErr w:type="gramStart"/>
            <w:r>
              <w:rPr>
                <w:rFonts w:ascii="Calibri" w:hAnsi="Calibri" w:cs="Calibri"/>
                <w:b w:val="0"/>
                <w:lang w:val="cs-CZ"/>
              </w:rPr>
              <w:t>MW)  dodá</w:t>
            </w:r>
            <w:proofErr w:type="gramEnd"/>
            <w:r>
              <w:rPr>
                <w:rFonts w:ascii="Calibri" w:hAnsi="Calibri" w:cs="Calibri"/>
                <w:b w:val="0"/>
                <w:lang w:val="cs-CZ"/>
              </w:rPr>
              <w:t xml:space="preserve">  ÚFP ze setrvačníkových generátorů na efektivním napětí 6 </w:t>
            </w:r>
            <w:proofErr w:type="spellStart"/>
            <w:r>
              <w:rPr>
                <w:rFonts w:ascii="Calibri" w:hAnsi="Calibri" w:cs="Calibri"/>
                <w:b w:val="0"/>
                <w:lang w:val="cs-CZ"/>
              </w:rPr>
              <w:t>kV</w:t>
            </w:r>
            <w:proofErr w:type="spellEnd"/>
            <w:r>
              <w:rPr>
                <w:rFonts w:ascii="Calibri" w:hAnsi="Calibri" w:cs="Calibri"/>
                <w:b w:val="0"/>
                <w:lang w:val="cs-CZ"/>
              </w:rPr>
              <w:t>, střídavé napětí, 3 fáze.</w:t>
            </w:r>
          </w:p>
        </w:tc>
        <w:tc>
          <w:tcPr>
            <w:tcW w:w="2651" w:type="dxa"/>
            <w:tcBorders>
              <w:top w:val="single" w:sz="4" w:space="0" w:color="000000"/>
              <w:left w:val="single" w:sz="4" w:space="0" w:color="000000"/>
              <w:bottom w:val="single" w:sz="4" w:space="0" w:color="000000"/>
              <w:right w:val="single" w:sz="4" w:space="0" w:color="000000"/>
            </w:tcBorders>
          </w:tcPr>
          <w:p w14:paraId="6904E978" w14:textId="77777777" w:rsidR="00306067" w:rsidRPr="00306067" w:rsidRDefault="00306067">
            <w:pPr>
              <w:pStyle w:val="NormalniBold"/>
              <w:spacing w:before="120"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0977D4AB" w14:textId="77777777" w:rsidTr="008919A3">
        <w:tc>
          <w:tcPr>
            <w:tcW w:w="2093" w:type="dxa"/>
            <w:tcBorders>
              <w:top w:val="single" w:sz="4" w:space="0" w:color="000000"/>
              <w:left w:val="single" w:sz="4" w:space="0" w:color="000000"/>
              <w:bottom w:val="single" w:sz="4" w:space="0" w:color="000000"/>
              <w:right w:val="nil"/>
            </w:tcBorders>
            <w:hideMark/>
          </w:tcPr>
          <w:p w14:paraId="75AEFBE8" w14:textId="77777777" w:rsidR="00306067" w:rsidRDefault="00306067" w:rsidP="00306067">
            <w:pPr>
              <w:pStyle w:val="NormalniBold"/>
              <w:spacing w:before="120" w:after="60"/>
              <w:ind w:left="426"/>
              <w:jc w:val="both"/>
              <w:rPr>
                <w:rFonts w:ascii="Calibri" w:hAnsi="Calibri" w:cs="Calibri"/>
                <w:color w:val="000000"/>
                <w:sz w:val="22"/>
                <w:szCs w:val="22"/>
                <w:lang w:val="cs-CZ"/>
              </w:rPr>
            </w:pPr>
            <w:r>
              <w:rPr>
                <w:rFonts w:ascii="Calibri" w:hAnsi="Calibri" w:cs="Calibri"/>
                <w:color w:val="000000"/>
                <w:sz w:val="22"/>
                <w:szCs w:val="22"/>
                <w:lang w:val="cs-CZ"/>
              </w:rPr>
              <w:lastRenderedPageBreak/>
              <w:t xml:space="preserve">Požadavky na vlastní řídící počítač – kontrolní počítač svazku </w:t>
            </w:r>
          </w:p>
        </w:tc>
        <w:tc>
          <w:tcPr>
            <w:tcW w:w="3118" w:type="dxa"/>
            <w:tcBorders>
              <w:top w:val="single" w:sz="4" w:space="0" w:color="000000"/>
              <w:left w:val="single" w:sz="4" w:space="0" w:color="000000"/>
              <w:bottom w:val="single" w:sz="4" w:space="0" w:color="000000"/>
              <w:right w:val="nil"/>
            </w:tcBorders>
            <w:hideMark/>
          </w:tcPr>
          <w:p w14:paraId="5502E47F" w14:textId="77777777" w:rsidR="00306067" w:rsidRDefault="00306067" w:rsidP="00306067">
            <w:pPr>
              <w:pStyle w:val="NormalniBold"/>
              <w:numPr>
                <w:ilvl w:val="3"/>
                <w:numId w:val="27"/>
              </w:numPr>
              <w:spacing w:before="120" w:after="60"/>
              <w:ind w:left="742" w:hanging="818"/>
              <w:jc w:val="both"/>
              <w:rPr>
                <w:rFonts w:ascii="Calibri" w:hAnsi="Calibri" w:cs="Calibri"/>
                <w:b w:val="0"/>
                <w:color w:val="000000"/>
                <w:lang w:val="cs-CZ"/>
              </w:rPr>
            </w:pPr>
            <w:r>
              <w:rPr>
                <w:rFonts w:ascii="Calibri" w:hAnsi="Calibri" w:cs="Calibri"/>
                <w:b w:val="0"/>
                <w:color w:val="000000"/>
                <w:lang w:val="cs-CZ"/>
              </w:rPr>
              <w:t xml:space="preserve">Kontrolní počítač </w:t>
            </w:r>
            <w:proofErr w:type="gramStart"/>
            <w:r>
              <w:rPr>
                <w:rFonts w:ascii="Calibri" w:hAnsi="Calibri" w:cs="Calibri"/>
                <w:b w:val="0"/>
                <w:color w:val="000000"/>
                <w:lang w:val="cs-CZ"/>
              </w:rPr>
              <w:t>svazku  –</w:t>
            </w:r>
            <w:proofErr w:type="gramEnd"/>
            <w:r>
              <w:rPr>
                <w:rFonts w:ascii="Calibri" w:hAnsi="Calibri" w:cs="Calibri"/>
                <w:b w:val="0"/>
                <w:color w:val="000000"/>
                <w:lang w:val="cs-CZ"/>
              </w:rPr>
              <w:t xml:space="preserve"> komunikace s řídícími systému </w:t>
            </w:r>
          </w:p>
        </w:tc>
        <w:tc>
          <w:tcPr>
            <w:tcW w:w="2127" w:type="dxa"/>
            <w:tcBorders>
              <w:top w:val="single" w:sz="4" w:space="0" w:color="000000"/>
              <w:left w:val="single" w:sz="4" w:space="0" w:color="000000"/>
              <w:bottom w:val="single" w:sz="4" w:space="0" w:color="000000"/>
              <w:right w:val="single" w:sz="4" w:space="0" w:color="000000"/>
            </w:tcBorders>
            <w:hideMark/>
          </w:tcPr>
          <w:p w14:paraId="6B04C7A8" w14:textId="77777777" w:rsidR="00306067" w:rsidRDefault="00306067">
            <w:pPr>
              <w:pStyle w:val="NormalniBold"/>
              <w:spacing w:after="60"/>
              <w:jc w:val="both"/>
              <w:rPr>
                <w:rFonts w:ascii="Calibri" w:hAnsi="Calibri" w:cs="Calibri"/>
                <w:b w:val="0"/>
                <w:lang w:val="cs-CZ"/>
              </w:rPr>
            </w:pPr>
            <w:r>
              <w:rPr>
                <w:rFonts w:ascii="Calibri" w:hAnsi="Calibri" w:cs="Calibri"/>
                <w:b w:val="0"/>
                <w:lang w:val="cs-CZ"/>
              </w:rPr>
              <w:t xml:space="preserve">Kontrolní počítač svazku musí být schopen komunikovat s řídícími systémy tokamaku (CODAC): 1) V reálném čase během pulzu tokamaku, pomocí sériové linky. Rychlost přenosu požadavku po sériové lince musí být alespoň 1 </w:t>
            </w:r>
            <w:proofErr w:type="spellStart"/>
            <w:r>
              <w:rPr>
                <w:rFonts w:ascii="Calibri" w:hAnsi="Calibri" w:cs="Calibri"/>
                <w:b w:val="0"/>
                <w:lang w:val="cs-CZ"/>
              </w:rPr>
              <w:t>kS</w:t>
            </w:r>
            <w:proofErr w:type="spellEnd"/>
            <w:r>
              <w:rPr>
                <w:rFonts w:ascii="Calibri" w:hAnsi="Calibri" w:cs="Calibri"/>
                <w:b w:val="0"/>
                <w:lang w:val="cs-CZ"/>
              </w:rPr>
              <w:t xml:space="preserve">/s.  2) Přes </w:t>
            </w:r>
            <w:proofErr w:type="spellStart"/>
            <w:r>
              <w:rPr>
                <w:rFonts w:ascii="Calibri" w:hAnsi="Calibri" w:cs="Calibri"/>
                <w:b w:val="0"/>
                <w:lang w:val="cs-CZ"/>
              </w:rPr>
              <w:t>ethernetové</w:t>
            </w:r>
            <w:proofErr w:type="spellEnd"/>
            <w:r>
              <w:rPr>
                <w:rFonts w:ascii="Calibri" w:hAnsi="Calibri" w:cs="Calibri"/>
                <w:b w:val="0"/>
                <w:lang w:val="cs-CZ"/>
              </w:rPr>
              <w:t xml:space="preserve"> rozhraní (TCP/IP protokol) s API (</w:t>
            </w:r>
            <w:proofErr w:type="spellStart"/>
            <w:r>
              <w:rPr>
                <w:rFonts w:ascii="Calibri" w:hAnsi="Calibri" w:cs="Calibri"/>
                <w:b w:val="0"/>
                <w:lang w:val="cs-CZ"/>
              </w:rPr>
              <w:t>application</w:t>
            </w:r>
            <w:proofErr w:type="spellEnd"/>
            <w:r>
              <w:rPr>
                <w:rFonts w:ascii="Calibri" w:hAnsi="Calibri" w:cs="Calibri"/>
                <w:b w:val="0"/>
                <w:lang w:val="cs-CZ"/>
              </w:rPr>
              <w:t xml:space="preserve"> program interface) ovládacího programu. </w:t>
            </w:r>
          </w:p>
          <w:p w14:paraId="316C6AF9" w14:textId="77777777" w:rsidR="00306067" w:rsidRDefault="00306067">
            <w:pPr>
              <w:pStyle w:val="NormalniBold"/>
              <w:spacing w:after="60"/>
              <w:jc w:val="both"/>
              <w:rPr>
                <w:rFonts w:ascii="Calibri" w:hAnsi="Calibri" w:cs="Calibri"/>
                <w:b w:val="0"/>
                <w:lang w:val="cs-CZ"/>
              </w:rPr>
            </w:pPr>
            <w:r>
              <w:rPr>
                <w:rFonts w:ascii="Calibri" w:hAnsi="Calibri" w:cs="Calibri"/>
                <w:b w:val="0"/>
                <w:lang w:val="cs-CZ"/>
              </w:rPr>
              <w:t xml:space="preserve">Kontrolní počítač musí být schopný přijímat externí hodinový signál a </w:t>
            </w:r>
            <w:proofErr w:type="spellStart"/>
            <w:r>
              <w:rPr>
                <w:rFonts w:ascii="Calibri" w:hAnsi="Calibri" w:cs="Calibri"/>
                <w:b w:val="0"/>
                <w:lang w:val="cs-CZ"/>
              </w:rPr>
              <w:t>trigger</w:t>
            </w:r>
            <w:proofErr w:type="spellEnd"/>
            <w:r>
              <w:rPr>
                <w:rFonts w:ascii="Calibri" w:hAnsi="Calibri" w:cs="Calibri"/>
                <w:b w:val="0"/>
                <w:lang w:val="cs-CZ"/>
              </w:rPr>
              <w:t>, ke kterým bude vztažena časová osa zaznamenávaných dat. Signály budou přivedeny optickou linkou.</w:t>
            </w:r>
          </w:p>
          <w:p w14:paraId="27509E83" w14:textId="77777777" w:rsidR="00306067" w:rsidRDefault="00306067">
            <w:pPr>
              <w:pStyle w:val="NormalniBold"/>
              <w:spacing w:after="60"/>
              <w:jc w:val="both"/>
              <w:rPr>
                <w:rFonts w:ascii="Calibri" w:hAnsi="Calibri"/>
              </w:rPr>
            </w:pPr>
            <w:r>
              <w:rPr>
                <w:rFonts w:ascii="Calibri" w:hAnsi="Calibri" w:cs="Calibri"/>
                <w:b w:val="0"/>
                <w:lang w:val="cs-CZ"/>
              </w:rPr>
              <w:t>Požadavky z </w:t>
            </w:r>
            <w:proofErr w:type="spellStart"/>
            <w:r>
              <w:rPr>
                <w:rFonts w:ascii="Calibri" w:hAnsi="Calibri" w:cs="Calibri"/>
                <w:b w:val="0"/>
                <w:lang w:val="cs-CZ"/>
              </w:rPr>
              <w:t>CODACu</w:t>
            </w:r>
            <w:proofErr w:type="spellEnd"/>
            <w:r>
              <w:rPr>
                <w:rFonts w:ascii="Calibri" w:hAnsi="Calibri" w:cs="Calibri"/>
                <w:b w:val="0"/>
                <w:lang w:val="cs-CZ"/>
              </w:rPr>
              <w:t xml:space="preserve"> mohou překračovat bezpečnostní limity zařízení a svazek musí být schopen je v takovém případě pozměnit (ochranné rampy, maximální a minimální povolené hodnoty </w:t>
            </w:r>
            <w:proofErr w:type="spellStart"/>
            <w:r>
              <w:rPr>
                <w:rFonts w:ascii="Calibri" w:hAnsi="Calibri" w:cs="Calibri"/>
                <w:b w:val="0"/>
                <w:lang w:val="cs-CZ"/>
              </w:rPr>
              <w:t>apd</w:t>
            </w:r>
            <w:proofErr w:type="spellEnd"/>
            <w:r>
              <w:rPr>
                <w:rFonts w:ascii="Calibri" w:hAnsi="Calibri" w:cs="Calibri"/>
                <w:b w:val="0"/>
                <w:lang w:val="cs-CZ"/>
              </w:rPr>
              <w:t>.), aby nedošlo k poškození zařízení.</w:t>
            </w:r>
          </w:p>
        </w:tc>
        <w:tc>
          <w:tcPr>
            <w:tcW w:w="2651" w:type="dxa"/>
            <w:tcBorders>
              <w:top w:val="single" w:sz="4" w:space="0" w:color="000000"/>
              <w:left w:val="single" w:sz="4" w:space="0" w:color="000000"/>
              <w:bottom w:val="single" w:sz="4" w:space="0" w:color="000000"/>
              <w:right w:val="single" w:sz="4" w:space="0" w:color="000000"/>
            </w:tcBorders>
          </w:tcPr>
          <w:p w14:paraId="5ADDC913"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t>Dodavatel splňuje tento minimální technický požadavek uvedený v tomto řádku</w:t>
            </w:r>
          </w:p>
        </w:tc>
      </w:tr>
      <w:tr w:rsidR="00306067" w14:paraId="047E20E2" w14:textId="77777777" w:rsidTr="008919A3">
        <w:tc>
          <w:tcPr>
            <w:tcW w:w="2093" w:type="dxa"/>
            <w:tcBorders>
              <w:top w:val="single" w:sz="4" w:space="0" w:color="000000"/>
              <w:left w:val="single" w:sz="4" w:space="0" w:color="000000"/>
              <w:bottom w:val="single" w:sz="4" w:space="0" w:color="000000"/>
              <w:right w:val="nil"/>
            </w:tcBorders>
          </w:tcPr>
          <w:p w14:paraId="552653C6"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3A68C0DA" w14:textId="77777777" w:rsidR="00306067" w:rsidRDefault="00306067" w:rsidP="00306067">
            <w:pPr>
              <w:pStyle w:val="NormalniBold"/>
              <w:numPr>
                <w:ilvl w:val="3"/>
                <w:numId w:val="27"/>
              </w:numPr>
              <w:spacing w:before="120" w:after="60"/>
              <w:ind w:left="742" w:hanging="818"/>
              <w:jc w:val="both"/>
              <w:rPr>
                <w:rFonts w:ascii="Calibri" w:hAnsi="Calibri" w:cs="Calibri"/>
                <w:b w:val="0"/>
                <w:color w:val="000000"/>
                <w:lang w:val="cs-CZ"/>
              </w:rPr>
            </w:pPr>
            <w:r>
              <w:rPr>
                <w:rFonts w:ascii="Calibri" w:hAnsi="Calibri" w:cs="Calibri"/>
                <w:b w:val="0"/>
                <w:color w:val="000000"/>
                <w:lang w:val="cs-CZ"/>
              </w:rPr>
              <w:t>Kontrolní počítač svazku ovládání svazku</w:t>
            </w:r>
          </w:p>
        </w:tc>
        <w:tc>
          <w:tcPr>
            <w:tcW w:w="2127" w:type="dxa"/>
            <w:tcBorders>
              <w:top w:val="single" w:sz="4" w:space="0" w:color="000000"/>
              <w:left w:val="single" w:sz="4" w:space="0" w:color="000000"/>
              <w:bottom w:val="single" w:sz="4" w:space="0" w:color="000000"/>
              <w:right w:val="single" w:sz="4" w:space="0" w:color="000000"/>
            </w:tcBorders>
            <w:hideMark/>
          </w:tcPr>
          <w:p w14:paraId="5FBB3094" w14:textId="77777777" w:rsidR="00306067" w:rsidRDefault="00306067">
            <w:pPr>
              <w:pStyle w:val="NormalniBold"/>
              <w:spacing w:after="60"/>
              <w:jc w:val="both"/>
              <w:rPr>
                <w:rFonts w:ascii="Calibri" w:hAnsi="Calibri" w:cs="Calibri"/>
                <w:b w:val="0"/>
                <w:lang w:val="cs-CZ"/>
              </w:rPr>
            </w:pPr>
            <w:r>
              <w:rPr>
                <w:rFonts w:ascii="Calibri" w:hAnsi="Calibri" w:cs="Calibri"/>
                <w:b w:val="0"/>
                <w:lang w:val="cs-CZ"/>
              </w:rPr>
              <w:t>Kontrolní počítač musí umožnit:</w:t>
            </w:r>
            <w:r>
              <w:rPr>
                <w:rFonts w:ascii="Calibri" w:eastAsia="PMingLiU" w:hAnsi="Calibri" w:cs="PMingLiU"/>
                <w:b w:val="0"/>
                <w:lang w:val="cs-CZ"/>
              </w:rPr>
              <w:br/>
            </w:r>
            <w:r>
              <w:rPr>
                <w:rFonts w:ascii="Calibri" w:hAnsi="Calibri" w:cs="Calibri"/>
                <w:b w:val="0"/>
                <w:lang w:val="cs-CZ"/>
              </w:rPr>
              <w:t>1. Autonomní testování zařízení a diagnostiku jeho stavu</w:t>
            </w:r>
          </w:p>
          <w:p w14:paraId="2B437F40" w14:textId="77777777" w:rsidR="00306067" w:rsidRDefault="00306067">
            <w:pPr>
              <w:pStyle w:val="NormalniBold"/>
              <w:spacing w:after="60"/>
              <w:jc w:val="both"/>
              <w:rPr>
                <w:rFonts w:ascii="Calibri" w:hAnsi="Calibri" w:cs="Calibri"/>
                <w:b w:val="0"/>
                <w:lang w:val="cs-CZ"/>
              </w:rPr>
            </w:pPr>
            <w:r>
              <w:rPr>
                <w:rFonts w:ascii="Calibri" w:hAnsi="Calibri" w:cs="Calibri"/>
                <w:b w:val="0"/>
                <w:lang w:val="cs-CZ"/>
              </w:rPr>
              <w:t>2. Zajištění provozu svazku během výboje tokamaku pomocí online (</w:t>
            </w:r>
            <w:proofErr w:type="spellStart"/>
            <w:r>
              <w:rPr>
                <w:rFonts w:ascii="Calibri" w:hAnsi="Calibri" w:cs="Calibri"/>
                <w:b w:val="0"/>
              </w:rPr>
              <w:t>alespoň</w:t>
            </w:r>
            <w:proofErr w:type="spellEnd"/>
            <w:r>
              <w:rPr>
                <w:rFonts w:ascii="Calibri" w:hAnsi="Calibri" w:cs="Calibri"/>
                <w:b w:val="0"/>
              </w:rPr>
              <w:t xml:space="preserve"> </w:t>
            </w:r>
            <w:r>
              <w:rPr>
                <w:rFonts w:ascii="Calibri" w:hAnsi="Calibri" w:cs="Calibri"/>
                <w:b w:val="0"/>
                <w:lang w:val="cs-CZ"/>
              </w:rPr>
              <w:t>1 </w:t>
            </w:r>
            <w:proofErr w:type="spellStart"/>
            <w:r>
              <w:rPr>
                <w:rFonts w:ascii="Calibri" w:hAnsi="Calibri" w:cs="Calibri"/>
                <w:b w:val="0"/>
                <w:lang w:val="cs-CZ"/>
              </w:rPr>
              <w:t>kS</w:t>
            </w:r>
            <w:proofErr w:type="spellEnd"/>
            <w:r>
              <w:rPr>
                <w:rFonts w:ascii="Calibri" w:hAnsi="Calibri" w:cs="Calibri"/>
                <w:b w:val="0"/>
                <w:lang w:val="cs-CZ"/>
              </w:rPr>
              <w:t>/s) požadavků zasílaných přes sériovou linku: výkon iontového zdroje, napětí extrakční mřížky, napětí 3. mřížky (</w:t>
            </w:r>
            <w:proofErr w:type="spellStart"/>
            <w:r>
              <w:rPr>
                <w:rFonts w:ascii="Calibri" w:hAnsi="Calibri" w:cs="Calibri"/>
                <w:b w:val="0"/>
                <w:lang w:val="cs-CZ"/>
              </w:rPr>
              <w:t>repeller</w:t>
            </w:r>
            <w:proofErr w:type="spellEnd"/>
            <w:r>
              <w:rPr>
                <w:rFonts w:ascii="Calibri" w:hAnsi="Calibri" w:cs="Calibri"/>
                <w:b w:val="0"/>
                <w:lang w:val="cs-CZ"/>
              </w:rPr>
              <w:t xml:space="preserve">). Svazek zpět musí posílat aktuální výstupní hodnotu proudu iontového zdroje a proudu a </w:t>
            </w:r>
            <w:r>
              <w:rPr>
                <w:rFonts w:ascii="Calibri" w:hAnsi="Calibri" w:cs="Calibri"/>
                <w:b w:val="0"/>
                <w:lang w:val="cs-CZ"/>
              </w:rPr>
              <w:lastRenderedPageBreak/>
              <w:t>napětí mřížek.</w:t>
            </w:r>
          </w:p>
          <w:p w14:paraId="577579CA" w14:textId="77777777" w:rsidR="00306067" w:rsidRDefault="00306067">
            <w:pPr>
              <w:pStyle w:val="NormalniBold"/>
              <w:spacing w:after="60"/>
              <w:jc w:val="both"/>
              <w:rPr>
                <w:rFonts w:ascii="Calibri" w:hAnsi="Calibri" w:cs="Calibri"/>
                <w:b w:val="0"/>
                <w:lang w:val="cs-CZ"/>
              </w:rPr>
            </w:pPr>
            <w:r>
              <w:rPr>
                <w:rFonts w:ascii="Calibri" w:hAnsi="Calibri" w:cs="Calibri"/>
                <w:b w:val="0"/>
                <w:lang w:val="cs-CZ"/>
              </w:rPr>
              <w:t>3. API ovládacího programu musí mít všechny klíčové možnosti ovládání jako GUI (</w:t>
            </w:r>
            <w:proofErr w:type="spellStart"/>
            <w:r>
              <w:rPr>
                <w:rFonts w:ascii="Calibri" w:hAnsi="Calibri" w:cs="Calibri"/>
                <w:b w:val="0"/>
                <w:lang w:val="cs-CZ"/>
              </w:rPr>
              <w:t>graphical</w:t>
            </w:r>
            <w:proofErr w:type="spellEnd"/>
            <w:r>
              <w:rPr>
                <w:rFonts w:ascii="Calibri" w:hAnsi="Calibri" w:cs="Calibri"/>
                <w:b w:val="0"/>
                <w:lang w:val="cs-CZ"/>
              </w:rPr>
              <w:t xml:space="preserve"> user interface – grafické uživatelské rozhraní).</w:t>
            </w:r>
          </w:p>
          <w:p w14:paraId="50CE156C" w14:textId="77777777" w:rsidR="00306067" w:rsidRDefault="00306067">
            <w:pPr>
              <w:pStyle w:val="NormalniBold"/>
              <w:spacing w:after="60"/>
              <w:jc w:val="both"/>
              <w:rPr>
                <w:rFonts w:ascii="Calibri" w:hAnsi="Calibri"/>
              </w:rPr>
            </w:pPr>
            <w:r>
              <w:rPr>
                <w:rFonts w:ascii="Calibri" w:hAnsi="Calibri" w:cs="Calibri"/>
                <w:b w:val="0"/>
                <w:lang w:val="cs-CZ"/>
              </w:rPr>
              <w:t>4. Zajištění bezpečného vypnutí svazku v případě poruchy, externího požadavku či přerušení komunikace s řídicím systémem tokamaku. Ovládání svazku nesmí umožnit svazku operovat s parametry, které by mohlo vést k jeho poškození.</w:t>
            </w:r>
          </w:p>
        </w:tc>
        <w:tc>
          <w:tcPr>
            <w:tcW w:w="2651" w:type="dxa"/>
            <w:tcBorders>
              <w:top w:val="single" w:sz="4" w:space="0" w:color="000000"/>
              <w:left w:val="single" w:sz="4" w:space="0" w:color="000000"/>
              <w:bottom w:val="single" w:sz="4" w:space="0" w:color="000000"/>
              <w:right w:val="single" w:sz="4" w:space="0" w:color="000000"/>
            </w:tcBorders>
          </w:tcPr>
          <w:p w14:paraId="0D189E50" w14:textId="77777777" w:rsidR="00306067" w:rsidRPr="00306067" w:rsidRDefault="00306067">
            <w:pPr>
              <w:pStyle w:val="NormalniBold"/>
              <w:spacing w:after="60"/>
              <w:jc w:val="both"/>
              <w:rPr>
                <w:rFonts w:ascii="Calibri" w:hAnsi="Calibri" w:cs="Calibri"/>
                <w:b w:val="0"/>
                <w:color w:val="0070C0"/>
                <w:lang w:val="cs-CZ"/>
              </w:rPr>
            </w:pPr>
            <w:r w:rsidRPr="00306067">
              <w:rPr>
                <w:rFonts w:ascii="Calibri" w:hAnsi="Calibri" w:cs="Calibri"/>
                <w:color w:val="0070C0"/>
                <w:lang w:val="cs-CZ"/>
              </w:rPr>
              <w:lastRenderedPageBreak/>
              <w:t>Dodavatel splňuje tento minimální technický požadavek uvedený v tomto řádku</w:t>
            </w:r>
          </w:p>
        </w:tc>
      </w:tr>
      <w:tr w:rsidR="00306067" w14:paraId="7D50AB7B" w14:textId="77777777" w:rsidTr="008919A3">
        <w:tc>
          <w:tcPr>
            <w:tcW w:w="2093" w:type="dxa"/>
            <w:tcBorders>
              <w:top w:val="single" w:sz="4" w:space="0" w:color="000000"/>
              <w:left w:val="single" w:sz="4" w:space="0" w:color="000000"/>
              <w:bottom w:val="single" w:sz="4" w:space="0" w:color="000000"/>
              <w:right w:val="nil"/>
            </w:tcBorders>
          </w:tcPr>
          <w:p w14:paraId="75C02BF4"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68633623" w14:textId="77777777" w:rsidR="00306067" w:rsidRDefault="00306067" w:rsidP="00306067">
            <w:pPr>
              <w:pStyle w:val="NormalniBold"/>
              <w:numPr>
                <w:ilvl w:val="3"/>
                <w:numId w:val="27"/>
              </w:numPr>
              <w:spacing w:before="120" w:after="60"/>
              <w:ind w:left="742" w:hanging="818"/>
              <w:jc w:val="both"/>
              <w:rPr>
                <w:rFonts w:ascii="Calibri" w:hAnsi="Calibri" w:cs="Calibri"/>
                <w:b w:val="0"/>
                <w:color w:val="000000"/>
                <w:lang w:val="cs-CZ"/>
              </w:rPr>
            </w:pPr>
            <w:r>
              <w:rPr>
                <w:rFonts w:ascii="Calibri" w:hAnsi="Calibri" w:cs="Calibri"/>
                <w:b w:val="0"/>
                <w:color w:val="000000"/>
                <w:lang w:val="cs-CZ"/>
              </w:rPr>
              <w:t>Kontrolní počítač svazku -ukládání dat</w:t>
            </w:r>
          </w:p>
        </w:tc>
        <w:tc>
          <w:tcPr>
            <w:tcW w:w="2127" w:type="dxa"/>
            <w:tcBorders>
              <w:top w:val="single" w:sz="4" w:space="0" w:color="000000"/>
              <w:left w:val="single" w:sz="4" w:space="0" w:color="000000"/>
              <w:bottom w:val="single" w:sz="4" w:space="0" w:color="000000"/>
              <w:right w:val="single" w:sz="4" w:space="0" w:color="000000"/>
            </w:tcBorders>
            <w:hideMark/>
          </w:tcPr>
          <w:p w14:paraId="4120B85A" w14:textId="77777777" w:rsidR="00306067" w:rsidRDefault="00306067">
            <w:pPr>
              <w:pStyle w:val="NormalniBold"/>
              <w:spacing w:after="60"/>
              <w:jc w:val="both"/>
              <w:rPr>
                <w:rFonts w:ascii="Calibri" w:hAnsi="Calibri" w:cs="Calibri"/>
                <w:b w:val="0"/>
                <w:lang w:val="cs-CZ"/>
              </w:rPr>
            </w:pPr>
            <w:r>
              <w:rPr>
                <w:rFonts w:ascii="Calibri" w:hAnsi="Calibri" w:cs="Calibri"/>
                <w:b w:val="0"/>
                <w:lang w:val="cs-CZ"/>
              </w:rPr>
              <w:t>Kontrolní počítač svazku musí ukládat dva typy informací:</w:t>
            </w:r>
          </w:p>
          <w:p w14:paraId="1F4D3428" w14:textId="77777777" w:rsidR="00306067" w:rsidRDefault="00306067">
            <w:pPr>
              <w:pStyle w:val="NormalniBold"/>
              <w:spacing w:after="60"/>
              <w:jc w:val="both"/>
              <w:rPr>
                <w:rFonts w:ascii="Calibri" w:hAnsi="Calibri" w:cs="Calibri"/>
                <w:b w:val="0"/>
                <w:lang w:val="cs-CZ"/>
              </w:rPr>
            </w:pPr>
            <w:r>
              <w:rPr>
                <w:rFonts w:ascii="Calibri" w:hAnsi="Calibri" w:cs="Calibri"/>
                <w:b w:val="0"/>
                <w:lang w:val="cs-CZ"/>
              </w:rPr>
              <w:t>1) Databáze historie poruch a chybových stavů do lokální databáze nebo logu. Tyto data musí být přístupné přes API za účelem zápisu do databáze tokamaku.</w:t>
            </w:r>
          </w:p>
          <w:p w14:paraId="6FD6A5BD" w14:textId="77777777" w:rsidR="00306067" w:rsidRDefault="00306067">
            <w:pPr>
              <w:pStyle w:val="NormalniBold"/>
              <w:spacing w:after="60"/>
              <w:jc w:val="both"/>
              <w:rPr>
                <w:rFonts w:ascii="Calibri" w:hAnsi="Calibri"/>
              </w:rPr>
            </w:pPr>
            <w:r>
              <w:rPr>
                <w:rFonts w:ascii="Calibri" w:hAnsi="Calibri" w:cs="Calibri"/>
                <w:b w:val="0"/>
                <w:lang w:val="cs-CZ"/>
              </w:rPr>
              <w:t xml:space="preserve">2) Všechny parametry zařízení zobrazované v GUI získané v průběhu pulzu (včetně požadovaných/nastavených hodnot a naměřených dat) musí být ukládány a skladovány (alespoň posledních 10 000 pulzů) lokálně na kontrolním počítači pro každý pulz svazku. Tyto parametry musí být přístupné přes API za účelem zápisu do databáze tokamaku. Tyto signály (napětí, proud a stav kalorimetru, …) musí mít časové rozlišení ≤1 </w:t>
            </w:r>
            <w:proofErr w:type="spellStart"/>
            <w:r>
              <w:rPr>
                <w:rFonts w:ascii="Calibri" w:hAnsi="Calibri" w:cs="Calibri"/>
                <w:b w:val="0"/>
                <w:lang w:val="cs-CZ"/>
              </w:rPr>
              <w:t>ms</w:t>
            </w:r>
            <w:proofErr w:type="spellEnd"/>
            <w:r>
              <w:rPr>
                <w:rFonts w:ascii="Calibri" w:hAnsi="Calibri" w:cs="Calibri"/>
                <w:b w:val="0"/>
                <w:lang w:val="cs-CZ"/>
              </w:rPr>
              <w:t xml:space="preserve"> synchronizované s optickým časovacím a </w:t>
            </w:r>
            <w:proofErr w:type="spellStart"/>
            <w:r>
              <w:rPr>
                <w:rFonts w:ascii="Calibri" w:hAnsi="Calibri" w:cs="Calibri"/>
                <w:b w:val="0"/>
                <w:lang w:val="cs-CZ"/>
              </w:rPr>
              <w:t>triggerrovacím</w:t>
            </w:r>
            <w:proofErr w:type="spellEnd"/>
            <w:r>
              <w:rPr>
                <w:rFonts w:ascii="Calibri" w:hAnsi="Calibri" w:cs="Calibri"/>
                <w:b w:val="0"/>
                <w:lang w:val="cs-CZ"/>
              </w:rPr>
              <w:t xml:space="preserve"> signálem.</w:t>
            </w:r>
          </w:p>
        </w:tc>
        <w:tc>
          <w:tcPr>
            <w:tcW w:w="2651" w:type="dxa"/>
            <w:tcBorders>
              <w:top w:val="single" w:sz="4" w:space="0" w:color="000000"/>
              <w:left w:val="single" w:sz="4" w:space="0" w:color="000000"/>
              <w:bottom w:val="single" w:sz="4" w:space="0" w:color="000000"/>
              <w:right w:val="single" w:sz="4" w:space="0" w:color="000000"/>
            </w:tcBorders>
          </w:tcPr>
          <w:p w14:paraId="18A1413E" w14:textId="77777777" w:rsidR="00306067" w:rsidRDefault="00306067">
            <w:pPr>
              <w:pStyle w:val="NormalniBold"/>
              <w:spacing w:after="60"/>
              <w:jc w:val="both"/>
              <w:rPr>
                <w:rFonts w:ascii="Calibri" w:hAnsi="Calibri" w:cs="Calibri"/>
                <w:b w:val="0"/>
                <w:lang w:val="cs-CZ"/>
              </w:rPr>
            </w:pPr>
            <w:r w:rsidRPr="00306067">
              <w:rPr>
                <w:rFonts w:ascii="Calibri" w:hAnsi="Calibri" w:cs="Calibri"/>
                <w:color w:val="0070C0"/>
                <w:lang w:val="cs-CZ"/>
              </w:rPr>
              <w:t>Dodavatel splňuje tento minimální technický požadavek uvedený v tomto řádku</w:t>
            </w:r>
          </w:p>
        </w:tc>
      </w:tr>
      <w:tr w:rsidR="00306067" w14:paraId="40B8FBF7" w14:textId="77777777" w:rsidTr="008919A3">
        <w:tc>
          <w:tcPr>
            <w:tcW w:w="2093" w:type="dxa"/>
            <w:tcBorders>
              <w:top w:val="single" w:sz="4" w:space="0" w:color="000000"/>
              <w:left w:val="single" w:sz="4" w:space="0" w:color="000000"/>
              <w:bottom w:val="single" w:sz="4" w:space="0" w:color="000000"/>
              <w:right w:val="nil"/>
            </w:tcBorders>
          </w:tcPr>
          <w:p w14:paraId="1ACF8439" w14:textId="77777777" w:rsidR="00306067" w:rsidRDefault="00306067">
            <w:pPr>
              <w:pStyle w:val="NormalniBold"/>
              <w:spacing w:before="120" w:after="60"/>
              <w:jc w:val="both"/>
              <w:rPr>
                <w:rFonts w:ascii="Calibri" w:hAnsi="Calibri" w:cs="Calibri"/>
                <w:b w:val="0"/>
                <w:lang w:val="cs-CZ"/>
              </w:rPr>
            </w:pPr>
          </w:p>
        </w:tc>
        <w:tc>
          <w:tcPr>
            <w:tcW w:w="3118" w:type="dxa"/>
            <w:tcBorders>
              <w:top w:val="single" w:sz="4" w:space="0" w:color="000000"/>
              <w:left w:val="single" w:sz="4" w:space="0" w:color="000000"/>
              <w:bottom w:val="single" w:sz="4" w:space="0" w:color="000000"/>
              <w:right w:val="nil"/>
            </w:tcBorders>
            <w:hideMark/>
          </w:tcPr>
          <w:p w14:paraId="26103FF9" w14:textId="77777777" w:rsidR="00306067" w:rsidRDefault="00306067" w:rsidP="00306067">
            <w:pPr>
              <w:pStyle w:val="NormalniBold"/>
              <w:numPr>
                <w:ilvl w:val="3"/>
                <w:numId w:val="27"/>
              </w:numPr>
              <w:spacing w:before="120" w:after="60"/>
              <w:ind w:left="742" w:hanging="818"/>
              <w:jc w:val="both"/>
              <w:rPr>
                <w:rFonts w:ascii="Calibri" w:hAnsi="Calibri" w:cs="Calibri"/>
                <w:b w:val="0"/>
                <w:color w:val="000000"/>
                <w:lang w:val="cs-CZ"/>
              </w:rPr>
            </w:pPr>
            <w:r>
              <w:rPr>
                <w:rFonts w:ascii="Calibri" w:hAnsi="Calibri" w:cs="Calibri"/>
                <w:b w:val="0"/>
                <w:color w:val="000000"/>
                <w:lang w:val="cs-CZ"/>
              </w:rPr>
              <w:t xml:space="preserve">Kontrolní počítač svazku - </w:t>
            </w:r>
            <w:proofErr w:type="spellStart"/>
            <w:r>
              <w:rPr>
                <w:rFonts w:ascii="Calibri" w:hAnsi="Calibri" w:cs="Calibri"/>
                <w:b w:val="0"/>
                <w:color w:val="000000"/>
                <w:lang w:val="cs-CZ"/>
              </w:rPr>
              <w:t>Interlock</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14:paraId="5872EEF3" w14:textId="77777777" w:rsidR="00306067" w:rsidRDefault="00306067">
            <w:pPr>
              <w:pStyle w:val="NormalniBold"/>
              <w:spacing w:after="60"/>
              <w:jc w:val="both"/>
              <w:rPr>
                <w:rFonts w:ascii="Calibri" w:hAnsi="Calibri" w:cs="Calibri"/>
                <w:b w:val="0"/>
                <w:lang w:val="cs-CZ"/>
              </w:rPr>
            </w:pPr>
            <w:r>
              <w:rPr>
                <w:rFonts w:ascii="Calibri" w:hAnsi="Calibri" w:cs="Calibri"/>
                <w:b w:val="0"/>
                <w:lang w:val="cs-CZ"/>
              </w:rPr>
              <w:t>V zařízení musí být implementován vyšší systém ochrany zařízení (</w:t>
            </w:r>
            <w:proofErr w:type="spellStart"/>
            <w:r>
              <w:rPr>
                <w:rFonts w:ascii="Calibri" w:hAnsi="Calibri" w:cs="Calibri"/>
                <w:b w:val="0"/>
                <w:lang w:val="cs-CZ"/>
              </w:rPr>
              <w:t>interlock</w:t>
            </w:r>
            <w:proofErr w:type="spellEnd"/>
            <w:r>
              <w:rPr>
                <w:rFonts w:ascii="Calibri" w:hAnsi="Calibri" w:cs="Calibri"/>
                <w:b w:val="0"/>
                <w:lang w:val="cs-CZ"/>
              </w:rPr>
              <w:t xml:space="preserve">), pro případ, že jiné bezpečností mechanismy selžou. </w:t>
            </w:r>
            <w:proofErr w:type="spellStart"/>
            <w:r>
              <w:rPr>
                <w:rFonts w:ascii="Calibri" w:hAnsi="Calibri" w:cs="Calibri"/>
                <w:b w:val="0"/>
                <w:lang w:val="cs-CZ"/>
              </w:rPr>
              <w:t>Interlock</w:t>
            </w:r>
            <w:proofErr w:type="spellEnd"/>
            <w:r>
              <w:rPr>
                <w:rFonts w:ascii="Calibri" w:hAnsi="Calibri" w:cs="Calibri"/>
                <w:b w:val="0"/>
                <w:lang w:val="cs-CZ"/>
              </w:rPr>
              <w:t xml:space="preserve"> musí umožnit převedení zařízení do bezpečného stavu na základě externích požadavků, které budou přivedeny formou optických vstupů (např. napouštění pracovního plynu). </w:t>
            </w:r>
          </w:p>
          <w:p w14:paraId="4C45C2A8" w14:textId="77777777" w:rsidR="00306067" w:rsidRDefault="00306067">
            <w:pPr>
              <w:pStyle w:val="NormalniBold"/>
              <w:spacing w:after="60"/>
              <w:jc w:val="both"/>
              <w:rPr>
                <w:rFonts w:ascii="Calibri" w:hAnsi="Calibri"/>
              </w:rPr>
            </w:pPr>
            <w:r>
              <w:rPr>
                <w:rFonts w:ascii="Calibri" w:hAnsi="Calibri" w:cs="Calibri"/>
                <w:b w:val="0"/>
                <w:lang w:val="cs-CZ"/>
              </w:rPr>
              <w:t xml:space="preserve">Zároveň musí být </w:t>
            </w:r>
            <w:proofErr w:type="spellStart"/>
            <w:r>
              <w:rPr>
                <w:rFonts w:ascii="Calibri" w:hAnsi="Calibri" w:cs="Calibri"/>
                <w:b w:val="0"/>
                <w:lang w:val="cs-CZ"/>
              </w:rPr>
              <w:t>interlock</w:t>
            </w:r>
            <w:proofErr w:type="spellEnd"/>
            <w:r>
              <w:rPr>
                <w:rFonts w:ascii="Calibri" w:hAnsi="Calibri" w:cs="Calibri"/>
                <w:b w:val="0"/>
                <w:lang w:val="cs-CZ"/>
              </w:rPr>
              <w:t xml:space="preserve"> vybaven sérií optických výstupů pro kontrolu bezpečnosti provozu (např. stav nabití kondenzátorové baterie, připojení energetiky, stav kalorimetru atd.).</w:t>
            </w:r>
          </w:p>
        </w:tc>
        <w:tc>
          <w:tcPr>
            <w:tcW w:w="2651" w:type="dxa"/>
            <w:tcBorders>
              <w:top w:val="single" w:sz="4" w:space="0" w:color="000000"/>
              <w:left w:val="single" w:sz="4" w:space="0" w:color="000000"/>
              <w:bottom w:val="single" w:sz="4" w:space="0" w:color="000000"/>
              <w:right w:val="single" w:sz="4" w:space="0" w:color="000000"/>
            </w:tcBorders>
          </w:tcPr>
          <w:p w14:paraId="2B4993D4" w14:textId="77777777" w:rsidR="00306067" w:rsidRDefault="00306067">
            <w:pPr>
              <w:pStyle w:val="NormalniBold"/>
              <w:spacing w:after="60"/>
              <w:jc w:val="both"/>
              <w:rPr>
                <w:rFonts w:ascii="Calibri" w:hAnsi="Calibri" w:cs="Calibri"/>
                <w:b w:val="0"/>
                <w:lang w:val="cs-CZ"/>
              </w:rPr>
            </w:pPr>
            <w:r w:rsidRPr="00306067">
              <w:rPr>
                <w:rFonts w:ascii="Calibri" w:hAnsi="Calibri" w:cs="Calibri"/>
                <w:color w:val="0070C0"/>
                <w:lang w:val="cs-CZ"/>
              </w:rPr>
              <w:t>Dodavatel splňuje tento minimální technický požadavek uvedený v tomto řádku</w:t>
            </w:r>
          </w:p>
        </w:tc>
      </w:tr>
    </w:tbl>
    <w:p w14:paraId="13A7054E" w14:textId="77777777" w:rsidR="00B2240E" w:rsidRDefault="00B2240E" w:rsidP="00B2240E">
      <w:pPr>
        <w:pStyle w:val="Odrazka2"/>
        <w:tabs>
          <w:tab w:val="clear" w:pos="360"/>
        </w:tabs>
        <w:ind w:left="360" w:firstLine="0"/>
        <w:rPr>
          <w:rFonts w:ascii="Calibri" w:hAnsi="Calibri"/>
        </w:rPr>
      </w:pPr>
      <w:r>
        <w:rPr>
          <w:rFonts w:ascii="Calibri" w:hAnsi="Calibri"/>
        </w:rPr>
        <w:t xml:space="preserve">SCHEMATICKÝ NÁČRTEK </w:t>
      </w:r>
      <w:proofErr w:type="spellStart"/>
      <w:r>
        <w:rPr>
          <w:rFonts w:ascii="Calibri" w:hAnsi="Calibri"/>
          <w:b/>
        </w:rPr>
        <w:t>Systém</w:t>
      </w:r>
      <w:proofErr w:type="spellEnd"/>
      <w:r>
        <w:rPr>
          <w:rFonts w:ascii="Calibri" w:hAnsi="Calibri"/>
          <w:b/>
        </w:rPr>
        <w:t xml:space="preserve"> </w:t>
      </w:r>
      <w:proofErr w:type="spellStart"/>
      <w:r>
        <w:rPr>
          <w:rFonts w:ascii="Calibri" w:hAnsi="Calibri"/>
          <w:b/>
        </w:rPr>
        <w:t>ohřevu</w:t>
      </w:r>
      <w:proofErr w:type="spellEnd"/>
      <w:r>
        <w:rPr>
          <w:rFonts w:ascii="Calibri" w:hAnsi="Calibri"/>
          <w:b/>
        </w:rPr>
        <w:t xml:space="preserve"> </w:t>
      </w:r>
      <w:proofErr w:type="spellStart"/>
      <w:r>
        <w:rPr>
          <w:rFonts w:ascii="Calibri" w:hAnsi="Calibri"/>
          <w:b/>
        </w:rPr>
        <w:t>plazmatu</w:t>
      </w:r>
      <w:proofErr w:type="spellEnd"/>
      <w:r>
        <w:rPr>
          <w:rFonts w:ascii="Calibri" w:hAnsi="Calibri"/>
          <w:b/>
        </w:rPr>
        <w:t xml:space="preserve"> </w:t>
      </w:r>
      <w:proofErr w:type="spellStart"/>
      <w:r>
        <w:rPr>
          <w:rFonts w:ascii="Calibri" w:hAnsi="Calibri"/>
          <w:b/>
        </w:rPr>
        <w:t>pomocí</w:t>
      </w:r>
      <w:proofErr w:type="spellEnd"/>
      <w:r>
        <w:rPr>
          <w:rFonts w:ascii="Calibri" w:hAnsi="Calibri"/>
          <w:b/>
        </w:rPr>
        <w:t xml:space="preserve"> </w:t>
      </w:r>
      <w:proofErr w:type="spellStart"/>
      <w:r>
        <w:rPr>
          <w:rFonts w:ascii="Calibri" w:hAnsi="Calibri"/>
          <w:b/>
        </w:rPr>
        <w:t>neutrálního</w:t>
      </w:r>
      <w:proofErr w:type="spellEnd"/>
      <w:r>
        <w:rPr>
          <w:rFonts w:ascii="Calibri" w:hAnsi="Calibri"/>
          <w:b/>
        </w:rPr>
        <w:t xml:space="preserve"> </w:t>
      </w:r>
      <w:proofErr w:type="spellStart"/>
      <w:r>
        <w:rPr>
          <w:rFonts w:ascii="Calibri" w:hAnsi="Calibri"/>
          <w:b/>
        </w:rPr>
        <w:t>svazku</w:t>
      </w:r>
      <w:proofErr w:type="spellEnd"/>
      <w:r>
        <w:rPr>
          <w:rFonts w:ascii="Calibri" w:hAnsi="Calibri"/>
          <w:b/>
        </w:rPr>
        <w:t xml:space="preserve"> pro tokamak COMPASS</w:t>
      </w:r>
      <w:r>
        <w:rPr>
          <w:rFonts w:ascii="Calibri" w:hAnsi="Calibri"/>
        </w:rPr>
        <w:t xml:space="preserve">, </w:t>
      </w:r>
      <w:proofErr w:type="spellStart"/>
      <w:r>
        <w:rPr>
          <w:rFonts w:ascii="Calibri" w:hAnsi="Calibri"/>
        </w:rPr>
        <w:t>který</w:t>
      </w:r>
      <w:proofErr w:type="spellEnd"/>
      <w:r>
        <w:rPr>
          <w:rFonts w:ascii="Calibri" w:hAnsi="Calibri"/>
        </w:rPr>
        <w:t xml:space="preserve"> </w:t>
      </w:r>
      <w:proofErr w:type="spellStart"/>
      <w:r>
        <w:rPr>
          <w:rFonts w:ascii="Calibri" w:hAnsi="Calibri"/>
        </w:rPr>
        <w:t>ukazuje</w:t>
      </w:r>
      <w:proofErr w:type="spellEnd"/>
      <w:r>
        <w:rPr>
          <w:rFonts w:ascii="Calibri" w:hAnsi="Calibri"/>
        </w:rPr>
        <w:t xml:space="preserve"> </w:t>
      </w:r>
      <w:r>
        <w:rPr>
          <w:rFonts w:ascii="Calibri" w:hAnsi="Calibri"/>
          <w:lang w:val="cs-CZ"/>
        </w:rPr>
        <w:t xml:space="preserve">klíčové vzdálenosti v okolí tokamaku COMPASS, které musí dodané zařízení splňovat, </w:t>
      </w:r>
      <w:r>
        <w:rPr>
          <w:rFonts w:ascii="Calibri" w:hAnsi="Calibri"/>
        </w:rPr>
        <w:t xml:space="preserve">je </w:t>
      </w:r>
      <w:proofErr w:type="spellStart"/>
      <w:r>
        <w:rPr>
          <w:rFonts w:ascii="Calibri" w:hAnsi="Calibri"/>
        </w:rPr>
        <w:t>nezbytnou</w:t>
      </w:r>
      <w:proofErr w:type="spellEnd"/>
      <w:r>
        <w:rPr>
          <w:rFonts w:ascii="Calibri" w:hAnsi="Calibri"/>
        </w:rPr>
        <w:t xml:space="preserve"> </w:t>
      </w:r>
      <w:proofErr w:type="spellStart"/>
      <w:r>
        <w:rPr>
          <w:rFonts w:ascii="Calibri" w:hAnsi="Calibri"/>
        </w:rPr>
        <w:t>součástí</w:t>
      </w:r>
      <w:proofErr w:type="spellEnd"/>
      <w:r>
        <w:rPr>
          <w:rFonts w:ascii="Calibri" w:hAnsi="Calibri"/>
        </w:rPr>
        <w:t xml:space="preserve"> </w:t>
      </w:r>
      <w:proofErr w:type="spellStart"/>
      <w:r>
        <w:rPr>
          <w:rFonts w:ascii="Calibri" w:hAnsi="Calibri"/>
        </w:rPr>
        <w:t>tabulky</w:t>
      </w:r>
      <w:proofErr w:type="spellEnd"/>
      <w:r>
        <w:rPr>
          <w:rFonts w:ascii="Calibri" w:hAnsi="Calibri"/>
        </w:rPr>
        <w:t xml:space="preserve"> </w:t>
      </w:r>
      <w:proofErr w:type="spellStart"/>
      <w:r>
        <w:rPr>
          <w:rFonts w:ascii="Calibri" w:hAnsi="Calibri"/>
        </w:rPr>
        <w:t>minimálních</w:t>
      </w:r>
      <w:proofErr w:type="spellEnd"/>
      <w:r>
        <w:rPr>
          <w:rFonts w:ascii="Calibri" w:hAnsi="Calibri"/>
        </w:rPr>
        <w:t xml:space="preserve"> </w:t>
      </w:r>
      <w:proofErr w:type="spellStart"/>
      <w:r>
        <w:rPr>
          <w:rFonts w:ascii="Calibri" w:hAnsi="Calibri"/>
        </w:rPr>
        <w:t>technických</w:t>
      </w:r>
      <w:proofErr w:type="spellEnd"/>
      <w:r>
        <w:rPr>
          <w:rFonts w:ascii="Calibri" w:hAnsi="Calibri"/>
        </w:rPr>
        <w:t xml:space="preserve"> </w:t>
      </w:r>
      <w:proofErr w:type="spellStart"/>
      <w:r>
        <w:rPr>
          <w:rFonts w:ascii="Calibri" w:hAnsi="Calibri"/>
        </w:rPr>
        <w:t>požadavků</w:t>
      </w:r>
      <w:proofErr w:type="spellEnd"/>
      <w:r>
        <w:rPr>
          <w:rFonts w:ascii="Calibri" w:hAnsi="Calibri"/>
        </w:rPr>
        <w:t>.</w:t>
      </w:r>
    </w:p>
    <w:p w14:paraId="09833B42" w14:textId="77777777" w:rsidR="00B2240E" w:rsidRDefault="00B2240E" w:rsidP="00B65357">
      <w:pPr>
        <w:pStyle w:val="Odrazka2"/>
        <w:tabs>
          <w:tab w:val="clear" w:pos="360"/>
        </w:tabs>
        <w:ind w:left="-850" w:firstLine="0"/>
        <w:rPr>
          <w:rFonts w:ascii="Calibri" w:hAnsi="Calibri"/>
        </w:rPr>
      </w:pPr>
      <w:r>
        <w:rPr>
          <w:noProof/>
        </w:rPr>
        <w:lastRenderedPageBreak/>
        <mc:AlternateContent>
          <mc:Choice Requires="wps">
            <w:drawing>
              <wp:anchor distT="0" distB="0" distL="0" distR="0" simplePos="0" relativeHeight="251658240" behindDoc="0" locked="0" layoutInCell="1" allowOverlap="1" wp14:anchorId="341EB6C6" wp14:editId="1956A14C">
                <wp:simplePos x="0" y="0"/>
                <wp:positionH relativeFrom="column">
                  <wp:posOffset>775970</wp:posOffset>
                </wp:positionH>
                <wp:positionV relativeFrom="paragraph">
                  <wp:posOffset>22225</wp:posOffset>
                </wp:positionV>
                <wp:extent cx="4432935" cy="6217285"/>
                <wp:effectExtent l="4445" t="3175" r="1270" b="0"/>
                <wp:wrapTopAndBottom/>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6217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0AC66" w14:textId="77777777" w:rsidR="00B2240E" w:rsidRDefault="00B2240E" w:rsidP="00B2240E">
                            <w:pPr>
                              <w:pStyle w:val="Fig"/>
                            </w:pPr>
                            <w:r>
                              <w:rPr>
                                <w:noProof/>
                              </w:rPr>
                              <w:drawing>
                                <wp:inline distT="0" distB="0" distL="0" distR="0" wp14:anchorId="291B7742" wp14:editId="1DBADF31">
                                  <wp:extent cx="4418330" cy="5808980"/>
                                  <wp:effectExtent l="0" t="0" r="127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8330" cy="5808980"/>
                                          </a:xfrm>
                                          <a:prstGeom prst="rect">
                                            <a:avLst/>
                                          </a:prstGeom>
                                          <a:solidFill>
                                            <a:srgbClr val="FFFFFF"/>
                                          </a:solidFill>
                                          <a:ln>
                                            <a:noFill/>
                                          </a:ln>
                                        </pic:spPr>
                                      </pic:pic>
                                    </a:graphicData>
                                  </a:graphic>
                                </wp:inline>
                              </w:drawing>
                            </w:r>
                            <w:proofErr w:type="spellStart"/>
                            <w:r>
                              <w:t>obrázek</w:t>
                            </w:r>
                            <w:proofErr w:type="spellEnd"/>
                            <w:r>
                              <w:t xml:space="preserve"> č. </w:t>
                            </w:r>
                            <w:r>
                              <w:fldChar w:fldCharType="begin"/>
                            </w:r>
                            <w:r>
                              <w:instrText xml:space="preserve"> SEQ "Fig" \*Arabic </w:instrText>
                            </w:r>
                            <w:r>
                              <w:fldChar w:fldCharType="separate"/>
                            </w:r>
                            <w:r w:rsidR="00770FA9">
                              <w:rPr>
                                <w:noProof/>
                              </w:rPr>
                              <w:t>1</w:t>
                            </w:r>
                            <w:r>
                              <w:fldChar w:fldCharType="end"/>
                            </w:r>
                            <w:r>
                              <w:t xml:space="preserve">: </w:t>
                            </w:r>
                            <w:proofErr w:type="spellStart"/>
                            <w:r>
                              <w:t>Schematický</w:t>
                            </w:r>
                            <w:proofErr w:type="spellEnd"/>
                            <w:r>
                              <w:t xml:space="preserve"> </w:t>
                            </w:r>
                            <w:proofErr w:type="spellStart"/>
                            <w:r>
                              <w:t>náčtrek</w:t>
                            </w:r>
                            <w:proofErr w:type="spellEnd"/>
                            <w:r>
                              <w:t xml:space="preserve"> </w:t>
                            </w:r>
                            <w:proofErr w:type="spellStart"/>
                            <w:r>
                              <w:t>umístění</w:t>
                            </w:r>
                            <w:proofErr w:type="spellEnd"/>
                            <w:r>
                              <w:t xml:space="preserve"> NBI </w:t>
                            </w:r>
                            <w:proofErr w:type="spellStart"/>
                            <w:r>
                              <w:t>na</w:t>
                            </w:r>
                            <w:proofErr w:type="spellEnd"/>
                            <w:r>
                              <w:t xml:space="preserve"> </w:t>
                            </w:r>
                            <w:proofErr w:type="spellStart"/>
                            <w:r>
                              <w:t>tokamaku</w:t>
                            </w:r>
                            <w:proofErr w:type="spellEnd"/>
                            <w:r>
                              <w:t xml:space="preserve"> COMPASS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61.1pt;margin-top:1.75pt;width:349.05pt;height:489.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" stroked="f">
                <v:textbox inset="0,0,0,0">
                  <w:txbxContent>
                    <w:p w:rsidR="00B2240E" w:rsidRDefault="00B2240E" w:rsidP="00B2240E">
                      <w:pPr>
                        <w:pStyle w:val="Fig"/>
                      </w:pPr>
                      <w:r>
                        <w:rPr>
                          <w:noProof/>
                          <w:lang w:val="cs-CZ" w:eastAsia="cs-CZ"/>
                        </w:rPr>
                        <w:drawing>
                          <wp:inline distT="0" distB="0" distL="0" distR="0" wp14:anchorId="493FF361" wp14:editId="3568BEC2">
                            <wp:extent cx="4418330" cy="5808980"/>
                            <wp:effectExtent l="0" t="0" r="127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8330" cy="5808980"/>
                                    </a:xfrm>
                                    <a:prstGeom prst="rect">
                                      <a:avLst/>
                                    </a:prstGeom>
                                    <a:solidFill>
                                      <a:srgbClr val="FFFFFF"/>
                                    </a:solidFill>
                                    <a:ln>
                                      <a:noFill/>
                                    </a:ln>
                                  </pic:spPr>
                                </pic:pic>
                              </a:graphicData>
                            </a:graphic>
                          </wp:inline>
                        </w:drawing>
                      </w:r>
                      <w:r>
                        <w:t xml:space="preserve">obrázek č. </w:t>
                      </w:r>
                      <w:r>
                        <w:fldChar w:fldCharType="begin"/>
                      </w:r>
                      <w:r>
                        <w:instrText xml:space="preserve"> SEQ "Fig" \*Arabic </w:instrText>
                      </w:r>
                      <w:r>
                        <w:fldChar w:fldCharType="separate"/>
                      </w:r>
                      <w:r w:rsidR="00770FA9">
                        <w:rPr>
                          <w:noProof/>
                        </w:rPr>
                        <w:t>1</w:t>
                      </w:r>
                      <w:r>
                        <w:fldChar w:fldCharType="end"/>
                      </w:r>
                      <w:r>
                        <w:t>: Schematický náčtrek umístění NBI na tokamaku COMPASS</w:t>
                      </w:r>
                    </w:p>
                  </w:txbxContent>
                </v:textbox>
                <w10:wrap type="topAndBottom"/>
              </v:shape>
            </w:pict>
          </mc:Fallback>
        </mc:AlternateContent>
      </w:r>
      <w:r>
        <w:rPr>
          <w:rFonts w:ascii="Calibri" w:hAnsi="Calibri"/>
        </w:rPr>
        <w:tab/>
      </w:r>
    </w:p>
    <w:p w14:paraId="0A85161E" w14:textId="77777777" w:rsidR="00B65357" w:rsidRDefault="00B65357" w:rsidP="00B65357">
      <w:pPr>
        <w:pStyle w:val="Odrazka2"/>
        <w:tabs>
          <w:tab w:val="clear" w:pos="360"/>
        </w:tabs>
        <w:ind w:left="-850" w:firstLine="0"/>
        <w:rPr>
          <w:rFonts w:ascii="Calibri" w:hAnsi="Calibri"/>
        </w:rPr>
      </w:pPr>
    </w:p>
    <w:p w14:paraId="2EAE26C9" w14:textId="77777777" w:rsidR="00B65357" w:rsidRDefault="00B65357" w:rsidP="00B65357">
      <w:pPr>
        <w:pStyle w:val="Odrazka2"/>
        <w:tabs>
          <w:tab w:val="clear" w:pos="360"/>
        </w:tabs>
        <w:ind w:left="-850" w:firstLine="0"/>
        <w:rPr>
          <w:rFonts w:ascii="Calibri" w:hAnsi="Calibri"/>
        </w:rPr>
      </w:pPr>
    </w:p>
    <w:p w14:paraId="6A12B519" w14:textId="77777777" w:rsidR="00B65357" w:rsidRDefault="00B65357" w:rsidP="00B65357">
      <w:pPr>
        <w:pStyle w:val="Odrazka2"/>
        <w:tabs>
          <w:tab w:val="clear" w:pos="360"/>
        </w:tabs>
        <w:ind w:left="-850" w:firstLine="0"/>
        <w:rPr>
          <w:rFonts w:ascii="Calibri" w:hAnsi="Calibri"/>
        </w:rPr>
      </w:pPr>
    </w:p>
    <w:p w14:paraId="6ABA763E" w14:textId="77777777" w:rsidR="00B65357" w:rsidRDefault="00B65357" w:rsidP="00B65357">
      <w:pPr>
        <w:pStyle w:val="Odrazka2"/>
        <w:tabs>
          <w:tab w:val="clear" w:pos="360"/>
        </w:tabs>
        <w:ind w:left="-850" w:firstLine="0"/>
        <w:rPr>
          <w:rFonts w:ascii="Calibri" w:hAnsi="Calibri"/>
        </w:rPr>
      </w:pPr>
    </w:p>
    <w:p w14:paraId="0E571386" w14:textId="77777777" w:rsidR="00B65357" w:rsidRDefault="00B65357" w:rsidP="00B65357">
      <w:pPr>
        <w:pStyle w:val="Odrazka2"/>
        <w:tabs>
          <w:tab w:val="clear" w:pos="360"/>
        </w:tabs>
        <w:ind w:left="-850" w:firstLine="0"/>
        <w:rPr>
          <w:rFonts w:ascii="Calibri" w:hAnsi="Calibri"/>
        </w:rPr>
      </w:pPr>
    </w:p>
    <w:p w14:paraId="3D94BDD8" w14:textId="77777777" w:rsidR="00B2240E" w:rsidRDefault="006E3626" w:rsidP="006E3626">
      <w:pPr>
        <w:jc w:val="right"/>
        <w:rPr>
          <w:rFonts w:ascii="Calibri" w:hAnsi="Calibri"/>
        </w:rPr>
      </w:pPr>
      <w:r>
        <w:rPr>
          <w:rFonts w:ascii="Calibri" w:hAnsi="Calibri"/>
        </w:rPr>
        <w:t>……………………………………………………………………………………………………..</w:t>
      </w:r>
    </w:p>
    <w:p w14:paraId="0E43C9DC" w14:textId="77777777" w:rsidR="006E3626" w:rsidRDefault="006E3626" w:rsidP="006E3626">
      <w:pPr>
        <w:tabs>
          <w:tab w:val="center" w:pos="6521"/>
        </w:tabs>
        <w:rPr>
          <w:rFonts w:ascii="Tahoma" w:hAnsi="Tahoma" w:cs="Tahoma"/>
          <w:i/>
          <w:sz w:val="18"/>
          <w:szCs w:val="18"/>
        </w:rPr>
      </w:pPr>
      <w:r>
        <w:rPr>
          <w:rFonts w:ascii="Tahoma" w:hAnsi="Tahoma" w:cs="Tahoma"/>
          <w:bCs/>
          <w:i/>
          <w:color w:val="000000"/>
          <w:sz w:val="18"/>
          <w:szCs w:val="18"/>
        </w:rPr>
        <w:tab/>
        <w:t>(</w:t>
      </w:r>
      <w:proofErr w:type="spellStart"/>
      <w:r>
        <w:rPr>
          <w:rFonts w:ascii="Tahoma" w:hAnsi="Tahoma" w:cs="Tahoma"/>
          <w:bCs/>
          <w:i/>
          <w:color w:val="000000"/>
          <w:sz w:val="18"/>
          <w:szCs w:val="18"/>
        </w:rPr>
        <w:t>Jméno</w:t>
      </w:r>
      <w:proofErr w:type="spellEnd"/>
      <w:r>
        <w:rPr>
          <w:rFonts w:ascii="Tahoma" w:hAnsi="Tahoma" w:cs="Tahoma"/>
          <w:bCs/>
          <w:i/>
          <w:color w:val="000000"/>
          <w:sz w:val="18"/>
          <w:szCs w:val="18"/>
        </w:rPr>
        <w:t xml:space="preserve"> a </w:t>
      </w:r>
      <w:proofErr w:type="spellStart"/>
      <w:r>
        <w:rPr>
          <w:rFonts w:ascii="Tahoma" w:hAnsi="Tahoma" w:cs="Tahoma"/>
          <w:bCs/>
          <w:i/>
          <w:color w:val="000000"/>
          <w:sz w:val="18"/>
          <w:szCs w:val="18"/>
        </w:rPr>
        <w:t>podpis</w:t>
      </w:r>
      <w:proofErr w:type="spellEnd"/>
      <w:r>
        <w:rPr>
          <w:rFonts w:ascii="Tahoma" w:hAnsi="Tahoma" w:cs="Tahoma"/>
          <w:bCs/>
          <w:i/>
          <w:color w:val="000000"/>
          <w:sz w:val="18"/>
          <w:szCs w:val="18"/>
        </w:rPr>
        <w:t xml:space="preserve"> </w:t>
      </w:r>
      <w:proofErr w:type="spellStart"/>
      <w:r>
        <w:rPr>
          <w:rFonts w:ascii="Tahoma" w:hAnsi="Tahoma" w:cs="Tahoma"/>
          <w:bCs/>
          <w:i/>
          <w:color w:val="000000"/>
          <w:sz w:val="18"/>
          <w:szCs w:val="18"/>
        </w:rPr>
        <w:t>osoby</w:t>
      </w:r>
      <w:proofErr w:type="spellEnd"/>
      <w:r>
        <w:rPr>
          <w:rFonts w:ascii="Tahoma" w:hAnsi="Tahoma" w:cs="Tahoma"/>
          <w:bCs/>
          <w:i/>
          <w:color w:val="000000"/>
          <w:sz w:val="18"/>
          <w:szCs w:val="18"/>
        </w:rPr>
        <w:t xml:space="preserve"> </w:t>
      </w:r>
      <w:proofErr w:type="spellStart"/>
      <w:r>
        <w:rPr>
          <w:rFonts w:ascii="Tahoma" w:hAnsi="Tahoma" w:cs="Tahoma"/>
          <w:bCs/>
          <w:i/>
          <w:color w:val="000000"/>
          <w:sz w:val="18"/>
          <w:szCs w:val="18"/>
        </w:rPr>
        <w:t>oprávněné</w:t>
      </w:r>
      <w:proofErr w:type="spellEnd"/>
      <w:r>
        <w:rPr>
          <w:rFonts w:ascii="Tahoma" w:hAnsi="Tahoma" w:cs="Tahoma"/>
          <w:bCs/>
          <w:i/>
          <w:color w:val="000000"/>
          <w:sz w:val="18"/>
          <w:szCs w:val="18"/>
        </w:rPr>
        <w:t xml:space="preserve"> </w:t>
      </w:r>
      <w:proofErr w:type="spellStart"/>
      <w:r>
        <w:rPr>
          <w:rFonts w:ascii="Tahoma" w:hAnsi="Tahoma" w:cs="Tahoma"/>
          <w:bCs/>
          <w:i/>
          <w:color w:val="000000"/>
          <w:sz w:val="18"/>
          <w:szCs w:val="18"/>
        </w:rPr>
        <w:t>jednat</w:t>
      </w:r>
      <w:proofErr w:type="spellEnd"/>
      <w:r>
        <w:rPr>
          <w:rFonts w:ascii="Tahoma" w:hAnsi="Tahoma" w:cs="Tahoma"/>
          <w:bCs/>
          <w:i/>
          <w:color w:val="000000"/>
          <w:sz w:val="18"/>
          <w:szCs w:val="18"/>
        </w:rPr>
        <w:t xml:space="preserve"> </w:t>
      </w:r>
      <w:proofErr w:type="spellStart"/>
      <w:r>
        <w:rPr>
          <w:rFonts w:ascii="Tahoma" w:hAnsi="Tahoma" w:cs="Tahoma"/>
          <w:bCs/>
          <w:i/>
          <w:color w:val="000000"/>
          <w:sz w:val="18"/>
          <w:szCs w:val="18"/>
        </w:rPr>
        <w:t>jménem</w:t>
      </w:r>
      <w:proofErr w:type="spellEnd"/>
      <w:r>
        <w:rPr>
          <w:rFonts w:ascii="Tahoma" w:hAnsi="Tahoma" w:cs="Tahoma"/>
          <w:bCs/>
          <w:i/>
          <w:color w:val="000000"/>
          <w:sz w:val="18"/>
          <w:szCs w:val="18"/>
        </w:rPr>
        <w:t xml:space="preserve"> </w:t>
      </w:r>
      <w:proofErr w:type="spellStart"/>
      <w:r>
        <w:rPr>
          <w:rFonts w:ascii="Tahoma" w:hAnsi="Tahoma" w:cs="Tahoma"/>
          <w:bCs/>
          <w:i/>
          <w:color w:val="000000"/>
          <w:sz w:val="18"/>
          <w:szCs w:val="18"/>
        </w:rPr>
        <w:t>či</w:t>
      </w:r>
      <w:proofErr w:type="spellEnd"/>
      <w:r>
        <w:rPr>
          <w:rFonts w:ascii="Tahoma" w:hAnsi="Tahoma" w:cs="Tahoma"/>
          <w:bCs/>
          <w:i/>
          <w:color w:val="000000"/>
          <w:sz w:val="18"/>
          <w:szCs w:val="18"/>
        </w:rPr>
        <w:t xml:space="preserve"> </w:t>
      </w:r>
      <w:proofErr w:type="spellStart"/>
      <w:r>
        <w:rPr>
          <w:rFonts w:ascii="Tahoma" w:hAnsi="Tahoma" w:cs="Tahoma"/>
          <w:bCs/>
          <w:i/>
          <w:color w:val="000000"/>
          <w:sz w:val="18"/>
          <w:szCs w:val="18"/>
        </w:rPr>
        <w:t>za</w:t>
      </w:r>
      <w:proofErr w:type="spellEnd"/>
      <w:r>
        <w:rPr>
          <w:rFonts w:ascii="Tahoma" w:hAnsi="Tahoma" w:cs="Tahoma"/>
          <w:bCs/>
          <w:i/>
          <w:color w:val="000000"/>
          <w:sz w:val="18"/>
          <w:szCs w:val="18"/>
        </w:rPr>
        <w:t xml:space="preserve"> </w:t>
      </w:r>
      <w:proofErr w:type="spellStart"/>
      <w:r>
        <w:rPr>
          <w:rFonts w:ascii="Tahoma" w:hAnsi="Tahoma" w:cs="Tahoma"/>
          <w:bCs/>
          <w:i/>
          <w:color w:val="000000"/>
          <w:sz w:val="18"/>
          <w:szCs w:val="18"/>
        </w:rPr>
        <w:t>dodavatele</w:t>
      </w:r>
      <w:proofErr w:type="spellEnd"/>
      <w:r>
        <w:rPr>
          <w:rFonts w:ascii="Tahoma" w:hAnsi="Tahoma" w:cs="Tahoma"/>
          <w:bCs/>
          <w:i/>
          <w:color w:val="000000"/>
          <w:sz w:val="18"/>
          <w:szCs w:val="18"/>
        </w:rPr>
        <w:t>)</w:t>
      </w:r>
    </w:p>
    <w:p w14:paraId="59A3ADD9" w14:textId="77777777" w:rsidR="00B2240E" w:rsidRDefault="00B2240E" w:rsidP="00B2240E">
      <w:pPr>
        <w:rPr>
          <w:rFonts w:ascii="Calibri" w:hAnsi="Calibri"/>
        </w:rPr>
      </w:pPr>
    </w:p>
    <w:p w14:paraId="77514F1F" w14:textId="77777777" w:rsidR="00B2240E" w:rsidRDefault="00B2240E" w:rsidP="00B2240E">
      <w:pPr>
        <w:rPr>
          <w:rFonts w:ascii="Calibri" w:hAnsi="Calibri"/>
        </w:rPr>
      </w:pPr>
    </w:p>
    <w:p w14:paraId="05554AAE" w14:textId="6D635916" w:rsidR="00C5452D" w:rsidRPr="00F45862" w:rsidRDefault="00F45862" w:rsidP="00E5339C">
      <w:pPr>
        <w:rPr>
          <w:i/>
        </w:rPr>
      </w:pPr>
      <w:proofErr w:type="spellStart"/>
      <w:r w:rsidRPr="00F45862">
        <w:rPr>
          <w:i/>
        </w:rPr>
        <w:t>Zadavatel</w:t>
      </w:r>
      <w:proofErr w:type="spellEnd"/>
      <w:r w:rsidRPr="00F45862">
        <w:rPr>
          <w:i/>
        </w:rPr>
        <w:t xml:space="preserve"> </w:t>
      </w:r>
      <w:proofErr w:type="spellStart"/>
      <w:proofErr w:type="gramStart"/>
      <w:r w:rsidRPr="00F45862">
        <w:rPr>
          <w:i/>
        </w:rPr>
        <w:t>informuje,že</w:t>
      </w:r>
      <w:proofErr w:type="spellEnd"/>
      <w:proofErr w:type="gramEnd"/>
      <w:r w:rsidRPr="00F45862">
        <w:rPr>
          <w:i/>
        </w:rPr>
        <w:t xml:space="preserve"> </w:t>
      </w:r>
      <w:proofErr w:type="spellStart"/>
      <w:r w:rsidRPr="00F45862">
        <w:rPr>
          <w:i/>
        </w:rPr>
        <w:t>tento</w:t>
      </w:r>
      <w:proofErr w:type="spellEnd"/>
      <w:r w:rsidRPr="00F45862">
        <w:rPr>
          <w:i/>
        </w:rPr>
        <w:t xml:space="preserve"> </w:t>
      </w:r>
      <w:proofErr w:type="spellStart"/>
      <w:r w:rsidRPr="00F45862">
        <w:rPr>
          <w:i/>
        </w:rPr>
        <w:t>dokument</w:t>
      </w:r>
      <w:proofErr w:type="spellEnd"/>
      <w:r w:rsidRPr="00F45862">
        <w:rPr>
          <w:i/>
        </w:rPr>
        <w:t xml:space="preserve"> je </w:t>
      </w:r>
      <w:proofErr w:type="spellStart"/>
      <w:r w:rsidRPr="00F45862">
        <w:rPr>
          <w:i/>
        </w:rPr>
        <w:t>nedílnou</w:t>
      </w:r>
      <w:proofErr w:type="spellEnd"/>
      <w:r w:rsidRPr="00F45862">
        <w:rPr>
          <w:i/>
        </w:rPr>
        <w:t xml:space="preserve"> </w:t>
      </w:r>
      <w:proofErr w:type="spellStart"/>
      <w:r w:rsidRPr="00F45862">
        <w:rPr>
          <w:i/>
        </w:rPr>
        <w:t>součástí</w:t>
      </w:r>
      <w:proofErr w:type="spellEnd"/>
      <w:r w:rsidRPr="00F45862">
        <w:rPr>
          <w:i/>
        </w:rPr>
        <w:t xml:space="preserve"> </w:t>
      </w:r>
      <w:proofErr w:type="spellStart"/>
      <w:r w:rsidRPr="00F45862">
        <w:rPr>
          <w:i/>
        </w:rPr>
        <w:t>nabídky</w:t>
      </w:r>
      <w:proofErr w:type="spellEnd"/>
      <w:r w:rsidRPr="00F45862">
        <w:rPr>
          <w:i/>
        </w:rPr>
        <w:t xml:space="preserve"> </w:t>
      </w:r>
      <w:proofErr w:type="spellStart"/>
      <w:r w:rsidRPr="00F45862">
        <w:rPr>
          <w:i/>
        </w:rPr>
        <w:t>každého</w:t>
      </w:r>
      <w:proofErr w:type="spellEnd"/>
      <w:r w:rsidRPr="00F45862">
        <w:rPr>
          <w:i/>
        </w:rPr>
        <w:t xml:space="preserve"> </w:t>
      </w:r>
      <w:proofErr w:type="spellStart"/>
      <w:r w:rsidRPr="00F45862">
        <w:rPr>
          <w:i/>
        </w:rPr>
        <w:t>účastníka</w:t>
      </w:r>
      <w:proofErr w:type="spellEnd"/>
      <w:r w:rsidRPr="00F45862">
        <w:rPr>
          <w:i/>
        </w:rPr>
        <w:t xml:space="preserve"> </w:t>
      </w:r>
      <w:proofErr w:type="spellStart"/>
      <w:r w:rsidRPr="00F45862">
        <w:rPr>
          <w:i/>
        </w:rPr>
        <w:t>zadávacího</w:t>
      </w:r>
      <w:proofErr w:type="spellEnd"/>
      <w:r w:rsidRPr="00F45862">
        <w:rPr>
          <w:i/>
        </w:rPr>
        <w:t xml:space="preserve"> </w:t>
      </w:r>
      <w:proofErr w:type="spellStart"/>
      <w:r w:rsidRPr="00F45862">
        <w:rPr>
          <w:i/>
        </w:rPr>
        <w:t>řízení</w:t>
      </w:r>
      <w:proofErr w:type="spellEnd"/>
      <w:r w:rsidRPr="00F45862">
        <w:rPr>
          <w:i/>
        </w:rPr>
        <w:t xml:space="preserve"> a </w:t>
      </w:r>
      <w:proofErr w:type="spellStart"/>
      <w:r w:rsidRPr="00F45862">
        <w:rPr>
          <w:i/>
        </w:rPr>
        <w:t>zároveň</w:t>
      </w:r>
      <w:proofErr w:type="spellEnd"/>
      <w:r w:rsidRPr="00F45862">
        <w:rPr>
          <w:i/>
        </w:rPr>
        <w:t xml:space="preserve"> </w:t>
      </w:r>
      <w:proofErr w:type="spellStart"/>
      <w:r w:rsidRPr="00F45862">
        <w:rPr>
          <w:i/>
        </w:rPr>
        <w:t>bude</w:t>
      </w:r>
      <w:proofErr w:type="spellEnd"/>
      <w:r w:rsidRPr="00F45862">
        <w:rPr>
          <w:i/>
        </w:rPr>
        <w:t xml:space="preserve"> </w:t>
      </w:r>
      <w:proofErr w:type="spellStart"/>
      <w:r w:rsidRPr="00F45862">
        <w:rPr>
          <w:i/>
        </w:rPr>
        <w:t>nedílnou</w:t>
      </w:r>
      <w:proofErr w:type="spellEnd"/>
      <w:r w:rsidRPr="00F45862">
        <w:rPr>
          <w:i/>
        </w:rPr>
        <w:t xml:space="preserve"> </w:t>
      </w:r>
      <w:proofErr w:type="spellStart"/>
      <w:r w:rsidRPr="00F45862">
        <w:rPr>
          <w:i/>
        </w:rPr>
        <w:t>součástí</w:t>
      </w:r>
      <w:proofErr w:type="spellEnd"/>
      <w:r w:rsidRPr="00F45862">
        <w:rPr>
          <w:i/>
        </w:rPr>
        <w:t xml:space="preserve"> </w:t>
      </w:r>
      <w:proofErr w:type="spellStart"/>
      <w:r w:rsidRPr="00F45862">
        <w:rPr>
          <w:i/>
        </w:rPr>
        <w:t>čtyř</w:t>
      </w:r>
      <w:proofErr w:type="spellEnd"/>
      <w:r w:rsidRPr="00F45862">
        <w:rPr>
          <w:i/>
        </w:rPr>
        <w:t xml:space="preserve"> </w:t>
      </w:r>
      <w:proofErr w:type="spellStart"/>
      <w:r w:rsidRPr="00F45862">
        <w:rPr>
          <w:i/>
        </w:rPr>
        <w:t>paré</w:t>
      </w:r>
      <w:proofErr w:type="spellEnd"/>
      <w:r w:rsidRPr="00F45862">
        <w:rPr>
          <w:i/>
        </w:rPr>
        <w:t xml:space="preserve"> </w:t>
      </w:r>
      <w:proofErr w:type="spellStart"/>
      <w:r w:rsidRPr="00F45862">
        <w:rPr>
          <w:i/>
        </w:rPr>
        <w:t>smluv</w:t>
      </w:r>
      <w:proofErr w:type="spellEnd"/>
      <w:r w:rsidRPr="00F45862">
        <w:rPr>
          <w:i/>
        </w:rPr>
        <w:t xml:space="preserve"> u </w:t>
      </w:r>
      <w:proofErr w:type="spellStart"/>
      <w:r w:rsidRPr="00F45862">
        <w:rPr>
          <w:i/>
        </w:rPr>
        <w:t>vybraného</w:t>
      </w:r>
      <w:proofErr w:type="spellEnd"/>
      <w:r w:rsidRPr="00F45862">
        <w:rPr>
          <w:i/>
        </w:rPr>
        <w:t xml:space="preserve"> </w:t>
      </w:r>
      <w:proofErr w:type="spellStart"/>
      <w:r w:rsidRPr="00F45862">
        <w:rPr>
          <w:i/>
        </w:rPr>
        <w:t>dodavatele</w:t>
      </w:r>
      <w:proofErr w:type="spellEnd"/>
      <w:r w:rsidRPr="00F45862">
        <w:rPr>
          <w:i/>
        </w:rPr>
        <w:t xml:space="preserve"> v </w:t>
      </w:r>
      <w:proofErr w:type="spellStart"/>
      <w:r w:rsidRPr="00F45862">
        <w:rPr>
          <w:i/>
        </w:rPr>
        <w:t>souladu</w:t>
      </w:r>
      <w:proofErr w:type="spellEnd"/>
      <w:r w:rsidRPr="00F45862">
        <w:rPr>
          <w:i/>
        </w:rPr>
        <w:t xml:space="preserve"> s </w:t>
      </w:r>
      <w:proofErr w:type="spellStart"/>
      <w:r w:rsidRPr="00F45862">
        <w:rPr>
          <w:i/>
        </w:rPr>
        <w:t>kupní</w:t>
      </w:r>
      <w:proofErr w:type="spellEnd"/>
      <w:r w:rsidRPr="00F45862">
        <w:rPr>
          <w:i/>
        </w:rPr>
        <w:t xml:space="preserve"> </w:t>
      </w:r>
      <w:proofErr w:type="spellStart"/>
      <w:r w:rsidRPr="00F45862">
        <w:rPr>
          <w:i/>
        </w:rPr>
        <w:t>smlouvou</w:t>
      </w:r>
      <w:proofErr w:type="spellEnd"/>
      <w:r w:rsidRPr="00F45862">
        <w:rPr>
          <w:i/>
        </w:rPr>
        <w:t xml:space="preserve"> - </w:t>
      </w:r>
      <w:proofErr w:type="spellStart"/>
      <w:r w:rsidRPr="00F45862">
        <w:rPr>
          <w:i/>
        </w:rPr>
        <w:t>kap</w:t>
      </w:r>
      <w:proofErr w:type="spellEnd"/>
      <w:r w:rsidRPr="00F45862">
        <w:rPr>
          <w:i/>
        </w:rPr>
        <w:t xml:space="preserve">. </w:t>
      </w:r>
      <w:proofErr w:type="gramStart"/>
      <w:r w:rsidRPr="00F45862">
        <w:rPr>
          <w:i/>
        </w:rPr>
        <w:t>XII  bod</w:t>
      </w:r>
      <w:proofErr w:type="gramEnd"/>
      <w:r w:rsidRPr="00F45862">
        <w:rPr>
          <w:i/>
        </w:rPr>
        <w:t xml:space="preserve">. 1 = </w:t>
      </w:r>
      <w:proofErr w:type="spellStart"/>
      <w:r w:rsidRPr="00F45862">
        <w:rPr>
          <w:i/>
        </w:rPr>
        <w:t>příloha</w:t>
      </w:r>
      <w:proofErr w:type="spellEnd"/>
      <w:r w:rsidRPr="00F45862">
        <w:rPr>
          <w:i/>
        </w:rPr>
        <w:t xml:space="preserve"> č. </w:t>
      </w:r>
      <w:proofErr w:type="gramStart"/>
      <w:r w:rsidRPr="00F45862">
        <w:rPr>
          <w:i/>
        </w:rPr>
        <w:t>2..</w:t>
      </w:r>
      <w:proofErr w:type="gramEnd"/>
    </w:p>
    <w:sectPr w:rsidR="00C5452D" w:rsidRPr="00F45862" w:rsidSect="00B65357">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568" w:right="1418" w:bottom="1418" w:left="1418" w:header="709" w:footer="420" w:gutter="0"/>
      <w:paperSrc w:first="1" w:other="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61FFE" w14:textId="77777777" w:rsidR="007D3025" w:rsidRDefault="007D3025">
      <w:r>
        <w:separator/>
      </w:r>
    </w:p>
  </w:endnote>
  <w:endnote w:type="continuationSeparator" w:id="0">
    <w:p w14:paraId="20868A65" w14:textId="77777777" w:rsidR="007D3025" w:rsidRDefault="007D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01E4" w14:textId="77777777" w:rsidR="00B2240E" w:rsidRDefault="00B224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153632"/>
      <w:docPartObj>
        <w:docPartGallery w:val="Page Numbers (Bottom of Page)"/>
        <w:docPartUnique/>
      </w:docPartObj>
    </w:sdtPr>
    <w:sdtEndPr/>
    <w:sdtContent>
      <w:p w14:paraId="56E7973D" w14:textId="77777777" w:rsidR="00B2240E" w:rsidRDefault="00B2240E">
        <w:pPr>
          <w:pStyle w:val="Footer"/>
          <w:jc w:val="center"/>
        </w:pPr>
        <w:r>
          <w:fldChar w:fldCharType="begin"/>
        </w:r>
        <w:r>
          <w:instrText>PAGE   \* MERGEFORMAT</w:instrText>
        </w:r>
        <w:r>
          <w:fldChar w:fldCharType="separate"/>
        </w:r>
        <w:r w:rsidR="003C6F72" w:rsidRPr="003C6F72">
          <w:rPr>
            <w:noProof/>
            <w:lang w:val="cs-CZ"/>
          </w:rPr>
          <w:t>1</w:t>
        </w:r>
        <w:r>
          <w:fldChar w:fldCharType="end"/>
        </w:r>
      </w:p>
    </w:sdtContent>
  </w:sdt>
  <w:p w14:paraId="0DA1DC13" w14:textId="77777777" w:rsidR="00B2240E" w:rsidRDefault="00B224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F5D4" w14:textId="77777777" w:rsidR="00B2240E" w:rsidRDefault="00B224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706A5" w14:textId="77777777" w:rsidR="007D3025" w:rsidRDefault="007D3025">
      <w:r>
        <w:separator/>
      </w:r>
    </w:p>
  </w:footnote>
  <w:footnote w:type="continuationSeparator" w:id="0">
    <w:p w14:paraId="497C68D3" w14:textId="77777777" w:rsidR="007D3025" w:rsidRDefault="007D30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FBC2E" w14:textId="77777777" w:rsidR="00B2240E" w:rsidRDefault="00B224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393C0" w14:textId="77777777" w:rsidR="003E6C83" w:rsidRDefault="003E6C83" w:rsidP="004B204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3E365" w14:textId="77777777" w:rsidR="00B2240E" w:rsidRDefault="00B224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3523"/>
    <w:multiLevelType w:val="hybridMultilevel"/>
    <w:tmpl w:val="7F1E3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3C34A9"/>
    <w:multiLevelType w:val="hybridMultilevel"/>
    <w:tmpl w:val="E59E900C"/>
    <w:lvl w:ilvl="0" w:tplc="2F1215B6">
      <w:start w:val="1"/>
      <w:numFmt w:val="lowerRoman"/>
      <w:lvlText w:val="%1."/>
      <w:lvlJc w:val="right"/>
      <w:pPr>
        <w:ind w:left="2769" w:hanging="20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144A16">
      <w:start w:val="1"/>
      <w:numFmt w:val="decimal"/>
      <w:lvlText w:val="%4."/>
      <w:lvlJc w:val="left"/>
      <w:pPr>
        <w:ind w:left="1135" w:hanging="284"/>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7C0EB6"/>
    <w:multiLevelType w:val="hybridMultilevel"/>
    <w:tmpl w:val="9320B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F21A05"/>
    <w:multiLevelType w:val="hybridMultilevel"/>
    <w:tmpl w:val="B3542B20"/>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1BC62A00"/>
    <w:multiLevelType w:val="multilevel"/>
    <w:tmpl w:val="D53ABC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630491"/>
    <w:multiLevelType w:val="hybridMultilevel"/>
    <w:tmpl w:val="6712B6E2"/>
    <w:lvl w:ilvl="0" w:tplc="B1545E8A">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nsid w:val="1FA64E8F"/>
    <w:multiLevelType w:val="hybridMultilevel"/>
    <w:tmpl w:val="39BE9608"/>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7">
    <w:nsid w:val="239C595E"/>
    <w:multiLevelType w:val="hybridMultilevel"/>
    <w:tmpl w:val="39C4835A"/>
    <w:lvl w:ilvl="0" w:tplc="B3FC610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AB5FE8"/>
    <w:multiLevelType w:val="hybridMultilevel"/>
    <w:tmpl w:val="FEF234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6570C43"/>
    <w:multiLevelType w:val="hybridMultilevel"/>
    <w:tmpl w:val="4E2C5EF8"/>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0">
    <w:nsid w:val="2A4E35BF"/>
    <w:multiLevelType w:val="hybridMultilevel"/>
    <w:tmpl w:val="530EBC5C"/>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1">
    <w:nsid w:val="2CAC7E4D"/>
    <w:multiLevelType w:val="hybridMultilevel"/>
    <w:tmpl w:val="660EA7F2"/>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2">
    <w:nsid w:val="2E2D3B31"/>
    <w:multiLevelType w:val="hybridMultilevel"/>
    <w:tmpl w:val="52ECAD5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23838D1"/>
    <w:multiLevelType w:val="hybridMultilevel"/>
    <w:tmpl w:val="3E00D35E"/>
    <w:lvl w:ilvl="0" w:tplc="6E6489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810084E"/>
    <w:multiLevelType w:val="hybridMultilevel"/>
    <w:tmpl w:val="63AC5C36"/>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5">
    <w:nsid w:val="3B364635"/>
    <w:multiLevelType w:val="hybridMultilevel"/>
    <w:tmpl w:val="2960BC76"/>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nsid w:val="412728B1"/>
    <w:multiLevelType w:val="hybridMultilevel"/>
    <w:tmpl w:val="7A7A2560"/>
    <w:lvl w:ilvl="0" w:tplc="0420C1DC">
      <w:start w:val="1"/>
      <w:numFmt w:val="bullet"/>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7681843"/>
    <w:multiLevelType w:val="hybridMultilevel"/>
    <w:tmpl w:val="0B90EFE6"/>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nsid w:val="51172314"/>
    <w:multiLevelType w:val="hybridMultilevel"/>
    <w:tmpl w:val="DD8CD7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559F75B1"/>
    <w:multiLevelType w:val="multilevel"/>
    <w:tmpl w:val="9BF828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E104749"/>
    <w:multiLevelType w:val="hybridMultilevel"/>
    <w:tmpl w:val="C3D8C21C"/>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
    <w:nsid w:val="680E2FE9"/>
    <w:multiLevelType w:val="hybridMultilevel"/>
    <w:tmpl w:val="C6485B18"/>
    <w:lvl w:ilvl="0" w:tplc="0405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9A06479"/>
    <w:multiLevelType w:val="hybridMultilevel"/>
    <w:tmpl w:val="6128DA5A"/>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
    <w:nsid w:val="6D97172F"/>
    <w:multiLevelType w:val="hybridMultilevel"/>
    <w:tmpl w:val="2F34561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FFC6831"/>
    <w:multiLevelType w:val="hybridMultilevel"/>
    <w:tmpl w:val="7D6E6DD8"/>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nsid w:val="739035E1"/>
    <w:multiLevelType w:val="hybridMultilevel"/>
    <w:tmpl w:val="7AA2F896"/>
    <w:lvl w:ilvl="0" w:tplc="2B68B2AE">
      <w:start w:val="1"/>
      <w:numFmt w:val="decimal"/>
      <w:pStyle w:val="Odrkyse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B211B2"/>
    <w:multiLevelType w:val="hybridMultilevel"/>
    <w:tmpl w:val="143A39FC"/>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num w:numId="1">
    <w:abstractNumId w:val="12"/>
  </w:num>
  <w:num w:numId="2">
    <w:abstractNumId w:val="19"/>
  </w:num>
  <w:num w:numId="3">
    <w:abstractNumId w:val="4"/>
  </w:num>
  <w:num w:numId="4">
    <w:abstractNumId w:val="6"/>
  </w:num>
  <w:num w:numId="5">
    <w:abstractNumId w:val="9"/>
  </w:num>
  <w:num w:numId="6">
    <w:abstractNumId w:val="14"/>
  </w:num>
  <w:num w:numId="7">
    <w:abstractNumId w:val="26"/>
  </w:num>
  <w:num w:numId="8">
    <w:abstractNumId w:val="20"/>
  </w:num>
  <w:num w:numId="9">
    <w:abstractNumId w:val="16"/>
  </w:num>
  <w:num w:numId="10">
    <w:abstractNumId w:val="11"/>
  </w:num>
  <w:num w:numId="11">
    <w:abstractNumId w:val="24"/>
  </w:num>
  <w:num w:numId="12">
    <w:abstractNumId w:val="15"/>
  </w:num>
  <w:num w:numId="13">
    <w:abstractNumId w:val="17"/>
  </w:num>
  <w:num w:numId="14">
    <w:abstractNumId w:val="3"/>
  </w:num>
  <w:num w:numId="15">
    <w:abstractNumId w:val="22"/>
  </w:num>
  <w:num w:numId="16">
    <w:abstractNumId w:val="21"/>
  </w:num>
  <w:num w:numId="17">
    <w:abstractNumId w:val="13"/>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7"/>
  </w:num>
  <w:num w:numId="24">
    <w:abstractNumId w:val="25"/>
  </w:num>
  <w:num w:numId="25">
    <w:abstractNumId w:val="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0E"/>
    <w:rsid w:val="00000C5E"/>
    <w:rsid w:val="000026AF"/>
    <w:rsid w:val="00002A74"/>
    <w:rsid w:val="0000423A"/>
    <w:rsid w:val="00004F4F"/>
    <w:rsid w:val="00005B15"/>
    <w:rsid w:val="000125BE"/>
    <w:rsid w:val="00014404"/>
    <w:rsid w:val="00022007"/>
    <w:rsid w:val="00032316"/>
    <w:rsid w:val="000425D3"/>
    <w:rsid w:val="00053E9A"/>
    <w:rsid w:val="00055185"/>
    <w:rsid w:val="00076883"/>
    <w:rsid w:val="00086336"/>
    <w:rsid w:val="00097AB1"/>
    <w:rsid w:val="000A1B86"/>
    <w:rsid w:val="000B02A3"/>
    <w:rsid w:val="000B23EE"/>
    <w:rsid w:val="000B6BED"/>
    <w:rsid w:val="000C7C0A"/>
    <w:rsid w:val="000D0184"/>
    <w:rsid w:val="000E13EB"/>
    <w:rsid w:val="000E29BC"/>
    <w:rsid w:val="000E373D"/>
    <w:rsid w:val="001025A3"/>
    <w:rsid w:val="001043A9"/>
    <w:rsid w:val="00105CAA"/>
    <w:rsid w:val="00111526"/>
    <w:rsid w:val="00112220"/>
    <w:rsid w:val="001270DB"/>
    <w:rsid w:val="00136494"/>
    <w:rsid w:val="00147287"/>
    <w:rsid w:val="00153C98"/>
    <w:rsid w:val="00155B3C"/>
    <w:rsid w:val="0016712E"/>
    <w:rsid w:val="00170FF7"/>
    <w:rsid w:val="00172AF3"/>
    <w:rsid w:val="001761EC"/>
    <w:rsid w:val="001818DA"/>
    <w:rsid w:val="00181AE2"/>
    <w:rsid w:val="0019163B"/>
    <w:rsid w:val="001970D1"/>
    <w:rsid w:val="001C1134"/>
    <w:rsid w:val="001C468C"/>
    <w:rsid w:val="001D45DB"/>
    <w:rsid w:val="001E1357"/>
    <w:rsid w:val="001E24CF"/>
    <w:rsid w:val="001E3EEB"/>
    <w:rsid w:val="001F21E2"/>
    <w:rsid w:val="001F3AA7"/>
    <w:rsid w:val="001F4381"/>
    <w:rsid w:val="001F5113"/>
    <w:rsid w:val="001F7213"/>
    <w:rsid w:val="00200471"/>
    <w:rsid w:val="00201F31"/>
    <w:rsid w:val="00212282"/>
    <w:rsid w:val="00215B89"/>
    <w:rsid w:val="00216F4B"/>
    <w:rsid w:val="00243B48"/>
    <w:rsid w:val="00256CC7"/>
    <w:rsid w:val="00260543"/>
    <w:rsid w:val="00272B85"/>
    <w:rsid w:val="00282CE7"/>
    <w:rsid w:val="00287B1C"/>
    <w:rsid w:val="002A0032"/>
    <w:rsid w:val="002A2AF1"/>
    <w:rsid w:val="002A6CDB"/>
    <w:rsid w:val="002B2D3A"/>
    <w:rsid w:val="002B4308"/>
    <w:rsid w:val="002C058C"/>
    <w:rsid w:val="002D54B2"/>
    <w:rsid w:val="002D55C0"/>
    <w:rsid w:val="002D7D21"/>
    <w:rsid w:val="002E1DEA"/>
    <w:rsid w:val="002E357B"/>
    <w:rsid w:val="002F079A"/>
    <w:rsid w:val="00306067"/>
    <w:rsid w:val="003233D8"/>
    <w:rsid w:val="00325CB7"/>
    <w:rsid w:val="003320A0"/>
    <w:rsid w:val="00332605"/>
    <w:rsid w:val="00341BF1"/>
    <w:rsid w:val="0034400B"/>
    <w:rsid w:val="00346105"/>
    <w:rsid w:val="00347778"/>
    <w:rsid w:val="0035357E"/>
    <w:rsid w:val="00364795"/>
    <w:rsid w:val="00364D01"/>
    <w:rsid w:val="0037061E"/>
    <w:rsid w:val="00372E2A"/>
    <w:rsid w:val="00380DE6"/>
    <w:rsid w:val="0039208B"/>
    <w:rsid w:val="00396AAD"/>
    <w:rsid w:val="003A103C"/>
    <w:rsid w:val="003A6A77"/>
    <w:rsid w:val="003A6EE1"/>
    <w:rsid w:val="003A7487"/>
    <w:rsid w:val="003C6F72"/>
    <w:rsid w:val="003C6FAB"/>
    <w:rsid w:val="003C7A32"/>
    <w:rsid w:val="003D2315"/>
    <w:rsid w:val="003D51D0"/>
    <w:rsid w:val="003D52FA"/>
    <w:rsid w:val="003E051C"/>
    <w:rsid w:val="003E6C83"/>
    <w:rsid w:val="003E7647"/>
    <w:rsid w:val="003E7E44"/>
    <w:rsid w:val="003F1068"/>
    <w:rsid w:val="00404981"/>
    <w:rsid w:val="00412D25"/>
    <w:rsid w:val="004133BC"/>
    <w:rsid w:val="004318D9"/>
    <w:rsid w:val="00441698"/>
    <w:rsid w:val="0044216A"/>
    <w:rsid w:val="00445AC6"/>
    <w:rsid w:val="004517E3"/>
    <w:rsid w:val="0046439E"/>
    <w:rsid w:val="00471E16"/>
    <w:rsid w:val="0048170E"/>
    <w:rsid w:val="00482250"/>
    <w:rsid w:val="00485508"/>
    <w:rsid w:val="004863DE"/>
    <w:rsid w:val="004919C6"/>
    <w:rsid w:val="004947BD"/>
    <w:rsid w:val="00495CB9"/>
    <w:rsid w:val="004A2C2F"/>
    <w:rsid w:val="004A4141"/>
    <w:rsid w:val="004B1A8F"/>
    <w:rsid w:val="004B2046"/>
    <w:rsid w:val="004B4BD9"/>
    <w:rsid w:val="004B6C15"/>
    <w:rsid w:val="004B76C1"/>
    <w:rsid w:val="004C2FA5"/>
    <w:rsid w:val="004C7201"/>
    <w:rsid w:val="004D6E95"/>
    <w:rsid w:val="004E59EC"/>
    <w:rsid w:val="005061C3"/>
    <w:rsid w:val="00507F5D"/>
    <w:rsid w:val="00514B37"/>
    <w:rsid w:val="00522DC9"/>
    <w:rsid w:val="0053107C"/>
    <w:rsid w:val="005468CE"/>
    <w:rsid w:val="00552C89"/>
    <w:rsid w:val="005533C7"/>
    <w:rsid w:val="00554888"/>
    <w:rsid w:val="00565ABC"/>
    <w:rsid w:val="00570589"/>
    <w:rsid w:val="0057588B"/>
    <w:rsid w:val="0058258F"/>
    <w:rsid w:val="00584207"/>
    <w:rsid w:val="00584227"/>
    <w:rsid w:val="00586A15"/>
    <w:rsid w:val="00591463"/>
    <w:rsid w:val="00596BD2"/>
    <w:rsid w:val="005A192F"/>
    <w:rsid w:val="005B1FDF"/>
    <w:rsid w:val="005C449E"/>
    <w:rsid w:val="005E4A0E"/>
    <w:rsid w:val="005E5A1A"/>
    <w:rsid w:val="005E77BE"/>
    <w:rsid w:val="005F2B92"/>
    <w:rsid w:val="005F4D57"/>
    <w:rsid w:val="0060147E"/>
    <w:rsid w:val="006109F0"/>
    <w:rsid w:val="00612688"/>
    <w:rsid w:val="00614AE3"/>
    <w:rsid w:val="00620AFF"/>
    <w:rsid w:val="0062113C"/>
    <w:rsid w:val="0063357E"/>
    <w:rsid w:val="00636715"/>
    <w:rsid w:val="00652507"/>
    <w:rsid w:val="00670CEC"/>
    <w:rsid w:val="00676D80"/>
    <w:rsid w:val="00682152"/>
    <w:rsid w:val="0068404F"/>
    <w:rsid w:val="006978BF"/>
    <w:rsid w:val="006A0CF6"/>
    <w:rsid w:val="006A1E90"/>
    <w:rsid w:val="006A2314"/>
    <w:rsid w:val="006C0044"/>
    <w:rsid w:val="006D0DB2"/>
    <w:rsid w:val="006D1887"/>
    <w:rsid w:val="006D5981"/>
    <w:rsid w:val="006E3626"/>
    <w:rsid w:val="006E4B8D"/>
    <w:rsid w:val="006F35E7"/>
    <w:rsid w:val="006F4F64"/>
    <w:rsid w:val="006F599C"/>
    <w:rsid w:val="00703FC0"/>
    <w:rsid w:val="007136F7"/>
    <w:rsid w:val="00717F32"/>
    <w:rsid w:val="007267B5"/>
    <w:rsid w:val="0072779F"/>
    <w:rsid w:val="007329F1"/>
    <w:rsid w:val="00733068"/>
    <w:rsid w:val="00735191"/>
    <w:rsid w:val="007456D8"/>
    <w:rsid w:val="007637F9"/>
    <w:rsid w:val="00770FA9"/>
    <w:rsid w:val="0077543E"/>
    <w:rsid w:val="00796275"/>
    <w:rsid w:val="007A2A03"/>
    <w:rsid w:val="007A3EDF"/>
    <w:rsid w:val="007A5F8C"/>
    <w:rsid w:val="007B0C3E"/>
    <w:rsid w:val="007B425A"/>
    <w:rsid w:val="007B5B2D"/>
    <w:rsid w:val="007B6EBB"/>
    <w:rsid w:val="007C55CA"/>
    <w:rsid w:val="007C5E13"/>
    <w:rsid w:val="007D2D0F"/>
    <w:rsid w:val="007D3025"/>
    <w:rsid w:val="007D4349"/>
    <w:rsid w:val="007D4CFD"/>
    <w:rsid w:val="007E2506"/>
    <w:rsid w:val="007E7DBB"/>
    <w:rsid w:val="007F2B87"/>
    <w:rsid w:val="007F6CEF"/>
    <w:rsid w:val="00806FC2"/>
    <w:rsid w:val="008149D4"/>
    <w:rsid w:val="00816884"/>
    <w:rsid w:val="008219C9"/>
    <w:rsid w:val="00823D59"/>
    <w:rsid w:val="008269FE"/>
    <w:rsid w:val="00827A95"/>
    <w:rsid w:val="00830A73"/>
    <w:rsid w:val="00830D23"/>
    <w:rsid w:val="00835B74"/>
    <w:rsid w:val="0084271B"/>
    <w:rsid w:val="00865FC8"/>
    <w:rsid w:val="00883F58"/>
    <w:rsid w:val="0088462C"/>
    <w:rsid w:val="008859D9"/>
    <w:rsid w:val="00890410"/>
    <w:rsid w:val="008919A3"/>
    <w:rsid w:val="00895505"/>
    <w:rsid w:val="008956CB"/>
    <w:rsid w:val="00896CA8"/>
    <w:rsid w:val="008A026D"/>
    <w:rsid w:val="008C5C45"/>
    <w:rsid w:val="008D5B82"/>
    <w:rsid w:val="008D75AE"/>
    <w:rsid w:val="008E08D3"/>
    <w:rsid w:val="008E08F8"/>
    <w:rsid w:val="008E7B56"/>
    <w:rsid w:val="008E7D4C"/>
    <w:rsid w:val="008F0ED3"/>
    <w:rsid w:val="008F1C55"/>
    <w:rsid w:val="008F2F46"/>
    <w:rsid w:val="00900933"/>
    <w:rsid w:val="009015B3"/>
    <w:rsid w:val="0090650D"/>
    <w:rsid w:val="00907905"/>
    <w:rsid w:val="0092361A"/>
    <w:rsid w:val="00930641"/>
    <w:rsid w:val="00930A10"/>
    <w:rsid w:val="00934991"/>
    <w:rsid w:val="00950A79"/>
    <w:rsid w:val="00950E75"/>
    <w:rsid w:val="00956450"/>
    <w:rsid w:val="00957213"/>
    <w:rsid w:val="009600BF"/>
    <w:rsid w:val="0096518F"/>
    <w:rsid w:val="00970180"/>
    <w:rsid w:val="00970930"/>
    <w:rsid w:val="00972BDA"/>
    <w:rsid w:val="009758ED"/>
    <w:rsid w:val="00984419"/>
    <w:rsid w:val="009A75D3"/>
    <w:rsid w:val="009B19FC"/>
    <w:rsid w:val="009C03A9"/>
    <w:rsid w:val="009D680D"/>
    <w:rsid w:val="009E0516"/>
    <w:rsid w:val="009E23A1"/>
    <w:rsid w:val="009E319B"/>
    <w:rsid w:val="009E31C9"/>
    <w:rsid w:val="009E3956"/>
    <w:rsid w:val="009E698A"/>
    <w:rsid w:val="00A0104D"/>
    <w:rsid w:val="00A04B33"/>
    <w:rsid w:val="00A12E20"/>
    <w:rsid w:val="00A24EC3"/>
    <w:rsid w:val="00A51996"/>
    <w:rsid w:val="00A52A2C"/>
    <w:rsid w:val="00A52E48"/>
    <w:rsid w:val="00A672FE"/>
    <w:rsid w:val="00A70082"/>
    <w:rsid w:val="00A81DE0"/>
    <w:rsid w:val="00A912C1"/>
    <w:rsid w:val="00A953C3"/>
    <w:rsid w:val="00A97BD7"/>
    <w:rsid w:val="00AA66BC"/>
    <w:rsid w:val="00AA7AB5"/>
    <w:rsid w:val="00AB44BC"/>
    <w:rsid w:val="00AB686A"/>
    <w:rsid w:val="00AC291A"/>
    <w:rsid w:val="00AC54C0"/>
    <w:rsid w:val="00AE4E6F"/>
    <w:rsid w:val="00AE4E94"/>
    <w:rsid w:val="00AF162C"/>
    <w:rsid w:val="00AF3906"/>
    <w:rsid w:val="00B046F9"/>
    <w:rsid w:val="00B12316"/>
    <w:rsid w:val="00B12EF6"/>
    <w:rsid w:val="00B21D89"/>
    <w:rsid w:val="00B2240E"/>
    <w:rsid w:val="00B23AA6"/>
    <w:rsid w:val="00B26155"/>
    <w:rsid w:val="00B30B66"/>
    <w:rsid w:val="00B47D5C"/>
    <w:rsid w:val="00B53678"/>
    <w:rsid w:val="00B57902"/>
    <w:rsid w:val="00B64259"/>
    <w:rsid w:val="00B65357"/>
    <w:rsid w:val="00B678CE"/>
    <w:rsid w:val="00B67E85"/>
    <w:rsid w:val="00B85BB8"/>
    <w:rsid w:val="00B9411F"/>
    <w:rsid w:val="00B969BB"/>
    <w:rsid w:val="00BA0226"/>
    <w:rsid w:val="00BA160A"/>
    <w:rsid w:val="00BA199A"/>
    <w:rsid w:val="00BA3D87"/>
    <w:rsid w:val="00BA40B1"/>
    <w:rsid w:val="00BA5732"/>
    <w:rsid w:val="00BB1574"/>
    <w:rsid w:val="00BD26AA"/>
    <w:rsid w:val="00BD340B"/>
    <w:rsid w:val="00BD578B"/>
    <w:rsid w:val="00BE0525"/>
    <w:rsid w:val="00BF2D90"/>
    <w:rsid w:val="00BF45CC"/>
    <w:rsid w:val="00C0221E"/>
    <w:rsid w:val="00C06D69"/>
    <w:rsid w:val="00C104FD"/>
    <w:rsid w:val="00C14931"/>
    <w:rsid w:val="00C33CDD"/>
    <w:rsid w:val="00C36A4E"/>
    <w:rsid w:val="00C3700E"/>
    <w:rsid w:val="00C42E68"/>
    <w:rsid w:val="00C45382"/>
    <w:rsid w:val="00C5452D"/>
    <w:rsid w:val="00C57791"/>
    <w:rsid w:val="00C63AA5"/>
    <w:rsid w:val="00C63E05"/>
    <w:rsid w:val="00C667A4"/>
    <w:rsid w:val="00C711DC"/>
    <w:rsid w:val="00C7387A"/>
    <w:rsid w:val="00C8636D"/>
    <w:rsid w:val="00C91FB8"/>
    <w:rsid w:val="00CA5D62"/>
    <w:rsid w:val="00CB3EEC"/>
    <w:rsid w:val="00CC3E1B"/>
    <w:rsid w:val="00CC3F94"/>
    <w:rsid w:val="00CD192E"/>
    <w:rsid w:val="00CD6BBC"/>
    <w:rsid w:val="00CE23C5"/>
    <w:rsid w:val="00CE6F0F"/>
    <w:rsid w:val="00CF3B49"/>
    <w:rsid w:val="00CF675B"/>
    <w:rsid w:val="00CF799A"/>
    <w:rsid w:val="00D16844"/>
    <w:rsid w:val="00D243AC"/>
    <w:rsid w:val="00D279F6"/>
    <w:rsid w:val="00D328AE"/>
    <w:rsid w:val="00D37127"/>
    <w:rsid w:val="00D371DB"/>
    <w:rsid w:val="00D57CFB"/>
    <w:rsid w:val="00D63EF5"/>
    <w:rsid w:val="00D6498F"/>
    <w:rsid w:val="00D70C56"/>
    <w:rsid w:val="00D73B40"/>
    <w:rsid w:val="00D75D13"/>
    <w:rsid w:val="00D76012"/>
    <w:rsid w:val="00D81550"/>
    <w:rsid w:val="00D841E0"/>
    <w:rsid w:val="00D954E6"/>
    <w:rsid w:val="00DA1985"/>
    <w:rsid w:val="00DB27F0"/>
    <w:rsid w:val="00DB5F30"/>
    <w:rsid w:val="00DE0125"/>
    <w:rsid w:val="00DE0DDB"/>
    <w:rsid w:val="00DF1653"/>
    <w:rsid w:val="00DF467E"/>
    <w:rsid w:val="00DF529B"/>
    <w:rsid w:val="00E14095"/>
    <w:rsid w:val="00E1537A"/>
    <w:rsid w:val="00E155B5"/>
    <w:rsid w:val="00E20BEC"/>
    <w:rsid w:val="00E213FD"/>
    <w:rsid w:val="00E23666"/>
    <w:rsid w:val="00E308F9"/>
    <w:rsid w:val="00E4296B"/>
    <w:rsid w:val="00E43DB8"/>
    <w:rsid w:val="00E509FF"/>
    <w:rsid w:val="00E5339C"/>
    <w:rsid w:val="00E61473"/>
    <w:rsid w:val="00E83827"/>
    <w:rsid w:val="00E84A71"/>
    <w:rsid w:val="00E85344"/>
    <w:rsid w:val="00E87A65"/>
    <w:rsid w:val="00E95E3A"/>
    <w:rsid w:val="00EA4AD7"/>
    <w:rsid w:val="00EA77AD"/>
    <w:rsid w:val="00EC06C1"/>
    <w:rsid w:val="00EC3324"/>
    <w:rsid w:val="00ED2F9B"/>
    <w:rsid w:val="00ED6158"/>
    <w:rsid w:val="00ED7D88"/>
    <w:rsid w:val="00EE0021"/>
    <w:rsid w:val="00EE3D5D"/>
    <w:rsid w:val="00EE4496"/>
    <w:rsid w:val="00EE6D24"/>
    <w:rsid w:val="00EE784F"/>
    <w:rsid w:val="00EF670A"/>
    <w:rsid w:val="00F0137E"/>
    <w:rsid w:val="00F04626"/>
    <w:rsid w:val="00F07329"/>
    <w:rsid w:val="00F20C0C"/>
    <w:rsid w:val="00F21156"/>
    <w:rsid w:val="00F315F8"/>
    <w:rsid w:val="00F362FA"/>
    <w:rsid w:val="00F416D9"/>
    <w:rsid w:val="00F45862"/>
    <w:rsid w:val="00F60D29"/>
    <w:rsid w:val="00F72F5D"/>
    <w:rsid w:val="00F759E3"/>
    <w:rsid w:val="00F76232"/>
    <w:rsid w:val="00F812D7"/>
    <w:rsid w:val="00F95136"/>
    <w:rsid w:val="00F963FB"/>
    <w:rsid w:val="00FB032B"/>
    <w:rsid w:val="00FB0CF3"/>
    <w:rsid w:val="00FB20CF"/>
    <w:rsid w:val="00FB2CAE"/>
    <w:rsid w:val="00FB7F15"/>
    <w:rsid w:val="00FC70A1"/>
    <w:rsid w:val="00FD34F2"/>
    <w:rsid w:val="00FD5E82"/>
    <w:rsid w:val="00FD6E8D"/>
    <w:rsid w:val="00FE1C70"/>
    <w:rsid w:val="00FF3347"/>
    <w:rsid w:val="00FF57D2"/>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B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240E"/>
    <w:pPr>
      <w:suppressAutoHyphens/>
    </w:pPr>
    <w:rPr>
      <w:lang w:val="en-US" w:eastAsia="en-US"/>
    </w:rPr>
  </w:style>
  <w:style w:type="paragraph" w:styleId="Heading1">
    <w:name w:val="heading 1"/>
    <w:basedOn w:val="Normal"/>
    <w:next w:val="Normal"/>
    <w:qFormat/>
    <w:rsid w:val="00A12E20"/>
    <w:pPr>
      <w:keepNext/>
      <w:spacing w:line="360" w:lineRule="auto"/>
      <w:jc w:val="center"/>
      <w:outlineLvl w:val="0"/>
    </w:pPr>
    <w:rPr>
      <w:b/>
      <w:sz w:val="28"/>
    </w:rPr>
  </w:style>
  <w:style w:type="paragraph" w:styleId="Heading2">
    <w:name w:val="heading 2"/>
    <w:basedOn w:val="Normal"/>
    <w:next w:val="Normal"/>
    <w:link w:val="Heading2Char"/>
    <w:qFormat/>
    <w:rsid w:val="00A12E20"/>
    <w:pPr>
      <w:keepNext/>
      <w:jc w:val="center"/>
      <w:outlineLvl w:val="1"/>
    </w:pPr>
    <w:rPr>
      <w:b/>
      <w:sz w:val="24"/>
      <w:u w:val="single"/>
    </w:rPr>
  </w:style>
  <w:style w:type="paragraph" w:styleId="Heading3">
    <w:name w:val="heading 3"/>
    <w:basedOn w:val="Normal"/>
    <w:next w:val="Normal"/>
    <w:qFormat/>
    <w:rsid w:val="00A12E20"/>
    <w:pPr>
      <w:keepNext/>
      <w:outlineLvl w:val="2"/>
    </w:pPr>
    <w:rPr>
      <w:b/>
    </w:rPr>
  </w:style>
  <w:style w:type="paragraph" w:styleId="Heading4">
    <w:name w:val="heading 4"/>
    <w:basedOn w:val="Normal"/>
    <w:next w:val="Normal"/>
    <w:pPr>
      <w:keepNext/>
      <w:jc w:val="center"/>
      <w:outlineLvl w:val="3"/>
    </w:pPr>
    <w:rPr>
      <w:b/>
      <w:sz w:val="36"/>
    </w:rPr>
  </w:style>
  <w:style w:type="paragraph" w:styleId="Heading5">
    <w:name w:val="heading 5"/>
    <w:basedOn w:val="Normal"/>
    <w:next w:val="Normal"/>
    <w:pPr>
      <w:keepNext/>
      <w:outlineLvl w:val="4"/>
    </w:pPr>
    <w:rPr>
      <w:b/>
      <w:sz w:val="40"/>
    </w:rPr>
  </w:style>
  <w:style w:type="paragraph" w:styleId="Heading6">
    <w:name w:val="heading 6"/>
    <w:basedOn w:val="Normal"/>
    <w:next w:val="Normal"/>
    <w:pPr>
      <w:keepNext/>
      <w:ind w:left="426"/>
      <w:jc w:val="center"/>
      <w:outlineLvl w:val="5"/>
    </w:pPr>
    <w:rPr>
      <w:b/>
      <w:sz w:val="26"/>
    </w:rPr>
  </w:style>
  <w:style w:type="paragraph" w:styleId="Heading7">
    <w:name w:val="heading 7"/>
    <w:basedOn w:val="Normal"/>
    <w:next w:val="Normal"/>
    <w:pPr>
      <w:keepNext/>
      <w:ind w:left="708"/>
      <w:outlineLvl w:val="6"/>
    </w:pPr>
    <w:rPr>
      <w:b/>
    </w:rPr>
  </w:style>
  <w:style w:type="paragraph" w:styleId="Heading8">
    <w:name w:val="heading 8"/>
    <w:basedOn w:val="Normal"/>
    <w:next w:val="Normal"/>
    <w:pPr>
      <w:keepNext/>
      <w:outlineLvl w:val="7"/>
    </w:pPr>
    <w:rPr>
      <w:b/>
      <w:sz w:val="28"/>
      <w:u w:val="single"/>
    </w:rPr>
  </w:style>
  <w:style w:type="paragraph" w:styleId="Heading9">
    <w:name w:val="heading 9"/>
    <w:basedOn w:val="Normal"/>
    <w:next w:val="Normal"/>
    <w:pPr>
      <w:keepNext/>
      <w:outlineLvl w:val="8"/>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5"/>
    </w:pPr>
  </w:style>
  <w:style w:type="paragraph" w:styleId="BodyTextIndent2">
    <w:name w:val="Body Text Indent 2"/>
    <w:basedOn w:val="Normal"/>
    <w:pPr>
      <w:ind w:left="2127" w:hanging="3"/>
    </w:pPr>
  </w:style>
  <w:style w:type="paragraph" w:styleId="BodyTextIndent3">
    <w:name w:val="Body Text Indent 3"/>
    <w:basedOn w:val="Normal"/>
    <w:pPr>
      <w:ind w:left="708"/>
    </w:pPr>
  </w:style>
  <w:style w:type="character" w:styleId="Hyperlink">
    <w:name w:val="Hyperlink"/>
    <w:rPr>
      <w:color w:val="0000FF"/>
      <w:u w:val="single"/>
    </w:rPr>
  </w:style>
  <w:style w:type="paragraph" w:customStyle="1" w:styleId="Blockquote">
    <w:name w:val="Blockquote"/>
    <w:basedOn w:val="Normal"/>
    <w:pPr>
      <w:spacing w:before="100" w:after="100"/>
      <w:ind w:left="360" w:right="360"/>
    </w:pPr>
    <w:rPr>
      <w:snapToGrid w:val="0"/>
      <w:sz w:val="24"/>
    </w:rPr>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
    <w:name w:val="Body Text"/>
    <w:basedOn w:val="Normal"/>
    <w:rPr>
      <w:b/>
      <w:u w:val="single"/>
    </w:rPr>
  </w:style>
  <w:style w:type="paragraph" w:styleId="BodyText2">
    <w:name w:val="Body Text 2"/>
    <w:basedOn w:val="Normal"/>
    <w:rPr>
      <w:sz w:val="24"/>
    </w:rPr>
  </w:style>
  <w:style w:type="paragraph" w:styleId="BodyText3">
    <w:name w:val="Body Text 3"/>
    <w:basedOn w:val="Normal"/>
    <w:rPr>
      <w:b/>
      <w:sz w:val="26"/>
    </w:rPr>
  </w:style>
  <w:style w:type="paragraph" w:styleId="NormalWeb">
    <w:name w:val="Normal (Web)"/>
    <w:basedOn w:val="Normal"/>
    <w:pPr>
      <w:spacing w:before="100" w:beforeAutospacing="1" w:after="100" w:afterAutospacing="1"/>
    </w:pPr>
    <w:rPr>
      <w:sz w:val="24"/>
      <w:szCs w:val="24"/>
    </w:rPr>
  </w:style>
  <w:style w:type="paragraph" w:styleId="Title">
    <w:name w:val="Title"/>
    <w:basedOn w:val="Normal"/>
    <w:link w:val="TitleChar"/>
    <w:qFormat/>
    <w:pPr>
      <w:jc w:val="center"/>
    </w:pPr>
    <w:rPr>
      <w:b/>
    </w:rPr>
  </w:style>
  <w:style w:type="paragraph" w:styleId="BalloonText">
    <w:name w:val="Balloon Text"/>
    <w:basedOn w:val="Normal"/>
    <w:semiHidden/>
    <w:rsid w:val="00865FC8"/>
    <w:rPr>
      <w:rFonts w:ascii="Tahoma" w:hAnsi="Tahoma" w:cs="Tahoma"/>
      <w:sz w:val="16"/>
      <w:szCs w:val="16"/>
    </w:rPr>
  </w:style>
  <w:style w:type="character" w:styleId="CommentReference">
    <w:name w:val="annotation reference"/>
    <w:semiHidden/>
    <w:rsid w:val="00347778"/>
    <w:rPr>
      <w:sz w:val="16"/>
      <w:szCs w:val="16"/>
    </w:rPr>
  </w:style>
  <w:style w:type="paragraph" w:styleId="CommentText">
    <w:name w:val="annotation text"/>
    <w:basedOn w:val="Normal"/>
    <w:semiHidden/>
    <w:rsid w:val="00347778"/>
  </w:style>
  <w:style w:type="paragraph" w:styleId="CommentSubject">
    <w:name w:val="annotation subject"/>
    <w:basedOn w:val="CommentText"/>
    <w:next w:val="CommentText"/>
    <w:semiHidden/>
    <w:rsid w:val="00347778"/>
    <w:rPr>
      <w:b/>
      <w:bCs/>
    </w:rPr>
  </w:style>
  <w:style w:type="paragraph" w:customStyle="1" w:styleId="Standard">
    <w:name w:val="Standard"/>
    <w:rsid w:val="00C711DC"/>
    <w:pPr>
      <w:suppressAutoHyphens/>
      <w:autoSpaceDN w:val="0"/>
      <w:textAlignment w:val="baseline"/>
    </w:pPr>
    <w:rPr>
      <w:kern w:val="3"/>
      <w:sz w:val="24"/>
      <w:szCs w:val="24"/>
      <w:lang w:eastAsia="ar-SA"/>
    </w:rPr>
  </w:style>
  <w:style w:type="character" w:customStyle="1" w:styleId="HeaderChar">
    <w:name w:val="Header Char"/>
    <w:link w:val="Header"/>
    <w:locked/>
    <w:rsid w:val="00B9411F"/>
    <w:rPr>
      <w:rFonts w:ascii="Arial Narrow" w:hAnsi="Arial Narrow"/>
      <w:sz w:val="22"/>
      <w:lang w:val="cs-CZ" w:eastAsia="cs-CZ"/>
    </w:rPr>
  </w:style>
  <w:style w:type="paragraph" w:styleId="ListParagraph">
    <w:name w:val="List Paragraph"/>
    <w:basedOn w:val="Normal"/>
    <w:uiPriority w:val="99"/>
    <w:qFormat/>
    <w:rsid w:val="00B9411F"/>
    <w:pPr>
      <w:tabs>
        <w:tab w:val="left" w:pos="340"/>
      </w:tabs>
      <w:spacing w:before="280"/>
      <w:ind w:left="720" w:firstLine="340"/>
    </w:pPr>
    <w:rPr>
      <w:sz w:val="24"/>
      <w:szCs w:val="24"/>
    </w:rPr>
  </w:style>
  <w:style w:type="paragraph" w:styleId="NoSpacing">
    <w:name w:val="No Spacing"/>
    <w:uiPriority w:val="1"/>
    <w:qFormat/>
    <w:rsid w:val="00445AC6"/>
    <w:rPr>
      <w:rFonts w:ascii="Calibri" w:eastAsia="Calibri" w:hAnsi="Calibri"/>
      <w:sz w:val="22"/>
      <w:szCs w:val="22"/>
      <w:lang w:eastAsia="en-US"/>
    </w:rPr>
  </w:style>
  <w:style w:type="character" w:customStyle="1" w:styleId="Heading2Char">
    <w:name w:val="Heading 2 Char"/>
    <w:link w:val="Heading2"/>
    <w:rsid w:val="00A12E20"/>
    <w:rPr>
      <w:b/>
      <w:sz w:val="24"/>
      <w:u w:val="single"/>
    </w:rPr>
  </w:style>
  <w:style w:type="character" w:customStyle="1" w:styleId="TitleChar">
    <w:name w:val="Title Char"/>
    <w:link w:val="Title"/>
    <w:rsid w:val="00F21156"/>
    <w:rPr>
      <w:rFonts w:ascii="Arial Narrow" w:hAnsi="Arial Narrow"/>
      <w:b/>
      <w:sz w:val="22"/>
    </w:rPr>
  </w:style>
  <w:style w:type="character" w:styleId="Strong">
    <w:name w:val="Strong"/>
    <w:uiPriority w:val="22"/>
    <w:qFormat/>
    <w:rsid w:val="003A7487"/>
    <w:rPr>
      <w:b/>
      <w:bCs/>
      <w:color w:val="333333"/>
    </w:rPr>
  </w:style>
  <w:style w:type="paragraph" w:customStyle="1" w:styleId="Odrky">
    <w:name w:val="Odrážky"/>
    <w:basedOn w:val="Normal"/>
    <w:link w:val="OdrkyChar"/>
    <w:qFormat/>
    <w:rsid w:val="00A12E20"/>
    <w:pPr>
      <w:numPr>
        <w:numId w:val="23"/>
      </w:numPr>
      <w:jc w:val="both"/>
    </w:pPr>
    <w:rPr>
      <w:szCs w:val="22"/>
    </w:rPr>
  </w:style>
  <w:style w:type="paragraph" w:customStyle="1" w:styleId="Nadpisnabdky">
    <w:name w:val="Nadpis nabídky"/>
    <w:basedOn w:val="Heading2"/>
    <w:link w:val="NadpisnabdkyChar"/>
    <w:qFormat/>
    <w:rsid w:val="000B6BED"/>
    <w:rPr>
      <w:sz w:val="22"/>
      <w:szCs w:val="22"/>
    </w:rPr>
  </w:style>
  <w:style w:type="character" w:customStyle="1" w:styleId="OdrkyChar">
    <w:name w:val="Odrážky Char"/>
    <w:basedOn w:val="DefaultParagraphFont"/>
    <w:link w:val="Odrky"/>
    <w:rsid w:val="00A12E20"/>
    <w:rPr>
      <w:sz w:val="22"/>
      <w:szCs w:val="22"/>
    </w:rPr>
  </w:style>
  <w:style w:type="paragraph" w:customStyle="1" w:styleId="Odrkysel">
    <w:name w:val="Odrážky čísel"/>
    <w:basedOn w:val="Normal"/>
    <w:link w:val="OdrkyselChar"/>
    <w:qFormat/>
    <w:rsid w:val="000B6BED"/>
    <w:pPr>
      <w:numPr>
        <w:numId w:val="24"/>
      </w:numPr>
    </w:pPr>
  </w:style>
  <w:style w:type="character" w:customStyle="1" w:styleId="NadpisnabdkyChar">
    <w:name w:val="Nadpis nabídky Char"/>
    <w:basedOn w:val="Heading2Char"/>
    <w:link w:val="Nadpisnabdky"/>
    <w:rsid w:val="000B6BED"/>
    <w:rPr>
      <w:b/>
      <w:sz w:val="22"/>
      <w:szCs w:val="22"/>
      <w:u w:val="single"/>
    </w:rPr>
  </w:style>
  <w:style w:type="paragraph" w:customStyle="1" w:styleId="tabulka">
    <w:name w:val="tabulka"/>
    <w:basedOn w:val="Normal"/>
    <w:link w:val="tabulkaChar"/>
    <w:qFormat/>
    <w:rsid w:val="000B6BED"/>
    <w:pPr>
      <w:spacing w:line="276" w:lineRule="auto"/>
      <w:jc w:val="center"/>
    </w:pPr>
    <w:rPr>
      <w:b/>
      <w:bCs/>
      <w:sz w:val="16"/>
      <w:szCs w:val="16"/>
    </w:rPr>
  </w:style>
  <w:style w:type="character" w:customStyle="1" w:styleId="OdrkyselChar">
    <w:name w:val="Odrážky čísel Char"/>
    <w:basedOn w:val="DefaultParagraphFont"/>
    <w:link w:val="Odrkysel"/>
    <w:rsid w:val="000B6BED"/>
    <w:rPr>
      <w:sz w:val="22"/>
    </w:rPr>
  </w:style>
  <w:style w:type="character" w:customStyle="1" w:styleId="tabulkaChar">
    <w:name w:val="tabulka Char"/>
    <w:basedOn w:val="DefaultParagraphFont"/>
    <w:link w:val="tabulka"/>
    <w:rsid w:val="000B6BED"/>
    <w:rPr>
      <w:b/>
      <w:bCs/>
      <w:sz w:val="16"/>
      <w:szCs w:val="16"/>
    </w:rPr>
  </w:style>
  <w:style w:type="paragraph" w:styleId="Subtitle">
    <w:name w:val="Subtitle"/>
    <w:basedOn w:val="Normal"/>
    <w:next w:val="Normal"/>
    <w:link w:val="SubtitleChar"/>
    <w:qFormat/>
    <w:rsid w:val="007B0C3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7B0C3E"/>
    <w:rPr>
      <w:rFonts w:eastAsiaTheme="majorEastAsia" w:cstheme="majorBidi"/>
      <w:i/>
      <w:iCs/>
      <w:color w:val="4F81BD" w:themeColor="accent1"/>
      <w:spacing w:val="15"/>
      <w:sz w:val="24"/>
      <w:szCs w:val="24"/>
    </w:rPr>
  </w:style>
  <w:style w:type="character" w:styleId="Emphasis">
    <w:name w:val="Emphasis"/>
    <w:basedOn w:val="DefaultParagraphFont"/>
    <w:qFormat/>
    <w:rsid w:val="007B0C3E"/>
    <w:rPr>
      <w:rFonts w:ascii="Times New Roman" w:hAnsi="Times New Roman"/>
      <w:i/>
      <w:iCs/>
    </w:rPr>
  </w:style>
  <w:style w:type="paragraph" w:customStyle="1" w:styleId="Odrazka2">
    <w:name w:val="Odrazka 2"/>
    <w:basedOn w:val="Normal"/>
    <w:rsid w:val="00B2240E"/>
    <w:pPr>
      <w:tabs>
        <w:tab w:val="left" w:pos="0"/>
        <w:tab w:val="num" w:pos="360"/>
      </w:tabs>
      <w:spacing w:before="120" w:line="276" w:lineRule="auto"/>
      <w:ind w:left="284" w:hanging="1134"/>
    </w:pPr>
    <w:rPr>
      <w:rFonts w:cs="Calibri"/>
    </w:rPr>
  </w:style>
  <w:style w:type="paragraph" w:customStyle="1" w:styleId="NormalniBold">
    <w:name w:val="Normalni_Bold"/>
    <w:basedOn w:val="Normal"/>
    <w:rsid w:val="00B2240E"/>
    <w:rPr>
      <w:b/>
    </w:rPr>
  </w:style>
  <w:style w:type="paragraph" w:customStyle="1" w:styleId="Fig">
    <w:name w:val="Fig"/>
    <w:basedOn w:val="Caption"/>
    <w:rsid w:val="00B2240E"/>
    <w:pPr>
      <w:suppressLineNumbers/>
      <w:spacing w:before="120" w:after="120"/>
    </w:pPr>
    <w:rPr>
      <w:b w:val="0"/>
      <w:bCs w:val="0"/>
      <w:color w:val="auto"/>
      <w:sz w:val="20"/>
      <w:szCs w:val="20"/>
    </w:rPr>
  </w:style>
  <w:style w:type="paragraph" w:styleId="Caption">
    <w:name w:val="caption"/>
    <w:basedOn w:val="Normal"/>
    <w:next w:val="Normal"/>
    <w:semiHidden/>
    <w:unhideWhenUsed/>
    <w:qFormat/>
    <w:rsid w:val="00B2240E"/>
    <w:pPr>
      <w:spacing w:after="200"/>
    </w:pPr>
    <w:rPr>
      <w:b/>
      <w:bCs/>
      <w:color w:val="4F81BD" w:themeColor="accent1"/>
      <w:sz w:val="18"/>
      <w:szCs w:val="18"/>
    </w:rPr>
  </w:style>
  <w:style w:type="character" w:customStyle="1" w:styleId="FooterChar">
    <w:name w:val="Footer Char"/>
    <w:basedOn w:val="DefaultParagraphFont"/>
    <w:link w:val="Footer"/>
    <w:uiPriority w:val="99"/>
    <w:rsid w:val="00B2240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2777">
      <w:bodyDiv w:val="1"/>
      <w:marLeft w:val="0"/>
      <w:marRight w:val="0"/>
      <w:marTop w:val="0"/>
      <w:marBottom w:val="0"/>
      <w:divBdr>
        <w:top w:val="none" w:sz="0" w:space="0" w:color="auto"/>
        <w:left w:val="none" w:sz="0" w:space="0" w:color="auto"/>
        <w:bottom w:val="none" w:sz="0" w:space="0" w:color="auto"/>
        <w:right w:val="none" w:sz="0" w:space="0" w:color="auto"/>
      </w:divBdr>
    </w:div>
    <w:div w:id="233855817">
      <w:bodyDiv w:val="1"/>
      <w:marLeft w:val="0"/>
      <w:marRight w:val="0"/>
      <w:marTop w:val="0"/>
      <w:marBottom w:val="0"/>
      <w:divBdr>
        <w:top w:val="none" w:sz="0" w:space="0" w:color="auto"/>
        <w:left w:val="none" w:sz="0" w:space="0" w:color="auto"/>
        <w:bottom w:val="none" w:sz="0" w:space="0" w:color="auto"/>
        <w:right w:val="none" w:sz="0" w:space="0" w:color="auto"/>
      </w:divBdr>
    </w:div>
    <w:div w:id="234895546">
      <w:bodyDiv w:val="1"/>
      <w:marLeft w:val="0"/>
      <w:marRight w:val="0"/>
      <w:marTop w:val="0"/>
      <w:marBottom w:val="0"/>
      <w:divBdr>
        <w:top w:val="none" w:sz="0" w:space="0" w:color="auto"/>
        <w:left w:val="none" w:sz="0" w:space="0" w:color="auto"/>
        <w:bottom w:val="none" w:sz="0" w:space="0" w:color="auto"/>
        <w:right w:val="none" w:sz="0" w:space="0" w:color="auto"/>
      </w:divBdr>
    </w:div>
    <w:div w:id="352654437">
      <w:bodyDiv w:val="1"/>
      <w:marLeft w:val="0"/>
      <w:marRight w:val="0"/>
      <w:marTop w:val="0"/>
      <w:marBottom w:val="0"/>
      <w:divBdr>
        <w:top w:val="none" w:sz="0" w:space="0" w:color="auto"/>
        <w:left w:val="none" w:sz="0" w:space="0" w:color="auto"/>
        <w:bottom w:val="none" w:sz="0" w:space="0" w:color="auto"/>
        <w:right w:val="none" w:sz="0" w:space="0" w:color="auto"/>
      </w:divBdr>
    </w:div>
    <w:div w:id="437412768">
      <w:bodyDiv w:val="1"/>
      <w:marLeft w:val="0"/>
      <w:marRight w:val="0"/>
      <w:marTop w:val="0"/>
      <w:marBottom w:val="0"/>
      <w:divBdr>
        <w:top w:val="none" w:sz="0" w:space="0" w:color="auto"/>
        <w:left w:val="none" w:sz="0" w:space="0" w:color="auto"/>
        <w:bottom w:val="none" w:sz="0" w:space="0" w:color="auto"/>
        <w:right w:val="none" w:sz="0" w:space="0" w:color="auto"/>
      </w:divBdr>
    </w:div>
    <w:div w:id="457071085">
      <w:bodyDiv w:val="1"/>
      <w:marLeft w:val="0"/>
      <w:marRight w:val="0"/>
      <w:marTop w:val="0"/>
      <w:marBottom w:val="0"/>
      <w:divBdr>
        <w:top w:val="none" w:sz="0" w:space="0" w:color="auto"/>
        <w:left w:val="none" w:sz="0" w:space="0" w:color="auto"/>
        <w:bottom w:val="none" w:sz="0" w:space="0" w:color="auto"/>
        <w:right w:val="none" w:sz="0" w:space="0" w:color="auto"/>
      </w:divBdr>
    </w:div>
    <w:div w:id="789129318">
      <w:bodyDiv w:val="1"/>
      <w:marLeft w:val="0"/>
      <w:marRight w:val="0"/>
      <w:marTop w:val="0"/>
      <w:marBottom w:val="0"/>
      <w:divBdr>
        <w:top w:val="none" w:sz="0" w:space="0" w:color="auto"/>
        <w:left w:val="none" w:sz="0" w:space="0" w:color="auto"/>
        <w:bottom w:val="none" w:sz="0" w:space="0" w:color="auto"/>
        <w:right w:val="none" w:sz="0" w:space="0" w:color="auto"/>
      </w:divBdr>
    </w:div>
    <w:div w:id="994265119">
      <w:bodyDiv w:val="1"/>
      <w:marLeft w:val="0"/>
      <w:marRight w:val="0"/>
      <w:marTop w:val="0"/>
      <w:marBottom w:val="0"/>
      <w:divBdr>
        <w:top w:val="none" w:sz="0" w:space="0" w:color="auto"/>
        <w:left w:val="none" w:sz="0" w:space="0" w:color="auto"/>
        <w:bottom w:val="none" w:sz="0" w:space="0" w:color="auto"/>
        <w:right w:val="none" w:sz="0" w:space="0" w:color="auto"/>
      </w:divBdr>
    </w:div>
    <w:div w:id="1124153973">
      <w:bodyDiv w:val="1"/>
      <w:marLeft w:val="0"/>
      <w:marRight w:val="0"/>
      <w:marTop w:val="0"/>
      <w:marBottom w:val="0"/>
      <w:divBdr>
        <w:top w:val="none" w:sz="0" w:space="0" w:color="auto"/>
        <w:left w:val="none" w:sz="0" w:space="0" w:color="auto"/>
        <w:bottom w:val="none" w:sz="0" w:space="0" w:color="auto"/>
        <w:right w:val="none" w:sz="0" w:space="0" w:color="auto"/>
      </w:divBdr>
    </w:div>
    <w:div w:id="1407455994">
      <w:bodyDiv w:val="1"/>
      <w:marLeft w:val="0"/>
      <w:marRight w:val="0"/>
      <w:marTop w:val="0"/>
      <w:marBottom w:val="0"/>
      <w:divBdr>
        <w:top w:val="none" w:sz="0" w:space="0" w:color="auto"/>
        <w:left w:val="none" w:sz="0" w:space="0" w:color="auto"/>
        <w:bottom w:val="none" w:sz="0" w:space="0" w:color="auto"/>
        <w:right w:val="none" w:sz="0" w:space="0" w:color="auto"/>
      </w:divBdr>
    </w:div>
    <w:div w:id="1485194347">
      <w:bodyDiv w:val="1"/>
      <w:marLeft w:val="0"/>
      <w:marRight w:val="0"/>
      <w:marTop w:val="0"/>
      <w:marBottom w:val="0"/>
      <w:divBdr>
        <w:top w:val="none" w:sz="0" w:space="0" w:color="auto"/>
        <w:left w:val="none" w:sz="0" w:space="0" w:color="auto"/>
        <w:bottom w:val="none" w:sz="0" w:space="0" w:color="auto"/>
        <w:right w:val="none" w:sz="0" w:space="0" w:color="auto"/>
      </w:divBdr>
    </w:div>
    <w:div w:id="1774283712">
      <w:bodyDiv w:val="1"/>
      <w:marLeft w:val="0"/>
      <w:marRight w:val="0"/>
      <w:marTop w:val="0"/>
      <w:marBottom w:val="0"/>
      <w:divBdr>
        <w:top w:val="none" w:sz="0" w:space="0" w:color="auto"/>
        <w:left w:val="none" w:sz="0" w:space="0" w:color="auto"/>
        <w:bottom w:val="none" w:sz="0" w:space="0" w:color="auto"/>
        <w:right w:val="none" w:sz="0" w:space="0" w:color="auto"/>
      </w:divBdr>
    </w:div>
    <w:div w:id="20312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9B61-53E3-5346-8938-BC7D425F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1812</Words>
  <Characters>10335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Základní strategie OVS</vt:lpstr>
    </vt:vector>
  </TitlesOfParts>
  <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strategie OVS</dc:title>
  <dc:creator>Kavalcová Helena</dc:creator>
  <cp:lastModifiedBy>Michael Komm</cp:lastModifiedBy>
  <cp:revision>3</cp:revision>
  <cp:lastPrinted>2010-08-18T13:14:00Z</cp:lastPrinted>
  <dcterms:created xsi:type="dcterms:W3CDTF">2018-04-23T15:00:00Z</dcterms:created>
  <dcterms:modified xsi:type="dcterms:W3CDTF">2018-04-23T15:01:00Z</dcterms:modified>
</cp:coreProperties>
</file>