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C42" w:rsidRDefault="005550D0">
      <w:pPr>
        <w:spacing w:after="122" w:line="259" w:lineRule="auto"/>
        <w:ind w:left="874" w:firstLine="0"/>
        <w:jc w:val="center"/>
      </w:pPr>
      <w:r>
        <w:rPr>
          <w:sz w:val="36"/>
        </w:rPr>
        <w:t>Příkazní smlouva</w:t>
      </w:r>
    </w:p>
    <w:p w:rsidR="00BB3C42" w:rsidRDefault="005550D0">
      <w:pPr>
        <w:spacing w:after="0" w:line="265" w:lineRule="auto"/>
        <w:ind w:left="2204" w:hanging="10"/>
        <w:jc w:val="left"/>
      </w:pPr>
      <w:r>
        <w:rPr>
          <w:sz w:val="26"/>
        </w:rPr>
        <w:t>na výkon činnosti geotechnického dozoru investora</w:t>
      </w:r>
    </w:p>
    <w:p w:rsidR="00BB3C42" w:rsidRDefault="005550D0">
      <w:pPr>
        <w:spacing w:after="238" w:line="265" w:lineRule="auto"/>
        <w:ind w:left="2209" w:hanging="10"/>
        <w:jc w:val="left"/>
      </w:pPr>
      <w:r>
        <w:rPr>
          <w:sz w:val="24"/>
        </w:rPr>
        <w:t>(uzavřená podle Občanského zákoníku č. 89/2012 Sb.)</w:t>
      </w:r>
    </w:p>
    <w:p w:rsidR="00BB3C42" w:rsidRDefault="00420621" w:rsidP="00420621">
      <w:pPr>
        <w:ind w:left="0" w:right="91" w:firstLine="0"/>
      </w:pPr>
      <w:r>
        <w:t>Č</w:t>
      </w:r>
      <w:r w:rsidR="005550D0">
        <w:t>íslo smlouvy příkazce: 06EU-002314</w:t>
      </w:r>
    </w:p>
    <w:p w:rsidR="00BB3C42" w:rsidRDefault="005550D0">
      <w:pPr>
        <w:spacing w:after="0" w:line="265" w:lineRule="auto"/>
        <w:ind w:left="14" w:hanging="10"/>
        <w:jc w:val="left"/>
      </w:pPr>
      <w:r>
        <w:rPr>
          <w:sz w:val="24"/>
        </w:rPr>
        <w:t>Číslo smlouvy příkazníka: 15/041</w:t>
      </w:r>
    </w:p>
    <w:p w:rsidR="00BB3C42" w:rsidRDefault="005550D0">
      <w:pPr>
        <w:spacing w:after="537" w:line="265" w:lineRule="auto"/>
        <w:ind w:left="14" w:hanging="10"/>
        <w:jc w:val="left"/>
      </w:pPr>
      <w:r>
        <w:rPr>
          <w:sz w:val="24"/>
        </w:rPr>
        <w:t xml:space="preserve">ISPROFIN/ISPROFOND: </w:t>
      </w:r>
      <w:r w:rsidRPr="00420621">
        <w:rPr>
          <w:sz w:val="24"/>
          <w:highlight w:val="black"/>
        </w:rPr>
        <w:t>327 111 3004.1819</w:t>
      </w:r>
    </w:p>
    <w:p w:rsidR="00BB3C42" w:rsidRDefault="005550D0">
      <w:pPr>
        <w:spacing w:after="248" w:line="259" w:lineRule="auto"/>
        <w:ind w:left="903" w:hanging="10"/>
        <w:jc w:val="center"/>
      </w:pPr>
      <w:r>
        <w:rPr>
          <w:sz w:val="26"/>
        </w:rPr>
        <w:t>I. Úvodní ustanovení</w:t>
      </w:r>
    </w:p>
    <w:p w:rsidR="00BB3C42" w:rsidRDefault="005550D0">
      <w:pPr>
        <w:spacing w:after="0" w:line="265" w:lineRule="auto"/>
        <w:ind w:left="14" w:hanging="10"/>
        <w:jc w:val="left"/>
      </w:pPr>
      <w:r>
        <w:rPr>
          <w:sz w:val="24"/>
        </w:rPr>
        <w:t>I Smluvní strany</w:t>
      </w:r>
    </w:p>
    <w:p w:rsidR="00BB3C42" w:rsidRDefault="00420621" w:rsidP="00420621">
      <w:pPr>
        <w:spacing w:after="0" w:line="265" w:lineRule="auto"/>
        <w:ind w:left="0" w:firstLine="0"/>
        <w:jc w:val="left"/>
      </w:pPr>
      <w:r>
        <w:rPr>
          <w:noProof/>
        </w:rPr>
        <w:t xml:space="preserve"> </w:t>
      </w:r>
      <w:r w:rsidR="005550D0">
        <w:rPr>
          <w:sz w:val="24"/>
        </w:rPr>
        <w:t xml:space="preserve"> Příkazce: </w:t>
      </w:r>
      <w:r>
        <w:rPr>
          <w:sz w:val="24"/>
        </w:rPr>
        <w:t xml:space="preserve">     </w:t>
      </w:r>
      <w:r w:rsidR="005550D0">
        <w:rPr>
          <w:sz w:val="24"/>
        </w:rPr>
        <w:t>Ředitelství silnic a dálnic ČR</w:t>
      </w:r>
    </w:p>
    <w:p w:rsidR="00BB3C42" w:rsidRDefault="005550D0">
      <w:pPr>
        <w:ind w:left="1431" w:right="1066"/>
      </w:pPr>
      <w:r>
        <w:t xml:space="preserve">Na Pankráci 56, 145 05 Praha 4 zastoupené: </w:t>
      </w:r>
      <w:r w:rsidRPr="00420621">
        <w:rPr>
          <w:highlight w:val="black"/>
        </w:rPr>
        <w:t>Ing. Zdeňkem Kuťákem,</w:t>
      </w:r>
      <w:r>
        <w:t xml:space="preserve"> </w:t>
      </w:r>
      <w:r w:rsidRPr="00420621">
        <w:rPr>
          <w:highlight w:val="black"/>
        </w:rPr>
        <w:t>pověřeným řízením</w:t>
      </w:r>
      <w:r>
        <w:t xml:space="preserve"> Správy Plzeň</w:t>
      </w:r>
    </w:p>
    <w:p w:rsidR="00BB3C42" w:rsidRDefault="005550D0">
      <w:pPr>
        <w:ind w:left="1431" w:right="3554"/>
      </w:pPr>
      <w:r>
        <w:t xml:space="preserve">301 00 Plzeň, Hřímalého 37 </w:t>
      </w:r>
      <w:r w:rsidRPr="00420621">
        <w:rPr>
          <w:highlight w:val="black"/>
        </w:rPr>
        <w:t>telefon: 377 333 71 1 fax: 377 422 619 bankovní spojení: Komerční banka Praha I číslo účtu: 51-1422200277/0100</w:t>
      </w:r>
    </w:p>
    <w:p w:rsidR="00BB3C42" w:rsidRDefault="005550D0">
      <w:pPr>
        <w:tabs>
          <w:tab w:val="center" w:pos="2041"/>
          <w:tab w:val="center" w:pos="4485"/>
        </w:tabs>
        <w:spacing w:after="283"/>
        <w:ind w:left="0" w:firstLine="0"/>
        <w:jc w:val="left"/>
      </w:pPr>
      <w:r>
        <w:tab/>
        <w:t>IC: 65993390</w:t>
      </w:r>
      <w:r>
        <w:tab/>
        <w:t>DIČ: CZ65993390</w:t>
      </w:r>
    </w:p>
    <w:p w:rsidR="00BB3C42" w:rsidRDefault="00420621">
      <w:pPr>
        <w:spacing w:after="0" w:line="265" w:lineRule="auto"/>
        <w:ind w:left="327" w:hanging="10"/>
        <w:jc w:val="left"/>
      </w:pPr>
      <w:r>
        <w:rPr>
          <w:sz w:val="24"/>
        </w:rPr>
        <w:t xml:space="preserve"> </w:t>
      </w:r>
      <w:r w:rsidR="005550D0">
        <w:rPr>
          <w:sz w:val="24"/>
        </w:rPr>
        <w:t>Příkazník: AZ Consult, spol. s r.o.</w:t>
      </w:r>
    </w:p>
    <w:p w:rsidR="00BB3C42" w:rsidRDefault="005550D0">
      <w:pPr>
        <w:ind w:left="369" w:right="3016"/>
      </w:pPr>
      <w:r>
        <w:t xml:space="preserve">Klíšská 1334/12, 400 01 Ústí nad Labem Zastoupený: </w:t>
      </w:r>
      <w:r w:rsidRPr="005550D0">
        <w:rPr>
          <w:highlight w:val="black"/>
        </w:rPr>
        <w:t>Ing. Martinou Štrosovou funkce: jednatelka společnosti telefon: 475 240 888 fax: 475 240 864</w:t>
      </w:r>
    </w:p>
    <w:p w:rsidR="00BB3C42" w:rsidRPr="005550D0" w:rsidRDefault="005550D0">
      <w:pPr>
        <w:ind w:left="369" w:right="1076"/>
        <w:rPr>
          <w:highlight w:val="black"/>
        </w:rPr>
      </w:pPr>
      <w:r>
        <w:t xml:space="preserve">Oprávnění jednat ve věcech technických: </w:t>
      </w:r>
      <w:r w:rsidRPr="005550D0">
        <w:rPr>
          <w:highlight w:val="black"/>
        </w:rPr>
        <w:t>Ing. Martin Komín Bankovní spojení: ČSOB a.s.</w:t>
      </w:r>
    </w:p>
    <w:p w:rsidR="00BB3C42" w:rsidRDefault="005550D0">
      <w:pPr>
        <w:ind w:left="369" w:right="91"/>
      </w:pPr>
      <w:r w:rsidRPr="005550D0">
        <w:rPr>
          <w:highlight w:val="black"/>
        </w:rPr>
        <w:t>č. účtu: 454328/0300</w:t>
      </w:r>
    </w:p>
    <w:p w:rsidR="00BB3C42" w:rsidRDefault="00420621">
      <w:pPr>
        <w:tabs>
          <w:tab w:val="center" w:pos="2027"/>
          <w:tab w:val="center" w:pos="4442"/>
        </w:tabs>
        <w:spacing w:after="517"/>
        <w:ind w:left="0" w:firstLine="0"/>
        <w:jc w:val="left"/>
      </w:pPr>
      <w:r>
        <w:t xml:space="preserve">       </w:t>
      </w:r>
      <w:r w:rsidR="005550D0">
        <w:t>IC: 44567430</w:t>
      </w:r>
      <w:r w:rsidR="005550D0">
        <w:tab/>
        <w:t>DIC: CZ44567430</w:t>
      </w:r>
    </w:p>
    <w:p w:rsidR="00BB3C42" w:rsidRDefault="005550D0">
      <w:pPr>
        <w:spacing w:after="252" w:line="265" w:lineRule="auto"/>
        <w:ind w:left="14" w:hanging="10"/>
        <w:jc w:val="left"/>
      </w:pPr>
      <w:r>
        <w:rPr>
          <w:sz w:val="24"/>
        </w:rPr>
        <w:t>Název akce:</w:t>
      </w:r>
    </w:p>
    <w:p w:rsidR="00BB3C42" w:rsidRDefault="005550D0">
      <w:pPr>
        <w:spacing w:after="431" w:line="259" w:lineRule="auto"/>
        <w:ind w:left="221" w:firstLine="0"/>
        <w:jc w:val="right"/>
      </w:pPr>
      <w:r>
        <w:rPr>
          <w:sz w:val="30"/>
          <w:u w:val="single" w:color="000000"/>
        </w:rPr>
        <w:t>„I/26 Staňkov - přeložka” — GTDI (geotechnický dozor investora)</w:t>
      </w:r>
    </w:p>
    <w:p w:rsidR="00BB3C42" w:rsidRDefault="005550D0">
      <w:pPr>
        <w:spacing w:after="192" w:line="259" w:lineRule="auto"/>
        <w:ind w:left="903" w:right="672" w:hanging="10"/>
        <w:jc w:val="center"/>
      </w:pPr>
      <w:r>
        <w:rPr>
          <w:sz w:val="26"/>
        </w:rPr>
        <w:t>II. Předmět smlouvy</w:t>
      </w:r>
    </w:p>
    <w:p w:rsidR="00BB3C42" w:rsidRDefault="00420621" w:rsidP="00420621">
      <w:pPr>
        <w:pStyle w:val="Odstavecseseznamem"/>
        <w:numPr>
          <w:ilvl w:val="0"/>
          <w:numId w:val="5"/>
        </w:numPr>
        <w:spacing w:after="275" w:line="265" w:lineRule="auto"/>
        <w:ind w:right="297"/>
        <w:jc w:val="center"/>
      </w:pPr>
      <w:r>
        <w:t>P</w:t>
      </w:r>
      <w:r w:rsidR="005550D0">
        <w:t>ředmětem smlouvy je výkon geotechnického konzultanta/dozoru investora v tomto rozsahu:</w:t>
      </w:r>
    </w:p>
    <w:p w:rsidR="00BB3C42" w:rsidRDefault="00BB3C42">
      <w:pPr>
        <w:sectPr w:rsidR="00BB3C42">
          <w:footerReference w:type="even" r:id="rId7"/>
          <w:footerReference w:type="default" r:id="rId8"/>
          <w:footerReference w:type="first" r:id="rId9"/>
          <w:pgSz w:w="11900" w:h="16820"/>
          <w:pgMar w:top="1373" w:right="1863" w:bottom="1804" w:left="1258" w:header="708" w:footer="708" w:gutter="0"/>
          <w:cols w:space="708"/>
          <w:titlePg/>
        </w:sectPr>
      </w:pPr>
    </w:p>
    <w:p w:rsidR="00BB3C42" w:rsidRDefault="005550D0">
      <w:pPr>
        <w:numPr>
          <w:ilvl w:val="0"/>
          <w:numId w:val="1"/>
        </w:numPr>
        <w:ind w:left="724" w:right="91" w:hanging="355"/>
      </w:pPr>
      <w:r>
        <w:t>seznámení s projektem a znalost projektu stavby</w:t>
      </w:r>
    </w:p>
    <w:p w:rsidR="00BB3C42" w:rsidRDefault="005550D0">
      <w:pPr>
        <w:numPr>
          <w:ilvl w:val="0"/>
          <w:numId w:val="1"/>
        </w:numPr>
        <w:ind w:left="724" w:right="91" w:hanging="355"/>
      </w:pPr>
      <w:r>
        <w:t>odborné posuzování projektů případných doplňkových průzkumů a kontrolu jejich provádění</w:t>
      </w:r>
    </w:p>
    <w:p w:rsidR="00BB3C42" w:rsidRDefault="005550D0">
      <w:pPr>
        <w:ind w:left="806" w:right="91" w:hanging="547"/>
      </w:pPr>
      <w:r>
        <w:rPr>
          <w:noProof/>
        </w:rPr>
        <w:drawing>
          <wp:inline distT="0" distB="0" distL="0" distR="0">
            <wp:extent cx="6099" cy="30482"/>
            <wp:effectExtent l="0" t="0" r="0" b="0"/>
            <wp:docPr id="1467" name="Picture 1467"/>
            <wp:cNvGraphicFramePr/>
            <a:graphic xmlns:a="http://schemas.openxmlformats.org/drawingml/2006/main">
              <a:graphicData uri="http://schemas.openxmlformats.org/drawingml/2006/picture">
                <pic:pic xmlns:pic="http://schemas.openxmlformats.org/drawingml/2006/picture">
                  <pic:nvPicPr>
                    <pic:cNvPr id="1467" name="Picture 1467"/>
                    <pic:cNvPicPr/>
                  </pic:nvPicPr>
                  <pic:blipFill>
                    <a:blip r:embed="rId10"/>
                    <a:stretch>
                      <a:fillRect/>
                    </a:stretch>
                  </pic:blipFill>
                  <pic:spPr>
                    <a:xfrm>
                      <a:off x="0" y="0"/>
                      <a:ext cx="6099" cy="30482"/>
                    </a:xfrm>
                    <a:prstGeom prst="rect">
                      <a:avLst/>
                    </a:prstGeom>
                  </pic:spPr>
                </pic:pic>
              </a:graphicData>
            </a:graphic>
          </wp:inline>
        </w:drawing>
      </w:r>
      <w:r>
        <w:t xml:space="preserve"> c) odborné posuzování a vyhodnocení případných doplňkových průzkumů a vypracování dílčích posudků</w:t>
      </w:r>
    </w:p>
    <w:p w:rsidR="00BB3C42" w:rsidRDefault="005550D0">
      <w:pPr>
        <w:ind w:left="369" w:right="91"/>
      </w:pPr>
      <w:r>
        <w:t>d) porovnání projekčních předpokladů z GT průzkumů se skutečným stavem pří výstavbě</w:t>
      </w:r>
    </w:p>
    <w:p w:rsidR="00BB3C42" w:rsidRDefault="005550D0">
      <w:pPr>
        <w:ind w:left="269" w:right="91"/>
      </w:pPr>
      <w:r>
        <w:rPr>
          <w:noProof/>
        </w:rPr>
        <w:drawing>
          <wp:inline distT="0" distB="0" distL="0" distR="0">
            <wp:extent cx="6099" cy="121925"/>
            <wp:effectExtent l="0" t="0" r="0" b="0"/>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11"/>
                    <a:stretch>
                      <a:fillRect/>
                    </a:stretch>
                  </pic:blipFill>
                  <pic:spPr>
                    <a:xfrm>
                      <a:off x="0" y="0"/>
                      <a:ext cx="6099" cy="121925"/>
                    </a:xfrm>
                    <a:prstGeom prst="rect">
                      <a:avLst/>
                    </a:prstGeom>
                  </pic:spPr>
                </pic:pic>
              </a:graphicData>
            </a:graphic>
          </wp:inline>
        </w:drawing>
      </w:r>
      <w:r>
        <w:t xml:space="preserve"> e) posouzení realizační dokumentace stavby (RDS)</w:t>
      </w:r>
    </w:p>
    <w:p w:rsidR="00BB3C42" w:rsidRDefault="005550D0">
      <w:pPr>
        <w:ind w:left="369" w:right="91"/>
      </w:pPr>
      <w:r>
        <w:t>f) řešení případných námitek, popř. dodatečných požadavků zhotovitele v průběhu realizace stavby</w:t>
      </w:r>
    </w:p>
    <w:p w:rsidR="00BB3C42" w:rsidRDefault="005550D0">
      <w:pPr>
        <w:spacing w:after="28"/>
        <w:ind w:left="346" w:right="91" w:hanging="67"/>
      </w:pPr>
      <w:r>
        <w:rPr>
          <w:noProof/>
        </w:rPr>
        <w:lastRenderedPageBreak/>
        <w:drawing>
          <wp:inline distT="0" distB="0" distL="0" distR="0">
            <wp:extent cx="6099" cy="24385"/>
            <wp:effectExtent l="0" t="0" r="0" b="0"/>
            <wp:docPr id="1469" name="Picture 1469"/>
            <wp:cNvGraphicFramePr/>
            <a:graphic xmlns:a="http://schemas.openxmlformats.org/drawingml/2006/main">
              <a:graphicData uri="http://schemas.openxmlformats.org/drawingml/2006/picture">
                <pic:pic xmlns:pic="http://schemas.openxmlformats.org/drawingml/2006/picture">
                  <pic:nvPicPr>
                    <pic:cNvPr id="1469" name="Picture 1469"/>
                    <pic:cNvPicPr/>
                  </pic:nvPicPr>
                  <pic:blipFill>
                    <a:blip r:embed="rId12"/>
                    <a:stretch>
                      <a:fillRect/>
                    </a:stretch>
                  </pic:blipFill>
                  <pic:spPr>
                    <a:xfrm>
                      <a:off x="0" y="0"/>
                      <a:ext cx="6099" cy="24385"/>
                    </a:xfrm>
                    <a:prstGeom prst="rect">
                      <a:avLst/>
                    </a:prstGeom>
                  </pic:spPr>
                </pic:pic>
              </a:graphicData>
            </a:graphic>
          </wp:inline>
        </w:drawing>
      </w:r>
      <w:r>
        <w:t xml:space="preserve"> g) v předstihu upozorňuje na skutečnosti, které mohou vést k dodatečným nárokům na doplňkový </w:t>
      </w:r>
      <w:r>
        <w:rPr>
          <w:noProof/>
        </w:rPr>
        <w:drawing>
          <wp:inline distT="0" distB="0" distL="0" distR="0">
            <wp:extent cx="6099" cy="42674"/>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13"/>
                    <a:stretch>
                      <a:fillRect/>
                    </a:stretch>
                  </pic:blipFill>
                  <pic:spPr>
                    <a:xfrm>
                      <a:off x="0" y="0"/>
                      <a:ext cx="6099" cy="42674"/>
                    </a:xfrm>
                    <a:prstGeom prst="rect">
                      <a:avLst/>
                    </a:prstGeom>
                  </pic:spPr>
                </pic:pic>
              </a:graphicData>
            </a:graphic>
          </wp:inline>
        </w:drawing>
      </w:r>
      <w:r>
        <w:tab/>
        <w:t>průzkum nebo zvýšení nákladů stavby</w:t>
      </w:r>
    </w:p>
    <w:p w:rsidR="00BB3C42" w:rsidRDefault="005550D0">
      <w:pPr>
        <w:numPr>
          <w:ilvl w:val="0"/>
          <w:numId w:val="2"/>
        </w:numPr>
        <w:spacing w:after="62"/>
        <w:ind w:right="309"/>
      </w:pPr>
      <w:r>
        <w:t xml:space="preserve">formulování stanoviska k odpovídající části stavby z hlediska správnosti aplikace výsledků </w:t>
      </w:r>
      <w:r>
        <w:rPr>
          <w:noProof/>
        </w:rPr>
        <w:drawing>
          <wp:inline distT="0" distB="0" distL="0" distR="0">
            <wp:extent cx="6099" cy="6097"/>
            <wp:effectExtent l="0" t="0" r="0" b="0"/>
            <wp:docPr id="1471" name="Picture 1471"/>
            <wp:cNvGraphicFramePr/>
            <a:graphic xmlns:a="http://schemas.openxmlformats.org/drawingml/2006/main">
              <a:graphicData uri="http://schemas.openxmlformats.org/drawingml/2006/picture">
                <pic:pic xmlns:pic="http://schemas.openxmlformats.org/drawingml/2006/picture">
                  <pic:nvPicPr>
                    <pic:cNvPr id="1471" name="Picture 1471"/>
                    <pic:cNvPicPr/>
                  </pic:nvPicPr>
                  <pic:blipFill>
                    <a:blip r:embed="rId14"/>
                    <a:stretch>
                      <a:fillRect/>
                    </a:stretch>
                  </pic:blipFill>
                  <pic:spPr>
                    <a:xfrm>
                      <a:off x="0" y="0"/>
                      <a:ext cx="6099" cy="6097"/>
                    </a:xfrm>
                    <a:prstGeom prst="rect">
                      <a:avLst/>
                    </a:prstGeom>
                  </pic:spPr>
                </pic:pic>
              </a:graphicData>
            </a:graphic>
          </wp:inline>
        </w:drawing>
      </w:r>
      <w:r>
        <w:t xml:space="preserve"> průzkumů a oprávněnosti navržených stavebních opatření v oblasti geotechnických staveb a jejich interakce s horninovým prostředím, resp. poskytuje konzultace v případě možných alternativních řešení</w:t>
      </w:r>
    </w:p>
    <w:p w:rsidR="00BB3C42" w:rsidRDefault="005550D0">
      <w:pPr>
        <w:numPr>
          <w:ilvl w:val="0"/>
          <w:numId w:val="2"/>
        </w:numPr>
        <w:ind w:right="309"/>
      </w:pPr>
      <w:r>
        <w:t>technické a cenové posouzení alternativních návrhů zhotovitele, případně investora stavby a projektanta, v případě odlišné skutečnosti od předpokladů projektu účast a spolupráci GT konzultanta dle požadavků stavby při: úpravě či sanaci podloží, parapláně a zemní pláně zřizování nestmelených konstrukčních vrstev finálních úpravách tvaru zemního tělesa použití geosyntetik zřizování odvodnění zřizování zemního tělesa v násypu, zářezu a odřezu provádění polních i laboratorních zkoušek posouzení výsledků stabilitních výpočtů a monitoringu výstavby výstavbě opěrných zdí, zárubních zdí a protihlukových stěn či valů zakládání umělých staveb, kontrola kvality základové spáry plošných základů, kontrola realizace hlubinného založení (pilot, mikropilot) konzultační a expertní činnost provádění namátkových kontrol zkoušek zhotovitele a posuzování správnosti jejich provádění k) provádění kontrolních zkoušek dle požadavků objednatele v předstihu stavebních prací účast na schvalovacím procesu Tepř a KZP, schvalování zemin a materiálů těžených či nakupovaných a geosyntetik pro zabudování do zemního tělesa</w:t>
      </w:r>
    </w:p>
    <w:p w:rsidR="00BB3C42" w:rsidRDefault="005550D0">
      <w:pPr>
        <w:spacing w:after="241"/>
        <w:ind w:left="801" w:right="91" w:hanging="432"/>
      </w:pPr>
      <w:r>
        <w:t>m) vypracování zpráv a posudků GT dozoru o sledovaném úseku či objektu stavby a spolupráce při konečném stanovisku Investora pro přejímku prací a pro vyhodnocení stavby.</w:t>
      </w:r>
    </w:p>
    <w:p w:rsidR="00BB3C42" w:rsidRDefault="005550D0">
      <w:pPr>
        <w:spacing w:after="253"/>
        <w:ind w:left="29" w:right="91"/>
      </w:pPr>
      <w:r>
        <w:t>Činnost geotechnického konzultanta/dozoru bude probíhat v souladu s postupem realizace stavby. Veškeré práce budou ukončeny odsouhlasením závěrečné zprávy pro vyhodnocení stavby k termínu dokončení stavby nebo její předmětné části.</w:t>
      </w:r>
    </w:p>
    <w:p w:rsidR="00BB3C42" w:rsidRDefault="005550D0">
      <w:pPr>
        <w:ind w:left="0" w:right="91" w:firstLine="442"/>
      </w:pPr>
      <w:r>
        <w:t>Rozsah činností může být dále podle potřeby upraven instrukcemi zástupce příkazce odpovědného je at ve věcech technických.</w:t>
      </w:r>
    </w:p>
    <w:p w:rsidR="00BB3C42" w:rsidRDefault="005550D0">
      <w:pPr>
        <w:ind w:left="19" w:right="91" w:firstLine="182"/>
      </w:pPr>
      <w:r>
        <w:rPr>
          <w:noProof/>
        </w:rPr>
        <w:drawing>
          <wp:inline distT="0" distB="0" distL="0" distR="0">
            <wp:extent cx="48791" cy="97541"/>
            <wp:effectExtent l="0" t="0" r="0" b="0"/>
            <wp:docPr id="16326" name="Picture 16326"/>
            <wp:cNvGraphicFramePr/>
            <a:graphic xmlns:a="http://schemas.openxmlformats.org/drawingml/2006/main">
              <a:graphicData uri="http://schemas.openxmlformats.org/drawingml/2006/picture">
                <pic:pic xmlns:pic="http://schemas.openxmlformats.org/drawingml/2006/picture">
                  <pic:nvPicPr>
                    <pic:cNvPr id="16326" name="Picture 16326"/>
                    <pic:cNvPicPr/>
                  </pic:nvPicPr>
                  <pic:blipFill>
                    <a:blip r:embed="rId15"/>
                    <a:stretch>
                      <a:fillRect/>
                    </a:stretch>
                  </pic:blipFill>
                  <pic:spPr>
                    <a:xfrm>
                      <a:off x="0" y="0"/>
                      <a:ext cx="48791" cy="97541"/>
                    </a:xfrm>
                    <a:prstGeom prst="rect">
                      <a:avLst/>
                    </a:prstGeom>
                  </pic:spPr>
                </pic:pic>
              </a:graphicData>
            </a:graphic>
          </wp:inline>
        </w:drawing>
      </w:r>
      <w:r>
        <w:t>Výkon konzultanta/dozorce stavby bude prováděn v souladu s podklady předanými příkazcem. Jakékoliv změny oproti sjednanému předmětu smlouvy, jeho rozsahu a termínu dokončení, které vyplynou z dodatečných požadavků příkazce nebo ze změny jim předaných podkladů, ze změny obecně závazných předpisů, z požadavků veřejnoprávních orgánů nebo z důvodu vyšší moci či nepředpokládaných překážek neležících na straně příkazníka, budou předmětem dodatků k této smlouvě.</w:t>
      </w:r>
    </w:p>
    <w:p w:rsidR="00BB3C42" w:rsidRDefault="005550D0">
      <w:pPr>
        <w:spacing w:after="770"/>
        <w:ind w:left="19" w:right="91" w:firstLine="182"/>
      </w:pPr>
      <w:r>
        <w:rPr>
          <w:noProof/>
        </w:rPr>
        <w:drawing>
          <wp:inline distT="0" distB="0" distL="0" distR="0">
            <wp:extent cx="48791" cy="97541"/>
            <wp:effectExtent l="0" t="0" r="0" b="0"/>
            <wp:docPr id="16328" name="Picture 16328"/>
            <wp:cNvGraphicFramePr/>
            <a:graphic xmlns:a="http://schemas.openxmlformats.org/drawingml/2006/main">
              <a:graphicData uri="http://schemas.openxmlformats.org/drawingml/2006/picture">
                <pic:pic xmlns:pic="http://schemas.openxmlformats.org/drawingml/2006/picture">
                  <pic:nvPicPr>
                    <pic:cNvPr id="16328" name="Picture 16328"/>
                    <pic:cNvPicPr/>
                  </pic:nvPicPr>
                  <pic:blipFill>
                    <a:blip r:embed="rId16"/>
                    <a:stretch>
                      <a:fillRect/>
                    </a:stretch>
                  </pic:blipFill>
                  <pic:spPr>
                    <a:xfrm>
                      <a:off x="0" y="0"/>
                      <a:ext cx="48791" cy="97541"/>
                    </a:xfrm>
                    <a:prstGeom prst="rect">
                      <a:avLst/>
                    </a:prstGeom>
                  </pic:spPr>
                </pic:pic>
              </a:graphicData>
            </a:graphic>
          </wp:inline>
        </w:drawing>
      </w:r>
      <w:r>
        <w:t>V těchto dodatcích smluvní strany dohodnou odpovídající změnu předmětu smlouvy, doby plnění a ceny za výkon činnosti.</w:t>
      </w:r>
    </w:p>
    <w:p w:rsidR="00BB3C42" w:rsidRDefault="005550D0">
      <w:pPr>
        <w:spacing w:after="192" w:line="259" w:lineRule="auto"/>
        <w:ind w:left="903" w:right="653" w:hanging="10"/>
        <w:jc w:val="center"/>
      </w:pPr>
      <w:r>
        <w:rPr>
          <w:sz w:val="26"/>
        </w:rPr>
        <w:t>III. Doba plnění</w:t>
      </w:r>
    </w:p>
    <w:p w:rsidR="00BB3C42" w:rsidRDefault="005550D0">
      <w:pPr>
        <w:spacing w:after="308"/>
        <w:ind w:left="10" w:right="91"/>
      </w:pPr>
      <w:r>
        <w:t>l . mluvní strany se dohodly, že činnost geotechnického dozorce stavby bude prováděna po dobu realizace stavby</w:t>
      </w:r>
    </w:p>
    <w:p w:rsidR="00BB3C42" w:rsidRDefault="005550D0">
      <w:pPr>
        <w:spacing w:after="445" w:line="265" w:lineRule="auto"/>
        <w:ind w:left="2411" w:hanging="10"/>
        <w:jc w:val="left"/>
      </w:pPr>
      <w:r>
        <w:rPr>
          <w:sz w:val="26"/>
        </w:rPr>
        <w:t>- předpokl</w:t>
      </w:r>
      <w:r w:rsidR="00B63CB9">
        <w:rPr>
          <w:sz w:val="26"/>
        </w:rPr>
        <w:t>ádaná doba výstavby 05/2015 - 11</w:t>
      </w:r>
      <w:r>
        <w:rPr>
          <w:sz w:val="26"/>
        </w:rPr>
        <w:t>/2016</w:t>
      </w:r>
    </w:p>
    <w:p w:rsidR="00BB3C42" w:rsidRDefault="005550D0">
      <w:pPr>
        <w:spacing w:after="221" w:line="259" w:lineRule="auto"/>
        <w:ind w:left="903" w:right="1056" w:hanging="10"/>
        <w:jc w:val="center"/>
      </w:pPr>
      <w:r>
        <w:rPr>
          <w:sz w:val="26"/>
        </w:rPr>
        <w:t>IV. Cena za dílo</w:t>
      </w:r>
    </w:p>
    <w:p w:rsidR="00BB3C42" w:rsidRDefault="005550D0">
      <w:pPr>
        <w:numPr>
          <w:ilvl w:val="0"/>
          <w:numId w:val="3"/>
        </w:numPr>
        <w:ind w:right="91" w:hanging="423"/>
      </w:pPr>
      <w:r>
        <w:t>Příkazce se zavazuje zaplatit příkazníkovi za výkon činnosti dohodnutou cenu stanovenou v souladu se zákonem č. 526/1990 Sb.</w:t>
      </w:r>
    </w:p>
    <w:p w:rsidR="00BB3C42" w:rsidRDefault="005550D0">
      <w:pPr>
        <w:numPr>
          <w:ilvl w:val="0"/>
          <w:numId w:val="3"/>
        </w:numPr>
        <w:ind w:right="91" w:hanging="423"/>
      </w:pPr>
      <w:r>
        <w:t>ceně jsou zahrnuty veškeré náklady spojené s poskytováním činnosti dozorce stavby.</w:t>
      </w:r>
    </w:p>
    <w:p w:rsidR="00BB3C42" w:rsidRDefault="005550D0">
      <w:pPr>
        <w:numPr>
          <w:ilvl w:val="0"/>
          <w:numId w:val="3"/>
        </w:numPr>
        <w:ind w:right="91" w:hanging="423"/>
      </w:pPr>
      <w:r>
        <w:t>Skutečný počet hodin nebo činnosti bude potvrzen stavebním dozorem investora.</w:t>
      </w:r>
    </w:p>
    <w:p w:rsidR="00BB3C42" w:rsidRDefault="005550D0">
      <w:pPr>
        <w:ind w:left="48" w:right="91"/>
      </w:pPr>
      <w:r>
        <w:rPr>
          <w:noProof/>
        </w:rPr>
        <w:drawing>
          <wp:inline distT="0" distB="0" distL="0" distR="0">
            <wp:extent cx="97582" cy="103637"/>
            <wp:effectExtent l="0" t="0" r="0" b="0"/>
            <wp:docPr id="16336" name="Picture 16336"/>
            <wp:cNvGraphicFramePr/>
            <a:graphic xmlns:a="http://schemas.openxmlformats.org/drawingml/2006/main">
              <a:graphicData uri="http://schemas.openxmlformats.org/drawingml/2006/picture">
                <pic:pic xmlns:pic="http://schemas.openxmlformats.org/drawingml/2006/picture">
                  <pic:nvPicPr>
                    <pic:cNvPr id="16336" name="Picture 16336"/>
                    <pic:cNvPicPr/>
                  </pic:nvPicPr>
                  <pic:blipFill>
                    <a:blip r:embed="rId17"/>
                    <a:stretch>
                      <a:fillRect/>
                    </a:stretch>
                  </pic:blipFill>
                  <pic:spPr>
                    <a:xfrm>
                      <a:off x="0" y="0"/>
                      <a:ext cx="97582" cy="103637"/>
                    </a:xfrm>
                    <a:prstGeom prst="rect">
                      <a:avLst/>
                    </a:prstGeom>
                  </pic:spPr>
                </pic:pic>
              </a:graphicData>
            </a:graphic>
          </wp:inline>
        </w:drawing>
      </w:r>
      <w:r>
        <w:t>Cena předmětu smlouvy dle č. II., odst. I . je stanovena jako nejvýše přípustná a činí:</w:t>
      </w:r>
    </w:p>
    <w:tbl>
      <w:tblPr>
        <w:tblStyle w:val="TableGrid"/>
        <w:tblW w:w="6108" w:type="dxa"/>
        <w:tblInd w:w="134" w:type="dxa"/>
        <w:tblCellMar>
          <w:top w:w="5" w:type="dxa"/>
        </w:tblCellMar>
        <w:tblLook w:val="04A0" w:firstRow="1" w:lastRow="0" w:firstColumn="1" w:lastColumn="0" w:noHBand="0" w:noVBand="1"/>
      </w:tblPr>
      <w:tblGrid>
        <w:gridCol w:w="3947"/>
        <w:gridCol w:w="2161"/>
      </w:tblGrid>
      <w:tr w:rsidR="00BB3C42">
        <w:trPr>
          <w:trHeight w:val="257"/>
        </w:trPr>
        <w:tc>
          <w:tcPr>
            <w:tcW w:w="3947" w:type="dxa"/>
            <w:tcBorders>
              <w:top w:val="nil"/>
              <w:left w:val="nil"/>
              <w:bottom w:val="nil"/>
              <w:right w:val="nil"/>
            </w:tcBorders>
          </w:tcPr>
          <w:p w:rsidR="00BB3C42" w:rsidRDefault="005550D0">
            <w:pPr>
              <w:tabs>
                <w:tab w:val="center" w:pos="1412"/>
              </w:tabs>
              <w:spacing w:after="0" w:line="259" w:lineRule="auto"/>
              <w:ind w:left="0" w:firstLine="0"/>
              <w:jc w:val="left"/>
            </w:pPr>
            <w:r>
              <w:rPr>
                <w:noProof/>
              </w:rPr>
              <w:lastRenderedPageBreak/>
              <w:drawing>
                <wp:inline distT="0" distB="0" distL="0" distR="0">
                  <wp:extent cx="6099" cy="60963"/>
                  <wp:effectExtent l="0" t="0" r="0" b="0"/>
                  <wp:docPr id="6712" name="Picture 6712"/>
                  <wp:cNvGraphicFramePr/>
                  <a:graphic xmlns:a="http://schemas.openxmlformats.org/drawingml/2006/main">
                    <a:graphicData uri="http://schemas.openxmlformats.org/drawingml/2006/picture">
                      <pic:pic xmlns:pic="http://schemas.openxmlformats.org/drawingml/2006/picture">
                        <pic:nvPicPr>
                          <pic:cNvPr id="6712" name="Picture 6712"/>
                          <pic:cNvPicPr/>
                        </pic:nvPicPr>
                        <pic:blipFill>
                          <a:blip r:embed="rId18"/>
                          <a:stretch>
                            <a:fillRect/>
                          </a:stretch>
                        </pic:blipFill>
                        <pic:spPr>
                          <a:xfrm>
                            <a:off x="0" y="0"/>
                            <a:ext cx="6099" cy="60963"/>
                          </a:xfrm>
                          <a:prstGeom prst="rect">
                            <a:avLst/>
                          </a:prstGeom>
                        </pic:spPr>
                      </pic:pic>
                    </a:graphicData>
                  </a:graphic>
                </wp:inline>
              </w:drawing>
            </w:r>
            <w:r>
              <w:rPr>
                <w:sz w:val="24"/>
              </w:rPr>
              <w:t xml:space="preserve">          Cena bez DPH</w:t>
            </w:r>
          </w:p>
        </w:tc>
        <w:tc>
          <w:tcPr>
            <w:tcW w:w="2161" w:type="dxa"/>
            <w:tcBorders>
              <w:top w:val="nil"/>
              <w:left w:val="nil"/>
              <w:bottom w:val="nil"/>
              <w:right w:val="nil"/>
            </w:tcBorders>
          </w:tcPr>
          <w:p w:rsidR="00BB3C42" w:rsidRDefault="005550D0">
            <w:pPr>
              <w:spacing w:after="0" w:line="259" w:lineRule="auto"/>
              <w:ind w:left="0" w:right="29" w:firstLine="0"/>
              <w:jc w:val="right"/>
            </w:pPr>
            <w:r>
              <w:rPr>
                <w:sz w:val="18"/>
              </w:rPr>
              <w:t>1 749 OOO,OO Kč</w:t>
            </w:r>
          </w:p>
        </w:tc>
      </w:tr>
      <w:tr w:rsidR="00BB3C42">
        <w:trPr>
          <w:trHeight w:val="272"/>
        </w:trPr>
        <w:tc>
          <w:tcPr>
            <w:tcW w:w="3947" w:type="dxa"/>
            <w:tcBorders>
              <w:top w:val="nil"/>
              <w:left w:val="nil"/>
              <w:bottom w:val="nil"/>
              <w:right w:val="nil"/>
            </w:tcBorders>
          </w:tcPr>
          <w:p w:rsidR="00BB3C42" w:rsidRDefault="005550D0">
            <w:pPr>
              <w:spacing w:after="0" w:line="259" w:lineRule="auto"/>
              <w:ind w:left="624" w:firstLine="0"/>
              <w:jc w:val="left"/>
            </w:pPr>
            <w:r>
              <w:rPr>
                <w:sz w:val="24"/>
              </w:rPr>
              <w:t xml:space="preserve">DPH 21 </w:t>
            </w:r>
            <w:r>
              <w:rPr>
                <w:sz w:val="24"/>
                <w:vertAlign w:val="superscript"/>
              </w:rPr>
              <w:t>0</w:t>
            </w:r>
            <w:r>
              <w:rPr>
                <w:sz w:val="24"/>
              </w:rPr>
              <w:t>/0</w:t>
            </w:r>
          </w:p>
        </w:tc>
        <w:tc>
          <w:tcPr>
            <w:tcW w:w="2161" w:type="dxa"/>
            <w:tcBorders>
              <w:top w:val="nil"/>
              <w:left w:val="nil"/>
              <w:bottom w:val="nil"/>
              <w:right w:val="nil"/>
            </w:tcBorders>
          </w:tcPr>
          <w:p w:rsidR="00BB3C42" w:rsidRDefault="005550D0">
            <w:pPr>
              <w:spacing w:after="0" w:line="259" w:lineRule="auto"/>
              <w:ind w:left="0" w:firstLine="0"/>
              <w:jc w:val="right"/>
            </w:pPr>
            <w:r>
              <w:rPr>
                <w:sz w:val="24"/>
              </w:rPr>
              <w:t>367 290,00 Kč</w:t>
            </w:r>
          </w:p>
        </w:tc>
      </w:tr>
      <w:tr w:rsidR="00BB3C42">
        <w:trPr>
          <w:trHeight w:val="258"/>
        </w:trPr>
        <w:tc>
          <w:tcPr>
            <w:tcW w:w="3947" w:type="dxa"/>
            <w:tcBorders>
              <w:top w:val="nil"/>
              <w:left w:val="nil"/>
              <w:bottom w:val="nil"/>
              <w:right w:val="nil"/>
            </w:tcBorders>
          </w:tcPr>
          <w:p w:rsidR="00BB3C42" w:rsidRDefault="005550D0">
            <w:pPr>
              <w:tabs>
                <w:tab w:val="center" w:pos="1518"/>
              </w:tabs>
              <w:spacing w:after="0" w:line="259" w:lineRule="auto"/>
              <w:ind w:left="0" w:firstLine="0"/>
              <w:jc w:val="left"/>
            </w:pPr>
            <w:r>
              <w:rPr>
                <w:noProof/>
              </w:rPr>
              <w:drawing>
                <wp:inline distT="0" distB="0" distL="0" distR="0">
                  <wp:extent cx="6099" cy="12193"/>
                  <wp:effectExtent l="0" t="0" r="0" b="0"/>
                  <wp:docPr id="6713" name="Picture 6713"/>
                  <wp:cNvGraphicFramePr/>
                  <a:graphic xmlns:a="http://schemas.openxmlformats.org/drawingml/2006/main">
                    <a:graphicData uri="http://schemas.openxmlformats.org/drawingml/2006/picture">
                      <pic:pic xmlns:pic="http://schemas.openxmlformats.org/drawingml/2006/picture">
                        <pic:nvPicPr>
                          <pic:cNvPr id="6713" name="Picture 6713"/>
                          <pic:cNvPicPr/>
                        </pic:nvPicPr>
                        <pic:blipFill>
                          <a:blip r:embed="rId19"/>
                          <a:stretch>
                            <a:fillRect/>
                          </a:stretch>
                        </pic:blipFill>
                        <pic:spPr>
                          <a:xfrm>
                            <a:off x="0" y="0"/>
                            <a:ext cx="6099" cy="12193"/>
                          </a:xfrm>
                          <a:prstGeom prst="rect">
                            <a:avLst/>
                          </a:prstGeom>
                        </pic:spPr>
                      </pic:pic>
                    </a:graphicData>
                  </a:graphic>
                </wp:inline>
              </w:drawing>
            </w:r>
            <w:r>
              <w:rPr>
                <w:sz w:val="26"/>
              </w:rPr>
              <w:tab/>
              <w:t xml:space="preserve"> Cena včetně DPH</w:t>
            </w:r>
          </w:p>
        </w:tc>
        <w:tc>
          <w:tcPr>
            <w:tcW w:w="2161" w:type="dxa"/>
            <w:tcBorders>
              <w:top w:val="nil"/>
              <w:left w:val="nil"/>
              <w:bottom w:val="nil"/>
              <w:right w:val="nil"/>
            </w:tcBorders>
          </w:tcPr>
          <w:p w:rsidR="00BB3C42" w:rsidRDefault="005550D0">
            <w:pPr>
              <w:spacing w:after="0" w:line="259" w:lineRule="auto"/>
              <w:ind w:left="0" w:right="19" w:firstLine="0"/>
              <w:jc w:val="right"/>
            </w:pPr>
            <w:r>
              <w:rPr>
                <w:sz w:val="24"/>
              </w:rPr>
              <w:t>2 116 290,00 Kč</w:t>
            </w:r>
          </w:p>
        </w:tc>
      </w:tr>
      <w:tr w:rsidR="005550D0">
        <w:trPr>
          <w:trHeight w:val="258"/>
        </w:trPr>
        <w:tc>
          <w:tcPr>
            <w:tcW w:w="3947" w:type="dxa"/>
            <w:tcBorders>
              <w:top w:val="nil"/>
              <w:left w:val="nil"/>
              <w:bottom w:val="nil"/>
              <w:right w:val="nil"/>
            </w:tcBorders>
          </w:tcPr>
          <w:p w:rsidR="005550D0" w:rsidRDefault="005550D0">
            <w:pPr>
              <w:tabs>
                <w:tab w:val="center" w:pos="1518"/>
              </w:tabs>
              <w:spacing w:after="0" w:line="259" w:lineRule="auto"/>
              <w:ind w:left="0" w:firstLine="0"/>
              <w:jc w:val="left"/>
              <w:rPr>
                <w:noProof/>
              </w:rPr>
            </w:pPr>
          </w:p>
        </w:tc>
        <w:tc>
          <w:tcPr>
            <w:tcW w:w="2161" w:type="dxa"/>
            <w:tcBorders>
              <w:top w:val="nil"/>
              <w:left w:val="nil"/>
              <w:bottom w:val="nil"/>
              <w:right w:val="nil"/>
            </w:tcBorders>
          </w:tcPr>
          <w:p w:rsidR="005550D0" w:rsidRDefault="005550D0">
            <w:pPr>
              <w:spacing w:after="0" w:line="259" w:lineRule="auto"/>
              <w:ind w:left="0" w:right="19" w:firstLine="0"/>
              <w:jc w:val="right"/>
              <w:rPr>
                <w:sz w:val="24"/>
              </w:rPr>
            </w:pPr>
          </w:p>
        </w:tc>
      </w:tr>
    </w:tbl>
    <w:p w:rsidR="00BB3C42" w:rsidRDefault="005550D0">
      <w:pPr>
        <w:spacing w:after="192" w:line="259" w:lineRule="auto"/>
        <w:ind w:left="903" w:right="567" w:hanging="10"/>
        <w:jc w:val="center"/>
      </w:pPr>
      <w:r>
        <w:rPr>
          <w:sz w:val="26"/>
        </w:rPr>
        <w:t>Platební podmínky</w:t>
      </w:r>
    </w:p>
    <w:p w:rsidR="00BB3C42" w:rsidRDefault="005550D0">
      <w:pPr>
        <w:ind w:left="230" w:right="91" w:hanging="163"/>
      </w:pPr>
      <w:r>
        <w:t xml:space="preserve">I Příkazce se zavazuje naplatit příkazníkovi cenu za výkon činnosti na základě faktur, vystavených příkazníkem, vždy za činnosti provedené v příslušném období dle skutečné odpracovaných hodin nebo </w:t>
      </w:r>
      <w:r>
        <w:rPr>
          <w:noProof/>
        </w:rPr>
        <w:drawing>
          <wp:inline distT="0" distB="0" distL="0" distR="0">
            <wp:extent cx="6099" cy="91444"/>
            <wp:effectExtent l="0" t="0" r="0" b="0"/>
            <wp:docPr id="16338" name="Picture 16338"/>
            <wp:cNvGraphicFramePr/>
            <a:graphic xmlns:a="http://schemas.openxmlformats.org/drawingml/2006/main">
              <a:graphicData uri="http://schemas.openxmlformats.org/drawingml/2006/picture">
                <pic:pic xmlns:pic="http://schemas.openxmlformats.org/drawingml/2006/picture">
                  <pic:nvPicPr>
                    <pic:cNvPr id="16338" name="Picture 16338"/>
                    <pic:cNvPicPr/>
                  </pic:nvPicPr>
                  <pic:blipFill>
                    <a:blip r:embed="rId20"/>
                    <a:stretch>
                      <a:fillRect/>
                    </a:stretch>
                  </pic:blipFill>
                  <pic:spPr>
                    <a:xfrm>
                      <a:off x="0" y="0"/>
                      <a:ext cx="6099" cy="91444"/>
                    </a:xfrm>
                    <a:prstGeom prst="rect">
                      <a:avLst/>
                    </a:prstGeom>
                  </pic:spPr>
                </pic:pic>
              </a:graphicData>
            </a:graphic>
          </wp:inline>
        </w:drawing>
      </w:r>
      <w:r>
        <w:t>činností, které budou vždy potvrzeny stavebním dozorem investora.</w:t>
      </w:r>
    </w:p>
    <w:p w:rsidR="00BB3C42" w:rsidRDefault="005550D0">
      <w:pPr>
        <w:ind w:left="337" w:right="91" w:hanging="106"/>
      </w:pPr>
      <w:r>
        <w:rPr>
          <w:noProof/>
        </w:rPr>
        <w:drawing>
          <wp:inline distT="0" distB="0" distL="0" distR="0">
            <wp:extent cx="12198" cy="24385"/>
            <wp:effectExtent l="0" t="0" r="0" b="0"/>
            <wp:docPr id="6716" name="Picture 6716"/>
            <wp:cNvGraphicFramePr/>
            <a:graphic xmlns:a="http://schemas.openxmlformats.org/drawingml/2006/main">
              <a:graphicData uri="http://schemas.openxmlformats.org/drawingml/2006/picture">
                <pic:pic xmlns:pic="http://schemas.openxmlformats.org/drawingml/2006/picture">
                  <pic:nvPicPr>
                    <pic:cNvPr id="6716" name="Picture 6716"/>
                    <pic:cNvPicPr/>
                  </pic:nvPicPr>
                  <pic:blipFill>
                    <a:blip r:embed="rId21"/>
                    <a:stretch>
                      <a:fillRect/>
                    </a:stretch>
                  </pic:blipFill>
                  <pic:spPr>
                    <a:xfrm>
                      <a:off x="0" y="0"/>
                      <a:ext cx="12198" cy="24385"/>
                    </a:xfrm>
                    <a:prstGeom prst="rect">
                      <a:avLst/>
                    </a:prstGeom>
                  </pic:spPr>
                </pic:pic>
              </a:graphicData>
            </a:graphic>
          </wp:inline>
        </w:drawing>
      </w:r>
      <w:r>
        <w:t xml:space="preserve"> Smluvní strany se dohodly na tom, že příkazníkem řádně vystavená faktura je splatná ve lhůtě splatnosti, která činí 30 kalendářních dní ode dne jejího doručení příkazci. Závazek příkazce zaplatit fakturu je splněn odepsáním fakturované částky z účtu příkazce ve prospěch účtu příkazníka.</w:t>
      </w:r>
    </w:p>
    <w:p w:rsidR="00BB3C42" w:rsidRDefault="005550D0">
      <w:pPr>
        <w:spacing w:after="549"/>
        <w:ind w:left="337" w:right="91" w:hanging="279"/>
      </w:pPr>
      <w:r>
        <w:t>3 Faktura musí obsahovat náležitosti daňového dokladu v souladu s platnými daňovými předpisy. Neúplnou fakturu je příkazce oprávněn vrátit k doplnění. V takovém případě se ruší původní lhůta splatnosti a nová lhůta začne běžet doručením řádně opravené nebo nově vyhotovené faktury příkazci.</w:t>
      </w:r>
    </w:p>
    <w:p w:rsidR="00BB3C42" w:rsidRDefault="005550D0">
      <w:pPr>
        <w:spacing w:after="0" w:line="259" w:lineRule="auto"/>
        <w:ind w:left="317" w:firstLine="0"/>
        <w:jc w:val="center"/>
      </w:pPr>
      <w:r>
        <w:rPr>
          <w:sz w:val="28"/>
        </w:rPr>
        <w:t>V</w:t>
      </w:r>
      <w:r w:rsidR="005402AC">
        <w:rPr>
          <w:sz w:val="28"/>
        </w:rPr>
        <w:t>I</w:t>
      </w:r>
      <w:bookmarkStart w:id="0" w:name="_GoBack"/>
      <w:bookmarkEnd w:id="0"/>
      <w:r>
        <w:rPr>
          <w:sz w:val="28"/>
        </w:rPr>
        <w:t>.</w:t>
      </w:r>
    </w:p>
    <w:p w:rsidR="00BB3C42" w:rsidRDefault="005550D0">
      <w:pPr>
        <w:spacing w:after="192" w:line="259" w:lineRule="auto"/>
        <w:ind w:left="903" w:right="567" w:hanging="10"/>
        <w:jc w:val="center"/>
      </w:pPr>
      <w:r>
        <w:rPr>
          <w:sz w:val="26"/>
        </w:rPr>
        <w:t>Smluvní pokuty</w:t>
      </w:r>
    </w:p>
    <w:p w:rsidR="00BB3C42" w:rsidRDefault="005402AC">
      <w:pPr>
        <w:ind w:left="326" w:right="91" w:hanging="259"/>
      </w:pPr>
      <w:r>
        <w:t>1.</w:t>
      </w:r>
      <w:r w:rsidR="005550D0">
        <w:t xml:space="preserve"> Při nedodržení povinností stanovených pro geotechnický dozor stavby při realizaci stavby, vyplývající z této smlouvy, je příkazník povinen zaplatit příkazci s</w:t>
      </w:r>
      <w:r>
        <w:t>mluvní pokutu ve výši 1.000</w:t>
      </w:r>
      <w:r w:rsidR="005550D0">
        <w:t>,- Kč za každý případ.</w:t>
      </w:r>
    </w:p>
    <w:p w:rsidR="00BB3C42" w:rsidRDefault="005402AC">
      <w:pPr>
        <w:spacing w:after="503"/>
        <w:ind w:left="202" w:right="91" w:hanging="154"/>
      </w:pPr>
      <w:r>
        <w:t>2.</w:t>
      </w:r>
      <w:r w:rsidR="005550D0">
        <w:t xml:space="preserve"> Při neúčasti příkazníka na staveništi při pracích vyžadujících jeho účast je příkazník povinen zaplatit </w:t>
      </w:r>
      <w:r w:rsidR="005550D0">
        <w:rPr>
          <w:noProof/>
        </w:rPr>
        <w:drawing>
          <wp:inline distT="0" distB="0" distL="0" distR="0">
            <wp:extent cx="6099" cy="48770"/>
            <wp:effectExtent l="0" t="0" r="0" b="0"/>
            <wp:docPr id="6717" name="Picture 6717"/>
            <wp:cNvGraphicFramePr/>
            <a:graphic xmlns:a="http://schemas.openxmlformats.org/drawingml/2006/main">
              <a:graphicData uri="http://schemas.openxmlformats.org/drawingml/2006/picture">
                <pic:pic xmlns:pic="http://schemas.openxmlformats.org/drawingml/2006/picture">
                  <pic:nvPicPr>
                    <pic:cNvPr id="6717" name="Picture 6717"/>
                    <pic:cNvPicPr/>
                  </pic:nvPicPr>
                  <pic:blipFill>
                    <a:blip r:embed="rId22"/>
                    <a:stretch>
                      <a:fillRect/>
                    </a:stretch>
                  </pic:blipFill>
                  <pic:spPr>
                    <a:xfrm>
                      <a:off x="0" y="0"/>
                      <a:ext cx="6099" cy="48770"/>
                    </a:xfrm>
                    <a:prstGeom prst="rect">
                      <a:avLst/>
                    </a:prstGeom>
                  </pic:spPr>
                </pic:pic>
              </a:graphicData>
            </a:graphic>
          </wp:inline>
        </w:drawing>
      </w:r>
      <w:r w:rsidR="005550D0">
        <w:t xml:space="preserve"> </w:t>
      </w:r>
      <w:r>
        <w:t xml:space="preserve"> </w:t>
      </w:r>
      <w:r w:rsidR="005550D0">
        <w:t>příkazci smluvní pokutu ve výši I .000,- Kč/den.</w:t>
      </w:r>
    </w:p>
    <w:p w:rsidR="00BB3C42" w:rsidRDefault="005550D0">
      <w:pPr>
        <w:spacing w:after="0" w:line="259" w:lineRule="auto"/>
        <w:ind w:left="903" w:right="941" w:hanging="10"/>
        <w:jc w:val="center"/>
      </w:pPr>
      <w:r>
        <w:rPr>
          <w:sz w:val="26"/>
        </w:rPr>
        <w:t>VII.</w:t>
      </w:r>
    </w:p>
    <w:p w:rsidR="00BB3C42" w:rsidRDefault="005550D0">
      <w:pPr>
        <w:spacing w:after="192" w:line="259" w:lineRule="auto"/>
        <w:ind w:left="903" w:right="941" w:hanging="10"/>
        <w:jc w:val="center"/>
      </w:pPr>
      <w:r>
        <w:rPr>
          <w:sz w:val="26"/>
        </w:rPr>
        <w:t>Další ujednání</w:t>
      </w:r>
    </w:p>
    <w:p w:rsidR="00BB3C42" w:rsidRDefault="005402AC" w:rsidP="005402AC">
      <w:pPr>
        <w:ind w:left="284" w:right="91" w:hanging="284"/>
      </w:pPr>
      <w:r>
        <w:t xml:space="preserve">l. </w:t>
      </w:r>
      <w:r w:rsidR="005550D0">
        <w:t xml:space="preserve">Příkazník oznámí příkazci písemně jméno pracovníka (pracovníků), odpovědného za výkon funkce </w:t>
      </w:r>
      <w:r w:rsidR="005550D0">
        <w:rPr>
          <w:noProof/>
        </w:rPr>
        <w:drawing>
          <wp:inline distT="0" distB="0" distL="0" distR="0">
            <wp:extent cx="6099" cy="97541"/>
            <wp:effectExtent l="0" t="0" r="0" b="0"/>
            <wp:docPr id="16340" name="Picture 16340"/>
            <wp:cNvGraphicFramePr/>
            <a:graphic xmlns:a="http://schemas.openxmlformats.org/drawingml/2006/main">
              <a:graphicData uri="http://schemas.openxmlformats.org/drawingml/2006/picture">
                <pic:pic xmlns:pic="http://schemas.openxmlformats.org/drawingml/2006/picture">
                  <pic:nvPicPr>
                    <pic:cNvPr id="16340" name="Picture 16340"/>
                    <pic:cNvPicPr/>
                  </pic:nvPicPr>
                  <pic:blipFill>
                    <a:blip r:embed="rId23"/>
                    <a:stretch>
                      <a:fillRect/>
                    </a:stretch>
                  </pic:blipFill>
                  <pic:spPr>
                    <a:xfrm>
                      <a:off x="0" y="0"/>
                      <a:ext cx="6099" cy="97541"/>
                    </a:xfrm>
                    <a:prstGeom prst="rect">
                      <a:avLst/>
                    </a:prstGeom>
                  </pic:spPr>
                </pic:pic>
              </a:graphicData>
            </a:graphic>
          </wp:inline>
        </w:drawing>
      </w:r>
      <w:r w:rsidR="005550D0">
        <w:t xml:space="preserve">I </w:t>
      </w:r>
      <w:r>
        <w:t xml:space="preserve">  </w:t>
      </w:r>
      <w:r w:rsidR="005550D0">
        <w:t>geotechnického dozoru investora stavby.</w:t>
      </w:r>
    </w:p>
    <w:p w:rsidR="00BB3C42" w:rsidRDefault="005550D0">
      <w:pPr>
        <w:numPr>
          <w:ilvl w:val="0"/>
          <w:numId w:val="4"/>
        </w:numPr>
        <w:ind w:right="91" w:hanging="250"/>
      </w:pPr>
      <w:r>
        <w:t>V případě, že v průběhu poskytování geotechnického dozoru nebude určený pracovník schopen výkonu práce, zajistí příkazník na základě své předchozí žádosti a po souhlasu příkazce jeho náhradu.</w:t>
      </w:r>
    </w:p>
    <w:p w:rsidR="00BB3C42" w:rsidRDefault="005550D0">
      <w:pPr>
        <w:numPr>
          <w:ilvl w:val="0"/>
          <w:numId w:val="4"/>
        </w:numPr>
        <w:ind w:right="91" w:hanging="250"/>
      </w:pPr>
      <w:r>
        <w:t xml:space="preserve">Příkazník bude při plnění této smlouvy postupovat s odbornou péčí. Zavazuje se dodržovat obecně </w:t>
      </w:r>
      <w:r>
        <w:rPr>
          <w:noProof/>
        </w:rPr>
        <w:drawing>
          <wp:inline distT="0" distB="0" distL="0" distR="0">
            <wp:extent cx="48791" cy="42674"/>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24"/>
                    <a:stretch>
                      <a:fillRect/>
                    </a:stretch>
                  </pic:blipFill>
                  <pic:spPr>
                    <a:xfrm>
                      <a:off x="0" y="0"/>
                      <a:ext cx="48791" cy="42674"/>
                    </a:xfrm>
                    <a:prstGeom prst="rect">
                      <a:avLst/>
                    </a:prstGeom>
                  </pic:spPr>
                </pic:pic>
              </a:graphicData>
            </a:graphic>
          </wp:inline>
        </w:drawing>
      </w:r>
      <w:r>
        <w:t>závazné předpisy a technické normy, které se vztahují k výkonu činnosti.</w:t>
      </w:r>
    </w:p>
    <w:p w:rsidR="00BB3C42" w:rsidRDefault="005550D0">
      <w:pPr>
        <w:numPr>
          <w:ilvl w:val="0"/>
          <w:numId w:val="4"/>
        </w:numPr>
        <w:spacing w:after="792"/>
        <w:ind w:right="91" w:hanging="250"/>
      </w:pPr>
      <w:r>
        <w:t xml:space="preserve">'Příkazník považuje informace a údaje poskytované v souvislosti s plněním této smlouvy za důvěrné. Příkazník se zavazuje, že neposkytne jiným fyzickým či právnickým osobám, jiným osobám či institucím informace o výkonu své činnosti v rozsahu této smlouvy. Příkazník ručí za to, že v průběhu výkonu </w:t>
      </w:r>
      <w:r w:rsidR="005402AC">
        <w:rPr>
          <w:noProof/>
        </w:rPr>
        <w:t>č</w:t>
      </w:r>
      <w:r>
        <w:t>innosti nevznikne u něho a jeho pracovníků konflikt zájmů.</w:t>
      </w:r>
    </w:p>
    <w:p w:rsidR="00BB3C42" w:rsidRDefault="00B63CB9" w:rsidP="00B63CB9">
      <w:pPr>
        <w:spacing w:after="0" w:line="259" w:lineRule="auto"/>
        <w:ind w:left="231" w:hanging="10"/>
        <w:jc w:val="center"/>
      </w:pPr>
      <w:r>
        <w:rPr>
          <w:sz w:val="34"/>
        </w:rPr>
        <w:t>VIII</w:t>
      </w:r>
      <w:r w:rsidR="005550D0">
        <w:rPr>
          <w:sz w:val="34"/>
        </w:rPr>
        <w:t>.</w:t>
      </w:r>
    </w:p>
    <w:p w:rsidR="00BB3C42" w:rsidRDefault="005550D0">
      <w:pPr>
        <w:spacing w:after="0" w:line="259" w:lineRule="auto"/>
        <w:ind w:left="903" w:right="682" w:hanging="10"/>
        <w:jc w:val="center"/>
      </w:pPr>
      <w:r>
        <w:rPr>
          <w:sz w:val="26"/>
        </w:rPr>
        <w:t>Způsob a místo výkonu činnosti</w:t>
      </w:r>
    </w:p>
    <w:p w:rsidR="00BB3C42" w:rsidRDefault="005550D0">
      <w:pPr>
        <w:ind w:left="260" w:right="91" w:hanging="202"/>
      </w:pPr>
      <w:r>
        <w:t xml:space="preserve">I. </w:t>
      </w:r>
      <w:r w:rsidR="00B63CB9">
        <w:t>V</w:t>
      </w:r>
      <w:r>
        <w:t>ýkon činnosti bude prováděn na stavbě i mimo ni (administ</w:t>
      </w:r>
      <w:r w:rsidR="00B63CB9">
        <w:t>r</w:t>
      </w:r>
      <w:r>
        <w:t>.činnost apod.) a doklady o jeho výkonu zápisy do stavebního deníku, doklady o předání staveniště apod.) budou předávány průběžně osobně Pověřenému zástupci příkazce.</w:t>
      </w:r>
    </w:p>
    <w:p w:rsidR="00BB3C42" w:rsidRDefault="005550D0">
      <w:pPr>
        <w:ind w:left="307" w:right="91" w:hanging="288"/>
      </w:pPr>
      <w:r>
        <w:t>2. Příkazník je oprávněn ukončit výkon činnosti i před sjednanou dobou, pokud bude stavba dokončena dříve.</w:t>
      </w:r>
    </w:p>
    <w:p w:rsidR="00BB3C42" w:rsidRDefault="005550D0">
      <w:pPr>
        <w:spacing w:after="255" w:line="259" w:lineRule="auto"/>
        <w:ind w:left="903" w:right="413" w:hanging="10"/>
        <w:jc w:val="center"/>
      </w:pPr>
      <w:r>
        <w:rPr>
          <w:sz w:val="26"/>
        </w:rPr>
        <w:t>Věci určené k výkonu činnosti příkazce</w:t>
      </w:r>
    </w:p>
    <w:p w:rsidR="00B63CB9" w:rsidRDefault="00B63CB9" w:rsidP="00B63CB9">
      <w:pPr>
        <w:spacing w:after="808"/>
        <w:ind w:left="426" w:firstLine="141"/>
        <w:jc w:val="center"/>
        <w:rPr>
          <w:sz w:val="20"/>
          <w:szCs w:val="20"/>
        </w:rPr>
      </w:pPr>
      <w:r>
        <w:rPr>
          <w:sz w:val="28"/>
          <w:szCs w:val="28"/>
        </w:rPr>
        <w:lastRenderedPageBreak/>
        <w:t>IX.</w:t>
      </w:r>
    </w:p>
    <w:p w:rsidR="00B63CB9" w:rsidRPr="00B63CB9" w:rsidRDefault="00B63CB9" w:rsidP="00B63CB9">
      <w:pPr>
        <w:spacing w:after="808"/>
        <w:ind w:left="184" w:hanging="42"/>
        <w:jc w:val="center"/>
        <w:rPr>
          <w:sz w:val="28"/>
          <w:szCs w:val="28"/>
        </w:rPr>
      </w:pPr>
      <w:r w:rsidRPr="00B63CB9">
        <w:rPr>
          <w:sz w:val="28"/>
          <w:szCs w:val="28"/>
        </w:rPr>
        <w:t>Věci určené k výkonu činnosti příkazce</w:t>
      </w:r>
    </w:p>
    <w:p w:rsidR="00B63CB9" w:rsidRDefault="00B63CB9" w:rsidP="00B63CB9">
      <w:pPr>
        <w:pStyle w:val="Odstavecseseznamem"/>
        <w:numPr>
          <w:ilvl w:val="0"/>
          <w:numId w:val="6"/>
        </w:numPr>
        <w:spacing w:after="808"/>
      </w:pPr>
      <w:r>
        <w:t xml:space="preserve">Činnosti specifikované </w:t>
      </w:r>
      <w:r w:rsidR="005550D0">
        <w:t xml:space="preserve">v č. II. budou vykonávány v souladu s podklady příkazce. Příkazce se zavazuje k zajištění výkonu činností zejména následující: </w:t>
      </w:r>
    </w:p>
    <w:p w:rsidR="00B63CB9" w:rsidRDefault="00B63CB9" w:rsidP="00B63CB9">
      <w:pPr>
        <w:pStyle w:val="Odstavecseseznamem"/>
        <w:spacing w:after="808"/>
        <w:ind w:left="502" w:firstLine="0"/>
      </w:pPr>
      <w:r>
        <w:t xml:space="preserve">- </w:t>
      </w:r>
      <w:r w:rsidR="005550D0">
        <w:t xml:space="preserve">projektovou dokumentaci pro provádění stavby </w:t>
      </w:r>
    </w:p>
    <w:p w:rsidR="00B63CB9" w:rsidRDefault="00B63CB9" w:rsidP="00B63CB9">
      <w:pPr>
        <w:pStyle w:val="Odstavecseseznamem"/>
        <w:spacing w:after="808"/>
        <w:ind w:left="502" w:firstLine="0"/>
      </w:pPr>
      <w:r>
        <w:t xml:space="preserve">- </w:t>
      </w:r>
      <w:r w:rsidR="005550D0">
        <w:t>vydaná stavební povolení</w:t>
      </w:r>
      <w:r>
        <w:t xml:space="preserve"> </w:t>
      </w:r>
    </w:p>
    <w:p w:rsidR="00B63CB9" w:rsidRDefault="00B63CB9" w:rsidP="00B63CB9">
      <w:pPr>
        <w:pStyle w:val="Odstavecseseznamem"/>
        <w:spacing w:after="808"/>
        <w:ind w:left="502" w:firstLine="0"/>
      </w:pPr>
      <w:r>
        <w:t>-</w:t>
      </w:r>
      <w:r w:rsidR="005550D0">
        <w:t xml:space="preserve"> smlouvu se zhotovitelem stavby</w:t>
      </w:r>
    </w:p>
    <w:p w:rsidR="00BB3C42" w:rsidRDefault="00B63CB9" w:rsidP="00B63CB9">
      <w:pPr>
        <w:pStyle w:val="Odstavecseseznamem"/>
        <w:spacing w:after="808"/>
        <w:ind w:left="426" w:hanging="284"/>
      </w:pPr>
      <w:r>
        <w:t>2.  Příkazce se zavazuje,</w:t>
      </w:r>
      <w:r w:rsidR="005550D0">
        <w:t xml:space="preserve"> že na vyzvání příkazníka mu bez zbytečného odkladu poskytne další vyjádření, </w:t>
      </w:r>
      <w:r>
        <w:t xml:space="preserve"> stanoviska, případně podklady, </w:t>
      </w:r>
      <w:r w:rsidR="005550D0">
        <w:t>jejichž potřeba vznikne v průběhu st</w:t>
      </w:r>
      <w:r>
        <w:t>avby a příkazník není povinen si</w:t>
      </w:r>
      <w:r w:rsidR="005550D0">
        <w:t xml:space="preserve"> je</w:t>
      </w:r>
      <w:r>
        <w:t xml:space="preserve"> opatřit sám.</w:t>
      </w:r>
    </w:p>
    <w:p w:rsidR="00BB3C42" w:rsidRDefault="005550D0">
      <w:pPr>
        <w:spacing w:after="0" w:line="259" w:lineRule="auto"/>
        <w:ind w:left="231" w:right="96" w:hanging="10"/>
        <w:jc w:val="center"/>
      </w:pPr>
      <w:r>
        <w:rPr>
          <w:sz w:val="34"/>
        </w:rPr>
        <w:t>x.</w:t>
      </w:r>
    </w:p>
    <w:p w:rsidR="00BB3C42" w:rsidRDefault="005550D0">
      <w:pPr>
        <w:spacing w:after="237" w:line="259" w:lineRule="auto"/>
        <w:ind w:left="903" w:right="480" w:hanging="10"/>
        <w:jc w:val="center"/>
      </w:pPr>
      <w:r>
        <w:rPr>
          <w:sz w:val="26"/>
        </w:rPr>
        <w:t>Závěrečná ustanovení</w:t>
      </w:r>
    </w:p>
    <w:p w:rsidR="00BB3C42" w:rsidRDefault="00B63CB9" w:rsidP="00B63CB9">
      <w:pPr>
        <w:pStyle w:val="Odstavecseseznamem"/>
        <w:numPr>
          <w:ilvl w:val="0"/>
          <w:numId w:val="8"/>
        </w:numPr>
        <w:spacing w:after="230" w:line="259" w:lineRule="auto"/>
        <w:ind w:left="426" w:right="431" w:hanging="284"/>
        <w:jc w:val="left"/>
      </w:pPr>
      <w:r>
        <w:t xml:space="preserve">Smluvní strany se dohodly, že případné </w:t>
      </w:r>
      <w:r w:rsidR="005550D0">
        <w:t xml:space="preserve">spory vzniklé ze závazků jednaných touto smlouvou budou </w:t>
      </w:r>
      <w:r w:rsidR="005402AC">
        <w:t xml:space="preserve">      </w:t>
      </w:r>
      <w:r w:rsidR="005550D0">
        <w:t>řešit</w:t>
      </w:r>
      <w:r>
        <w:t xml:space="preserve"> vzájemným jednáním.</w:t>
      </w:r>
    </w:p>
    <w:p w:rsidR="005402AC" w:rsidRDefault="005402AC" w:rsidP="00B63CB9">
      <w:pPr>
        <w:pStyle w:val="Odstavecseseznamem"/>
        <w:numPr>
          <w:ilvl w:val="0"/>
          <w:numId w:val="8"/>
        </w:numPr>
        <w:spacing w:after="230" w:line="259" w:lineRule="auto"/>
        <w:ind w:left="426" w:right="431" w:hanging="284"/>
        <w:jc w:val="left"/>
      </w:pPr>
      <w:r>
        <w:t>Ve věcech touto smlouvou neupravených se smluvní vztah řídí občanským zákoníkem.</w:t>
      </w:r>
    </w:p>
    <w:p w:rsidR="005402AC" w:rsidRDefault="005402AC" w:rsidP="00B63CB9">
      <w:pPr>
        <w:pStyle w:val="Odstavecseseznamem"/>
        <w:numPr>
          <w:ilvl w:val="0"/>
          <w:numId w:val="8"/>
        </w:numPr>
        <w:spacing w:after="230" w:line="259" w:lineRule="auto"/>
        <w:ind w:left="426" w:right="431" w:hanging="284"/>
        <w:jc w:val="left"/>
      </w:pPr>
      <w:r>
        <w:t>Tuto smlouvu lze měnit jen vzájemnou dohodou smluvních stran, a to pouze písemnou formou.</w:t>
      </w:r>
    </w:p>
    <w:p w:rsidR="005402AC" w:rsidRDefault="005402AC" w:rsidP="00B63CB9">
      <w:pPr>
        <w:pStyle w:val="Odstavecseseznamem"/>
        <w:numPr>
          <w:ilvl w:val="0"/>
          <w:numId w:val="8"/>
        </w:numPr>
        <w:spacing w:after="230" w:line="259" w:lineRule="auto"/>
        <w:ind w:left="426" w:right="431" w:hanging="284"/>
        <w:jc w:val="left"/>
      </w:pPr>
      <w:r>
        <w:t>Tato smlouva se sepisuje ve čtyřech vyhotoveních, z nichž každá smluvní strana obdrží dva výtisky.</w:t>
      </w:r>
    </w:p>
    <w:p w:rsidR="005402AC" w:rsidRDefault="005402AC" w:rsidP="00B63CB9">
      <w:pPr>
        <w:pStyle w:val="Odstavecseseznamem"/>
        <w:numPr>
          <w:ilvl w:val="0"/>
          <w:numId w:val="8"/>
        </w:numPr>
        <w:spacing w:after="230" w:line="259" w:lineRule="auto"/>
        <w:ind w:left="426" w:right="431" w:hanging="284"/>
        <w:jc w:val="left"/>
      </w:pPr>
      <w:r>
        <w:t>Smluvní strany prohlašují, že toto je jejich svobodná, pravá a vážně míněná vůle uzavřít smlouvu s výše uvedeným obsahem. Na důkaz toho připojují oprávnění zástupci smluvních stran své podpisy.</w:t>
      </w:r>
    </w:p>
    <w:p w:rsidR="005402AC" w:rsidRDefault="005402AC" w:rsidP="00B63CB9">
      <w:pPr>
        <w:pStyle w:val="Odstavecseseznamem"/>
        <w:numPr>
          <w:ilvl w:val="0"/>
          <w:numId w:val="8"/>
        </w:numPr>
        <w:spacing w:after="230" w:line="259" w:lineRule="auto"/>
        <w:ind w:left="426" w:right="431" w:hanging="284"/>
        <w:jc w:val="left"/>
      </w:pPr>
      <w:r>
        <w:t>Tato smlouva vstupuje v platnost dnem podpisu oběma stranami.</w:t>
      </w:r>
    </w:p>
    <w:p w:rsidR="005402AC" w:rsidRDefault="005402AC" w:rsidP="005402AC">
      <w:pPr>
        <w:pStyle w:val="Odstavecseseznamem"/>
        <w:spacing w:after="230" w:line="259" w:lineRule="auto"/>
        <w:ind w:left="426" w:right="431" w:firstLine="0"/>
        <w:jc w:val="left"/>
      </w:pPr>
    </w:p>
    <w:p w:rsidR="005402AC" w:rsidRDefault="005402AC" w:rsidP="005402AC">
      <w:pPr>
        <w:pStyle w:val="Odstavecseseznamem"/>
        <w:spacing w:after="230" w:line="259" w:lineRule="auto"/>
        <w:ind w:left="426" w:right="431" w:firstLine="0"/>
        <w:jc w:val="left"/>
      </w:pPr>
    </w:p>
    <w:p w:rsidR="005402AC" w:rsidRDefault="005402AC" w:rsidP="005402AC">
      <w:pPr>
        <w:pStyle w:val="Odstavecseseznamem"/>
        <w:spacing w:after="230" w:line="259" w:lineRule="auto"/>
        <w:ind w:left="426" w:right="431" w:firstLine="0"/>
        <w:jc w:val="left"/>
      </w:pPr>
    </w:p>
    <w:p w:rsidR="005402AC" w:rsidRDefault="005402AC" w:rsidP="005402AC">
      <w:pPr>
        <w:pStyle w:val="Odstavecseseznamem"/>
        <w:spacing w:after="230" w:line="259" w:lineRule="auto"/>
        <w:ind w:left="426" w:right="431" w:hanging="426"/>
        <w:jc w:val="left"/>
      </w:pPr>
      <w:r>
        <w:t xml:space="preserve">  Datum:  27-05-2015</w:t>
      </w:r>
      <w:r>
        <w:tab/>
      </w:r>
      <w:r>
        <w:tab/>
      </w:r>
      <w:r>
        <w:tab/>
      </w:r>
      <w:r>
        <w:tab/>
      </w:r>
      <w:r>
        <w:tab/>
      </w:r>
      <w:r>
        <w:tab/>
        <w:t>Datum: 25-05-2015</w:t>
      </w:r>
    </w:p>
    <w:sectPr w:rsidR="005402AC">
      <w:type w:val="continuous"/>
      <w:pgSz w:w="11900" w:h="16820"/>
      <w:pgMar w:top="1352" w:right="864" w:bottom="1804" w:left="124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3BB" w:rsidRDefault="005550D0">
      <w:pPr>
        <w:spacing w:after="0" w:line="240" w:lineRule="auto"/>
      </w:pPr>
      <w:r>
        <w:separator/>
      </w:r>
    </w:p>
  </w:endnote>
  <w:endnote w:type="continuationSeparator" w:id="0">
    <w:p w:rsidR="007743BB" w:rsidRDefault="0055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42" w:rsidRDefault="005550D0">
    <w:pPr>
      <w:spacing w:after="0" w:line="259" w:lineRule="auto"/>
      <w:ind w:left="0" w:right="-826" w:firstLine="0"/>
      <w:jc w:val="right"/>
    </w:pPr>
    <w:r>
      <w:fldChar w:fldCharType="begin"/>
    </w:r>
    <w:r>
      <w:instrText xml:space="preserve"> PAGE   \* MERGEFORMAT </w:instrText>
    </w:r>
    <w:r>
      <w:fldChar w:fldCharType="separate"/>
    </w:r>
    <w:r>
      <w:rPr>
        <w:sz w:val="16"/>
      </w:rPr>
      <w:t>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42" w:rsidRDefault="005550D0">
    <w:pPr>
      <w:spacing w:after="0" w:line="259" w:lineRule="auto"/>
      <w:ind w:left="0" w:right="-826" w:firstLine="0"/>
      <w:jc w:val="right"/>
    </w:pPr>
    <w:r>
      <w:fldChar w:fldCharType="begin"/>
    </w:r>
    <w:r>
      <w:instrText xml:space="preserve"> PAGE   \* MERGEFORMAT </w:instrText>
    </w:r>
    <w:r>
      <w:fldChar w:fldCharType="separate"/>
    </w:r>
    <w:r w:rsidR="005402AC" w:rsidRPr="005402AC">
      <w:rPr>
        <w:noProof/>
        <w:sz w:val="16"/>
      </w:rPr>
      <w:t>4</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C42" w:rsidRDefault="00BB3C4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3BB" w:rsidRDefault="005550D0">
      <w:pPr>
        <w:spacing w:after="0" w:line="240" w:lineRule="auto"/>
      </w:pPr>
      <w:r>
        <w:separator/>
      </w:r>
    </w:p>
  </w:footnote>
  <w:footnote w:type="continuationSeparator" w:id="0">
    <w:p w:rsidR="007743BB" w:rsidRDefault="00555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70F9B"/>
    <w:multiLevelType w:val="hybridMultilevel"/>
    <w:tmpl w:val="66DC70E8"/>
    <w:lvl w:ilvl="0" w:tplc="1E5288A4">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 w15:restartNumberingAfterBreak="0">
    <w:nsid w:val="3D245C9D"/>
    <w:multiLevelType w:val="hybridMultilevel"/>
    <w:tmpl w:val="956A6ADE"/>
    <w:lvl w:ilvl="0" w:tplc="5F34DA1C">
      <w:start w:val="1"/>
      <w:numFmt w:val="decimal"/>
      <w:lvlText w:val="%1."/>
      <w:lvlJc w:val="left"/>
      <w:pPr>
        <w:ind w:left="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D07D30">
      <w:start w:val="1"/>
      <w:numFmt w:val="lowerLetter"/>
      <w:lvlText w:val="%2"/>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8C6A96">
      <w:start w:val="1"/>
      <w:numFmt w:val="lowerRoman"/>
      <w:lvlText w:val="%3"/>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00A090">
      <w:start w:val="1"/>
      <w:numFmt w:val="decimal"/>
      <w:lvlText w:val="%4"/>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6C9822">
      <w:start w:val="1"/>
      <w:numFmt w:val="lowerLetter"/>
      <w:lvlText w:val="%5"/>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5035F8">
      <w:start w:val="1"/>
      <w:numFmt w:val="lowerRoman"/>
      <w:lvlText w:val="%6"/>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328ADA">
      <w:start w:val="1"/>
      <w:numFmt w:val="decimal"/>
      <w:lvlText w:val="%7"/>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54433E">
      <w:start w:val="1"/>
      <w:numFmt w:val="lowerLetter"/>
      <w:lvlText w:val="%8"/>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D43CE6">
      <w:start w:val="1"/>
      <w:numFmt w:val="lowerRoman"/>
      <w:lvlText w:val="%9"/>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AD5793"/>
    <w:multiLevelType w:val="hybridMultilevel"/>
    <w:tmpl w:val="E9F0607E"/>
    <w:lvl w:ilvl="0" w:tplc="36AA74E0">
      <w:start w:val="2"/>
      <w:numFmt w:val="decimal"/>
      <w:lvlText w:val="%1."/>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88346">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E62C9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64A76">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E072C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45A86">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4EA7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4FC4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50A89C">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F37D30"/>
    <w:multiLevelType w:val="hybridMultilevel"/>
    <w:tmpl w:val="E15630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A546C5"/>
    <w:multiLevelType w:val="hybridMultilevel"/>
    <w:tmpl w:val="4A447426"/>
    <w:lvl w:ilvl="0" w:tplc="3252FA90">
      <w:start w:val="8"/>
      <w:numFmt w:val="lowerLetter"/>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07E70">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3A5E96">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E3378">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079FE">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AFBA2">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AA31C">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167810">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621F0">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F531A0"/>
    <w:multiLevelType w:val="hybridMultilevel"/>
    <w:tmpl w:val="567655E6"/>
    <w:lvl w:ilvl="0" w:tplc="66065F1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78762095"/>
    <w:multiLevelType w:val="hybridMultilevel"/>
    <w:tmpl w:val="A0DEF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F85DE5"/>
    <w:multiLevelType w:val="hybridMultilevel"/>
    <w:tmpl w:val="AEDCCB6A"/>
    <w:lvl w:ilvl="0" w:tplc="412A6E3E">
      <w:start w:val="1"/>
      <w:numFmt w:val="lowerLetter"/>
      <w:lvlText w:val="%1)"/>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F4EAA4">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964192">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642898">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2F4E696">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C643A6">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40FB98">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7EBB32">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F8793E">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42"/>
    <w:rsid w:val="00420621"/>
    <w:rsid w:val="005402AC"/>
    <w:rsid w:val="005550D0"/>
    <w:rsid w:val="007743BB"/>
    <w:rsid w:val="00B63CB9"/>
    <w:rsid w:val="00BB3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DA8C"/>
  <w15:docId w15:val="{E07AB6B8-64E1-4D29-9E0D-82F5793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50" w:lineRule="auto"/>
      <w:ind w:left="163" w:firstLine="9"/>
      <w:jc w:val="both"/>
    </w:pPr>
    <w:rPr>
      <w:rFonts w:ascii="Times New Roman" w:eastAsia="Times New Roman" w:hAnsi="Times New Roman" w:cs="Times New Roman"/>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420621"/>
    <w:pPr>
      <w:ind w:left="720"/>
      <w:contextualSpacing/>
    </w:pPr>
  </w:style>
  <w:style w:type="paragraph" w:styleId="Zhlav">
    <w:name w:val="header"/>
    <w:basedOn w:val="Normln"/>
    <w:link w:val="ZhlavChar"/>
    <w:uiPriority w:val="99"/>
    <w:unhideWhenUsed/>
    <w:rsid w:val="005402A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02A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jpg"/><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 Id="rId22" Type="http://schemas.openxmlformats.org/officeDocument/2006/relationships/image" Target="media/image1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7400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2</cp:revision>
  <dcterms:created xsi:type="dcterms:W3CDTF">2016-11-30T12:19:00Z</dcterms:created>
  <dcterms:modified xsi:type="dcterms:W3CDTF">2016-11-30T12:19:00Z</dcterms:modified>
</cp:coreProperties>
</file>