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A08" w:rsidRDefault="00EF2C18">
      <w:pPr>
        <w:pStyle w:val="Standard"/>
        <w:spacing w:before="227" w:after="57"/>
        <w:jc w:val="center"/>
      </w:pPr>
      <w:r>
        <w:rPr>
          <w:b/>
          <w:bCs/>
          <w:sz w:val="28"/>
          <w:szCs w:val="28"/>
        </w:rPr>
        <w:t>Kupní smlouva</w:t>
      </w:r>
    </w:p>
    <w:p w:rsidR="00851A08" w:rsidRDefault="00EF2C18">
      <w:pPr>
        <w:jc w:val="center"/>
      </w:pPr>
      <w:r>
        <w:t xml:space="preserve">uzavřená podle právního řádu České republiky v souladu s ustanoveními § 2079 </w:t>
      </w:r>
      <w:proofErr w:type="spellStart"/>
      <w:r>
        <w:t>an</w:t>
      </w:r>
      <w:proofErr w:type="spellEnd"/>
      <w:r>
        <w:t xml:space="preserve">. </w:t>
      </w:r>
      <w:proofErr w:type="gramStart"/>
      <w:r>
        <w:t>zákona</w:t>
      </w:r>
      <w:proofErr w:type="gramEnd"/>
      <w:r>
        <w:t xml:space="preserve"> č. 89/2012 Sb., občanského zákoníku (dále pouze jako "Smlouva") mezi těmito smluvními stranami:</w:t>
      </w:r>
    </w:p>
    <w:p w:rsidR="00851A08" w:rsidRDefault="00EF2C18">
      <w:pPr>
        <w:pStyle w:val="Nadpis1"/>
        <w:numPr>
          <w:ilvl w:val="0"/>
          <w:numId w:val="3"/>
        </w:numPr>
      </w:pPr>
      <w:r>
        <w:t>Smluvní strany</w:t>
      </w:r>
    </w:p>
    <w:p w:rsidR="00851A08" w:rsidRDefault="00EF2C18">
      <w:pPr>
        <w:pStyle w:val="Standard"/>
        <w:spacing w:before="113" w:line="276" w:lineRule="auto"/>
        <w:rPr>
          <w:sz w:val="24"/>
        </w:rPr>
      </w:pPr>
      <w:r>
        <w:rPr>
          <w:rFonts w:cs="Arial"/>
          <w:b/>
          <w:bCs/>
          <w:sz w:val="24"/>
        </w:rPr>
        <w:t>Ing. Libor Petr, podnikající pod obchodním</w:t>
      </w:r>
      <w:r>
        <w:rPr>
          <w:rFonts w:cs="Arial"/>
          <w:b/>
          <w:bCs/>
          <w:sz w:val="24"/>
        </w:rPr>
        <w:t xml:space="preserve"> jménem Ing. Libor Petr, INTERDATA</w:t>
      </w:r>
    </w:p>
    <w:p w:rsidR="00851A08" w:rsidRDefault="00EF2C18">
      <w:pPr>
        <w:pStyle w:val="Standard"/>
        <w:tabs>
          <w:tab w:val="left" w:pos="735"/>
          <w:tab w:val="left" w:pos="4200"/>
        </w:tabs>
        <w:spacing w:line="288" w:lineRule="auto"/>
        <w:rPr>
          <w:rFonts w:cs="Arial"/>
          <w:sz w:val="22"/>
          <w:szCs w:val="22"/>
        </w:rPr>
      </w:pPr>
      <w:r>
        <w:rPr>
          <w:rFonts w:cs="Arial"/>
          <w:sz w:val="22"/>
          <w:szCs w:val="22"/>
        </w:rPr>
        <w:tab/>
        <w:t>IČ: 64678539, nezapsaný v obchodním rejstříku</w:t>
      </w:r>
    </w:p>
    <w:p w:rsidR="00851A08" w:rsidRDefault="00EF2C18">
      <w:pPr>
        <w:pStyle w:val="Standard"/>
        <w:tabs>
          <w:tab w:val="left" w:pos="735"/>
          <w:tab w:val="left" w:pos="4200"/>
        </w:tabs>
        <w:spacing w:line="288" w:lineRule="auto"/>
        <w:rPr>
          <w:rFonts w:cs="Arial"/>
          <w:sz w:val="22"/>
          <w:szCs w:val="22"/>
        </w:rPr>
      </w:pPr>
      <w:r>
        <w:rPr>
          <w:rFonts w:cs="Arial"/>
          <w:sz w:val="22"/>
          <w:szCs w:val="22"/>
        </w:rPr>
        <w:tab/>
        <w:t>DIČ: CZ6912312374</w:t>
      </w:r>
    </w:p>
    <w:p w:rsidR="00851A08" w:rsidRDefault="00EF2C18">
      <w:pPr>
        <w:pStyle w:val="Standard"/>
        <w:tabs>
          <w:tab w:val="left" w:pos="735"/>
          <w:tab w:val="left" w:pos="4200"/>
        </w:tabs>
        <w:spacing w:line="288" w:lineRule="auto"/>
      </w:pPr>
      <w:r>
        <w:rPr>
          <w:rFonts w:cs="Arial"/>
          <w:sz w:val="22"/>
          <w:szCs w:val="22"/>
        </w:rPr>
        <w:tab/>
        <w:t>bankovní spojení: 209964732/0600</w:t>
      </w:r>
    </w:p>
    <w:p w:rsidR="00851A08" w:rsidRDefault="00EF2C18">
      <w:pPr>
        <w:pStyle w:val="Standard"/>
        <w:tabs>
          <w:tab w:val="left" w:pos="735"/>
          <w:tab w:val="left" w:pos="4200"/>
        </w:tabs>
        <w:spacing w:line="288" w:lineRule="auto"/>
        <w:rPr>
          <w:szCs w:val="21"/>
        </w:rPr>
      </w:pPr>
      <w:r>
        <w:rPr>
          <w:rFonts w:cs="Arial"/>
          <w:sz w:val="22"/>
          <w:szCs w:val="22"/>
        </w:rPr>
        <w:tab/>
        <w:t>sídlo dle živnostenského rejstříku:</w:t>
      </w:r>
      <w:r>
        <w:rPr>
          <w:rFonts w:cs="Arial"/>
          <w:sz w:val="22"/>
          <w:szCs w:val="22"/>
        </w:rPr>
        <w:tab/>
        <w:t>Pražská 2955</w:t>
      </w:r>
    </w:p>
    <w:p w:rsidR="00851A08" w:rsidRDefault="00EF2C18">
      <w:pPr>
        <w:pStyle w:val="Standard"/>
        <w:tabs>
          <w:tab w:val="left" w:pos="735"/>
          <w:tab w:val="left" w:pos="4200"/>
        </w:tabs>
        <w:spacing w:line="288" w:lineRule="auto"/>
        <w:rPr>
          <w:rFonts w:cs="Arial"/>
          <w:sz w:val="22"/>
          <w:szCs w:val="22"/>
        </w:rPr>
      </w:pPr>
      <w:r>
        <w:rPr>
          <w:rFonts w:cs="Arial"/>
          <w:sz w:val="22"/>
          <w:szCs w:val="22"/>
        </w:rPr>
        <w:tab/>
      </w:r>
      <w:r>
        <w:rPr>
          <w:rFonts w:cs="Arial"/>
          <w:sz w:val="22"/>
          <w:szCs w:val="22"/>
        </w:rPr>
        <w:tab/>
        <w:t>407 47 Varnsdorf</w:t>
      </w:r>
    </w:p>
    <w:p w:rsidR="00851A08" w:rsidRDefault="00EF2C18">
      <w:pPr>
        <w:pStyle w:val="Standard"/>
        <w:tabs>
          <w:tab w:val="left" w:pos="735"/>
          <w:tab w:val="left" w:pos="4200"/>
        </w:tabs>
        <w:spacing w:before="57" w:line="288" w:lineRule="auto"/>
        <w:rPr>
          <w:szCs w:val="21"/>
        </w:rPr>
      </w:pPr>
      <w:r>
        <w:rPr>
          <w:rFonts w:cs="Arial"/>
          <w:sz w:val="22"/>
          <w:szCs w:val="22"/>
        </w:rPr>
        <w:tab/>
        <w:t xml:space="preserve">provozovna: </w:t>
      </w:r>
      <w:r>
        <w:rPr>
          <w:rFonts w:cs="Arial"/>
          <w:sz w:val="22"/>
          <w:szCs w:val="22"/>
        </w:rPr>
        <w:tab/>
        <w:t>Lužické náměstí 158</w:t>
      </w:r>
    </w:p>
    <w:p w:rsidR="00851A08" w:rsidRDefault="00EF2C18">
      <w:pPr>
        <w:pStyle w:val="Standard"/>
        <w:tabs>
          <w:tab w:val="left" w:pos="735"/>
          <w:tab w:val="left" w:pos="4200"/>
        </w:tabs>
        <w:spacing w:line="288" w:lineRule="auto"/>
        <w:rPr>
          <w:rFonts w:cs="Arial"/>
          <w:sz w:val="22"/>
          <w:szCs w:val="22"/>
        </w:rPr>
      </w:pPr>
      <w:r>
        <w:rPr>
          <w:rFonts w:cs="Arial"/>
          <w:sz w:val="22"/>
          <w:szCs w:val="22"/>
        </w:rPr>
        <w:tab/>
      </w:r>
      <w:r>
        <w:rPr>
          <w:rFonts w:cs="Arial"/>
          <w:sz w:val="22"/>
          <w:szCs w:val="22"/>
        </w:rPr>
        <w:tab/>
        <w:t>408 01 Rumburk</w:t>
      </w:r>
    </w:p>
    <w:p w:rsidR="00851A08" w:rsidRDefault="00EF2C18">
      <w:pPr>
        <w:pStyle w:val="Standard"/>
        <w:tabs>
          <w:tab w:val="left" w:pos="735"/>
          <w:tab w:val="left" w:pos="4200"/>
        </w:tabs>
        <w:spacing w:line="288" w:lineRule="auto"/>
        <w:rPr>
          <w:szCs w:val="21"/>
        </w:rPr>
      </w:pPr>
      <w:r>
        <w:rPr>
          <w:rFonts w:cs="Arial"/>
          <w:sz w:val="22"/>
          <w:szCs w:val="22"/>
        </w:rPr>
        <w:tab/>
      </w:r>
      <w:r>
        <w:rPr>
          <w:rFonts w:cs="Arial"/>
          <w:sz w:val="22"/>
          <w:szCs w:val="22"/>
        </w:rPr>
        <w:t>E-mail: lpetr@interdata.cz</w:t>
      </w:r>
    </w:p>
    <w:p w:rsidR="00851A08" w:rsidRDefault="00EF2C18">
      <w:pPr>
        <w:pStyle w:val="Standard"/>
        <w:spacing w:before="170" w:line="288" w:lineRule="auto"/>
        <w:jc w:val="center"/>
      </w:pPr>
      <w:r>
        <w:rPr>
          <w:rFonts w:cs="Arial"/>
          <w:sz w:val="22"/>
          <w:szCs w:val="22"/>
        </w:rPr>
        <w:t>dále jen „</w:t>
      </w:r>
      <w:r>
        <w:rPr>
          <w:rFonts w:cs="Arial"/>
          <w:b/>
          <w:bCs/>
          <w:sz w:val="22"/>
          <w:szCs w:val="22"/>
        </w:rPr>
        <w:t>Prodávající</w:t>
      </w:r>
      <w:r>
        <w:rPr>
          <w:rFonts w:cs="Arial"/>
          <w:sz w:val="22"/>
          <w:szCs w:val="22"/>
        </w:rPr>
        <w:t>“ na straně jedn</w:t>
      </w:r>
      <w:r>
        <w:rPr>
          <w:rFonts w:cs="Arial"/>
          <w:szCs w:val="21"/>
        </w:rPr>
        <w:t>é</w:t>
      </w:r>
    </w:p>
    <w:p w:rsidR="00851A08" w:rsidRDefault="00EF2C18">
      <w:pPr>
        <w:pStyle w:val="Standard"/>
        <w:spacing w:before="113" w:line="288" w:lineRule="auto"/>
      </w:pPr>
      <w:r>
        <w:rPr>
          <w:rFonts w:cs="Arial"/>
          <w:b/>
          <w:bCs/>
          <w:sz w:val="24"/>
        </w:rPr>
        <w:t>Integrované centrum pro osoby se zdravotním postižením Horní Poustevna</w:t>
      </w:r>
    </w:p>
    <w:p w:rsidR="00851A08" w:rsidRDefault="00EF2C18">
      <w:pPr>
        <w:pStyle w:val="Standard"/>
      </w:pPr>
      <w:r>
        <w:rPr>
          <w:rFonts w:cs="Arial"/>
          <w:sz w:val="22"/>
          <w:szCs w:val="22"/>
        </w:rPr>
        <w:tab/>
        <w:t>IČ: 70872686</w:t>
      </w:r>
    </w:p>
    <w:p w:rsidR="00851A08" w:rsidRDefault="00EF2C18">
      <w:pPr>
        <w:pStyle w:val="Standard"/>
      </w:pPr>
      <w:r>
        <w:rPr>
          <w:sz w:val="22"/>
          <w:szCs w:val="22"/>
        </w:rPr>
        <w:tab/>
        <w:t>sídlo: Horní Poustevna 40, 407 82 Dolní Poustevna</w:t>
      </w:r>
    </w:p>
    <w:p w:rsidR="00851A08" w:rsidRDefault="00EF2C18">
      <w:pPr>
        <w:pStyle w:val="Standard"/>
      </w:pPr>
      <w:r>
        <w:rPr>
          <w:sz w:val="22"/>
          <w:szCs w:val="22"/>
        </w:rPr>
        <w:tab/>
        <w:t>zastupuje: Ing. Ilona Chrtová, ředitelka</w:t>
      </w:r>
    </w:p>
    <w:p w:rsidR="00851A08" w:rsidRDefault="00EF2C18">
      <w:pPr>
        <w:pStyle w:val="Standard"/>
        <w:spacing w:before="170" w:line="288" w:lineRule="auto"/>
        <w:jc w:val="center"/>
      </w:pPr>
      <w:r>
        <w:rPr>
          <w:rFonts w:cs="Arial"/>
          <w:sz w:val="22"/>
          <w:szCs w:val="22"/>
        </w:rPr>
        <w:t>dále jen „</w:t>
      </w:r>
      <w:r>
        <w:rPr>
          <w:rFonts w:cs="Arial"/>
          <w:b/>
          <w:bCs/>
          <w:sz w:val="22"/>
          <w:szCs w:val="22"/>
        </w:rPr>
        <w:t>Ku</w:t>
      </w:r>
      <w:r>
        <w:rPr>
          <w:rFonts w:cs="Arial"/>
          <w:b/>
          <w:bCs/>
          <w:sz w:val="22"/>
          <w:szCs w:val="22"/>
        </w:rPr>
        <w:t>pující</w:t>
      </w:r>
      <w:r>
        <w:rPr>
          <w:rFonts w:cs="Arial"/>
          <w:sz w:val="22"/>
          <w:szCs w:val="22"/>
        </w:rPr>
        <w:t>“ na straně druhé</w:t>
      </w:r>
    </w:p>
    <w:p w:rsidR="00851A08" w:rsidRDefault="00EF2C18">
      <w:pPr>
        <w:pStyle w:val="Nadpis1"/>
        <w:numPr>
          <w:ilvl w:val="0"/>
          <w:numId w:val="3"/>
        </w:numPr>
      </w:pPr>
      <w:r>
        <w:t>Úvod</w:t>
      </w:r>
    </w:p>
    <w:p w:rsidR="00851A08" w:rsidRDefault="00EF2C18">
      <w:pPr>
        <w:pStyle w:val="Interdata"/>
        <w:numPr>
          <w:ilvl w:val="1"/>
          <w:numId w:val="2"/>
        </w:numPr>
      </w:pPr>
      <w:r>
        <w:t>Podkladem k uzavření této Smlouvy je nabídka Prodávajícího ze dne 11. 12. 2018, která byla kupujícím vybrána jako nejvýhodnější nabídka ve výběrovém řízení na veřejnou zakázku malého rozsahu s označením „Obměna kancelářských pr</w:t>
      </w:r>
      <w:r>
        <w:t>ogramů pro PC" (dále také jen „veřejné zakázka").</w:t>
      </w:r>
    </w:p>
    <w:p w:rsidR="00851A08" w:rsidRDefault="00EF2C18">
      <w:pPr>
        <w:pStyle w:val="Interdata"/>
        <w:numPr>
          <w:ilvl w:val="1"/>
          <w:numId w:val="2"/>
        </w:numPr>
      </w:pPr>
      <w:r>
        <w:t>Prodávající prohlašuje, že na základě svých podnikatelských a živnostenských oprávnění je oprávněn a schopen poskytovat smluvené plnění řádně a kvalitně dle podmínek této Smlouvy.</w:t>
      </w:r>
    </w:p>
    <w:p w:rsidR="00851A08" w:rsidRDefault="00EF2C18">
      <w:pPr>
        <w:pStyle w:val="Interdata"/>
        <w:numPr>
          <w:ilvl w:val="1"/>
          <w:numId w:val="2"/>
        </w:numPr>
      </w:pPr>
      <w:r>
        <w:t>Prodávající prohlašuje, že není v insolvenci, ani že proti němu není vedeno nalézací, insolvenční či jiné soudní nebo správní řízení, které by bylo způsobilé zpochybnit platnost či účinnost této Smlouvy nebo které by se mohlo dotýkat předmětu převodu a prá</w:t>
      </w:r>
      <w:r>
        <w:t xml:space="preserve">v a povinností z této Smlouvy vyplývajících. </w:t>
      </w:r>
    </w:p>
    <w:p w:rsidR="00851A08" w:rsidRDefault="00EF2C18">
      <w:pPr>
        <w:pStyle w:val="Interdata"/>
        <w:numPr>
          <w:ilvl w:val="1"/>
          <w:numId w:val="2"/>
        </w:numPr>
      </w:pPr>
      <w:r>
        <w:t>Prodávající podle svého nejlepšího vědomí a svědomí prohlašuje, že k datu uzavření této Smlouvy má jako daňový poplatník vyrovnány veškeré své finanční závazky z titulu daňových, odvodových a jiných obdob</w:t>
      </w:r>
      <w:r>
        <w:softHyphen/>
        <w:t xml:space="preserve">ných </w:t>
      </w:r>
      <w:r>
        <w:t>finančních povinností vyplývajících z obecně závazných právních předpisů a rozhodnutí příslušného správce daní či poplatků a orgánů vykonávajících správu ve věcech sociálního a zdravotního pojištění.</w:t>
      </w:r>
    </w:p>
    <w:p w:rsidR="00851A08" w:rsidRDefault="00EF2C18">
      <w:pPr>
        <w:pStyle w:val="Interdata"/>
        <w:numPr>
          <w:ilvl w:val="1"/>
          <w:numId w:val="2"/>
        </w:numPr>
      </w:pPr>
      <w:r>
        <w:t>Prodávající odpovídá Kupujícímu za veškerou případnou šk</w:t>
      </w:r>
      <w:r>
        <w:t>odu, která by byla způsobena nepravdivostí jeho prohlášení uvedených shora v odst. 2.3 a 2.4 této Smlouvy. Pokud by někdo vůči Kupujícímu uplatňoval jakoukoliv pohledávku či jiné právo vzniklé před převodem vlastnického práva k předmětu převodu, spojené s </w:t>
      </w:r>
      <w:r>
        <w:t>vlastnictvím předmětu převodu, zavazuje se Prodávající, že pohledávku zaplatí či jiné právo uspokojí a dále, že Kupujícímu nahradí vzniklou škodu.</w:t>
      </w:r>
    </w:p>
    <w:p w:rsidR="00851A08" w:rsidRDefault="00EF2C18">
      <w:pPr>
        <w:pStyle w:val="Nadpis1"/>
        <w:numPr>
          <w:ilvl w:val="0"/>
          <w:numId w:val="2"/>
        </w:numPr>
      </w:pPr>
      <w:r>
        <w:t>Předmět smlouvy, místo plnění</w:t>
      </w:r>
    </w:p>
    <w:p w:rsidR="00851A08" w:rsidRDefault="00EF2C18">
      <w:pPr>
        <w:pStyle w:val="Interdata"/>
        <w:numPr>
          <w:ilvl w:val="1"/>
          <w:numId w:val="2"/>
        </w:numPr>
      </w:pPr>
      <w:r>
        <w:t>Touto Smlouvou se Prodávající zavazuje dodat Kupujícímu věci či vybavení (včetn</w:t>
      </w:r>
      <w:r>
        <w:t>ě veškerého jejich příslušenství), které jsou uvedeny v Příloze 1 (Cenová nabídka) této Smlouvy (dále jen „Předměty koupě“), převést na Kupujícího vlastnické právo k Předmětům koupě a Kupující se zavazuje Předměty koupě převzít a zaplatit Prodávajícímu Kup</w:t>
      </w:r>
      <w:r>
        <w:t>ní cenu (jak je tento pojem definován níže), a to vše za podmínek uvedených v této Smlouvě.</w:t>
      </w:r>
    </w:p>
    <w:p w:rsidR="00851A08" w:rsidRDefault="00EF2C18">
      <w:pPr>
        <w:pStyle w:val="Interdata"/>
        <w:numPr>
          <w:ilvl w:val="1"/>
          <w:numId w:val="2"/>
        </w:numPr>
      </w:pPr>
      <w:r>
        <w:lastRenderedPageBreak/>
        <w:t>Prodávající prodává na základě této Smlouvy Předměty koupě za níže vzájemně dohodnutou kupní cenu do vlastnictví Kupujícího, a to se všemi součástmi a příslušenství</w:t>
      </w:r>
      <w:r>
        <w:t xml:space="preserve">m, a Kupující ji do svého vlastnictví, se všemi součástmi a příslušenstvím, přijímá. </w:t>
      </w:r>
    </w:p>
    <w:p w:rsidR="00851A08" w:rsidRDefault="00EF2C18">
      <w:pPr>
        <w:pStyle w:val="Interdata"/>
        <w:numPr>
          <w:ilvl w:val="1"/>
          <w:numId w:val="2"/>
        </w:numPr>
      </w:pPr>
      <w:r>
        <w:t>Prodávající se zavazuje, že dodané zboží musí být zcela nové a nepoužité.</w:t>
      </w:r>
    </w:p>
    <w:p w:rsidR="00851A08" w:rsidRDefault="00EF2C18">
      <w:pPr>
        <w:pStyle w:val="Interdata"/>
        <w:numPr>
          <w:ilvl w:val="1"/>
          <w:numId w:val="2"/>
        </w:numPr>
      </w:pPr>
      <w:r>
        <w:t>Prodávající se zavazuje převést na Kupujícího vlastnictví Předmětu koupě za podmínek níže uveden</w:t>
      </w:r>
      <w:r>
        <w:t>ých, Kupující se zavazuje Předměty koupě převzít a zaplatit za ně Prodávajícímu dohodnutou kupní cenu. Smluvní strany výslovně vylučují aplikaci ustanovení § 2093 zákona č. 89/2012 Sb., Občanský zákoník. Dodá-li tedy Prodávající větší množství Předmětů kou</w:t>
      </w:r>
      <w:r>
        <w:t>pě, než bylo mezi smluvními stranami sjednáno v příloze č. 1 k této Smlouvě, kupní smlouva na toto přebytečné množství není uzavřena, a to ani v případě, že Kupující bez zbytečného odkladu přebytečné množství neodmítne.</w:t>
      </w:r>
    </w:p>
    <w:p w:rsidR="00851A08" w:rsidRDefault="00EF2C18">
      <w:pPr>
        <w:pStyle w:val="Interdata"/>
        <w:numPr>
          <w:ilvl w:val="1"/>
          <w:numId w:val="2"/>
        </w:numPr>
      </w:pPr>
      <w:r>
        <w:t>Místem plnění je sídlo Kupujícího na</w:t>
      </w:r>
      <w:r>
        <w:t xml:space="preserve"> adrese Horní Poustevna 40, 407 82 Dolní Poustevna, dále jen „místo </w:t>
      </w:r>
      <w:bookmarkStart w:id="0" w:name="_GoBack"/>
      <w:bookmarkEnd w:id="0"/>
      <w:r>
        <w:t xml:space="preserve">plnění“. Osoba oprávněná k převzetí zboží za Kupujícího: </w:t>
      </w:r>
      <w:r w:rsidR="00CF34D2">
        <w:t>Jiří Blažek</w:t>
      </w:r>
      <w:r>
        <w:t xml:space="preserve"> nebo jím pověřená osoba.</w:t>
      </w:r>
    </w:p>
    <w:p w:rsidR="00851A08" w:rsidRDefault="00EF2C18">
      <w:pPr>
        <w:pStyle w:val="Interdata"/>
        <w:numPr>
          <w:ilvl w:val="1"/>
          <w:numId w:val="2"/>
        </w:numPr>
      </w:pPr>
      <w:r>
        <w:t>Prodávající je povinen zabezpečit vlastní dopravu Předmětů koupě na místo plnění.</w:t>
      </w:r>
    </w:p>
    <w:p w:rsidR="00851A08" w:rsidRDefault="00EF2C18">
      <w:pPr>
        <w:pStyle w:val="Interdata"/>
        <w:numPr>
          <w:ilvl w:val="1"/>
          <w:numId w:val="2"/>
        </w:numPr>
      </w:pPr>
      <w:r>
        <w:t>Prodávající</w:t>
      </w:r>
      <w:r>
        <w:t xml:space="preserve"> je oprávněn dodat Předměty koupě a vykonat související činnosti v pracovních dnech v době od 8:30 do 17:00 hodin, nedohodnou-li se Strany jinak. Konkrétní pracovní dny budou určeny na základě vzájemné dohody. Nedohodnou-li se Strany na konkrétních pracovn</w:t>
      </w:r>
      <w:r>
        <w:t>ích dnech, ve kterých má být plněno, je Prodávající povinen plnit v poslední den lhůty pro včasné splnění této Smlouvy a Kupující je povinen poskytnout Prodávajícímu za tímto účelem nezbytnou součinnost.</w:t>
      </w:r>
    </w:p>
    <w:p w:rsidR="00851A08" w:rsidRDefault="00EF2C18">
      <w:pPr>
        <w:pStyle w:val="Interdata"/>
        <w:numPr>
          <w:ilvl w:val="1"/>
          <w:numId w:val="2"/>
        </w:numPr>
      </w:pPr>
      <w:r>
        <w:t>Vyžádá-li si to Kupující, je Prodávající rovněž povi</w:t>
      </w:r>
      <w:r>
        <w:t>nen odvézt a zlikvidovat vyřazenou výpočetní techniku Kupujícího.</w:t>
      </w:r>
    </w:p>
    <w:p w:rsidR="00851A08" w:rsidRDefault="00EF2C18">
      <w:pPr>
        <w:pStyle w:val="Nadpis1"/>
        <w:numPr>
          <w:ilvl w:val="0"/>
          <w:numId w:val="2"/>
        </w:numPr>
      </w:pPr>
      <w:r>
        <w:t>Cena a platební podmínky</w:t>
      </w:r>
    </w:p>
    <w:p w:rsidR="00851A08" w:rsidRDefault="00EF2C18">
      <w:pPr>
        <w:pStyle w:val="Interdata"/>
        <w:numPr>
          <w:ilvl w:val="1"/>
          <w:numId w:val="2"/>
        </w:numPr>
      </w:pPr>
      <w:r>
        <w:t>Kupující se zavazuje zaplatit Prodávajícímu za dodávku Předmětů koupě v rozsahu, způsobem a za pod</w:t>
      </w:r>
      <w:r>
        <w:softHyphen/>
        <w:t>mínek dle této Smlouvy, celkovou kupní cenu ve výši:</w:t>
      </w:r>
    </w:p>
    <w:tbl>
      <w:tblPr>
        <w:tblW w:w="8918" w:type="dxa"/>
        <w:tblInd w:w="691" w:type="dxa"/>
        <w:tblBorders>
          <w:top w:val="single" w:sz="16" w:space="0" w:color="000001"/>
          <w:bottom w:val="single" w:sz="6" w:space="0" w:color="000001"/>
          <w:insideH w:val="single" w:sz="6" w:space="0" w:color="000001"/>
        </w:tblBorders>
        <w:tblCellMar>
          <w:left w:w="0" w:type="dxa"/>
          <w:right w:w="0" w:type="dxa"/>
        </w:tblCellMar>
        <w:tblLook w:val="04A0" w:firstRow="1" w:lastRow="0" w:firstColumn="1" w:lastColumn="0" w:noHBand="0" w:noVBand="1"/>
      </w:tblPr>
      <w:tblGrid>
        <w:gridCol w:w="2700"/>
        <w:gridCol w:w="3109"/>
        <w:gridCol w:w="3109"/>
      </w:tblGrid>
      <w:tr w:rsidR="00851A08">
        <w:tc>
          <w:tcPr>
            <w:tcW w:w="2700" w:type="dxa"/>
            <w:tcBorders>
              <w:top w:val="single" w:sz="16" w:space="0" w:color="000001"/>
              <w:bottom w:val="single" w:sz="6" w:space="0" w:color="000001"/>
            </w:tcBorders>
            <w:shd w:val="clear" w:color="auto" w:fill="auto"/>
          </w:tcPr>
          <w:p w:rsidR="00851A08" w:rsidRDefault="00EF2C18">
            <w:pPr>
              <w:snapToGrid w:val="0"/>
              <w:jc w:val="center"/>
            </w:pPr>
            <w:r>
              <w:rPr>
                <w:rFonts w:cstheme="minorHAnsi"/>
                <w:b/>
                <w:bCs/>
              </w:rPr>
              <w:t xml:space="preserve">Cena celkem </w:t>
            </w:r>
            <w:r>
              <w:rPr>
                <w:rFonts w:cstheme="minorHAnsi"/>
                <w:b/>
                <w:bCs/>
              </w:rPr>
              <w:t>bez DPH</w:t>
            </w:r>
          </w:p>
        </w:tc>
        <w:tc>
          <w:tcPr>
            <w:tcW w:w="3109" w:type="dxa"/>
            <w:tcBorders>
              <w:top w:val="single" w:sz="16" w:space="0" w:color="000001"/>
              <w:bottom w:val="single" w:sz="6" w:space="0" w:color="000001"/>
            </w:tcBorders>
            <w:shd w:val="clear" w:color="auto" w:fill="auto"/>
          </w:tcPr>
          <w:p w:rsidR="00851A08" w:rsidRDefault="00EF2C18">
            <w:pPr>
              <w:snapToGrid w:val="0"/>
              <w:jc w:val="center"/>
            </w:pPr>
            <w:r>
              <w:rPr>
                <w:rFonts w:cstheme="minorHAnsi"/>
                <w:b/>
                <w:bCs/>
              </w:rPr>
              <w:t>DPH 21%</w:t>
            </w:r>
          </w:p>
        </w:tc>
        <w:tc>
          <w:tcPr>
            <w:tcW w:w="3109" w:type="dxa"/>
            <w:tcBorders>
              <w:top w:val="single" w:sz="16" w:space="0" w:color="000001"/>
              <w:bottom w:val="single" w:sz="6" w:space="0" w:color="000001"/>
            </w:tcBorders>
            <w:shd w:val="clear" w:color="auto" w:fill="auto"/>
          </w:tcPr>
          <w:p w:rsidR="00851A08" w:rsidRDefault="00EF2C18">
            <w:pPr>
              <w:snapToGrid w:val="0"/>
              <w:jc w:val="center"/>
            </w:pPr>
            <w:r>
              <w:rPr>
                <w:rFonts w:cstheme="minorHAnsi"/>
                <w:b/>
                <w:bCs/>
              </w:rPr>
              <w:t>Cena celkem včetně DPH</w:t>
            </w:r>
          </w:p>
        </w:tc>
      </w:tr>
      <w:tr w:rsidR="00851A08">
        <w:tc>
          <w:tcPr>
            <w:tcW w:w="2700" w:type="dxa"/>
            <w:tcBorders>
              <w:top w:val="single" w:sz="6" w:space="0" w:color="999999"/>
              <w:bottom w:val="single" w:sz="16" w:space="0" w:color="000001"/>
            </w:tcBorders>
            <w:shd w:val="clear" w:color="auto" w:fill="auto"/>
          </w:tcPr>
          <w:p w:rsidR="00851A08" w:rsidRDefault="00EF2C18">
            <w:pPr>
              <w:snapToGrid w:val="0"/>
              <w:jc w:val="center"/>
            </w:pPr>
            <w:r>
              <w:rPr>
                <w:rFonts w:cstheme="minorHAnsi"/>
                <w:bCs/>
              </w:rPr>
              <w:t>247 107,40 Kč</w:t>
            </w:r>
          </w:p>
        </w:tc>
        <w:tc>
          <w:tcPr>
            <w:tcW w:w="3109" w:type="dxa"/>
            <w:tcBorders>
              <w:top w:val="single" w:sz="6" w:space="0" w:color="999999"/>
              <w:bottom w:val="single" w:sz="16" w:space="0" w:color="000001"/>
            </w:tcBorders>
            <w:shd w:val="clear" w:color="auto" w:fill="auto"/>
          </w:tcPr>
          <w:p w:rsidR="00851A08" w:rsidRDefault="00EF2C18">
            <w:pPr>
              <w:snapToGrid w:val="0"/>
              <w:jc w:val="center"/>
            </w:pPr>
            <w:r>
              <w:rPr>
                <w:rFonts w:cstheme="minorHAnsi"/>
                <w:bCs/>
              </w:rPr>
              <w:t xml:space="preserve">51 892,60 Kč </w:t>
            </w:r>
          </w:p>
        </w:tc>
        <w:tc>
          <w:tcPr>
            <w:tcW w:w="3109" w:type="dxa"/>
            <w:tcBorders>
              <w:top w:val="single" w:sz="6" w:space="0" w:color="999999"/>
              <w:bottom w:val="single" w:sz="16" w:space="0" w:color="000001"/>
            </w:tcBorders>
            <w:shd w:val="clear" w:color="auto" w:fill="auto"/>
          </w:tcPr>
          <w:p w:rsidR="00851A08" w:rsidRDefault="00EF2C18">
            <w:pPr>
              <w:snapToGrid w:val="0"/>
              <w:jc w:val="center"/>
            </w:pPr>
            <w:r>
              <w:rPr>
                <w:rFonts w:cstheme="minorHAnsi"/>
                <w:b/>
                <w:bCs/>
              </w:rPr>
              <w:t>299 000,00 Kč</w:t>
            </w:r>
          </w:p>
        </w:tc>
      </w:tr>
    </w:tbl>
    <w:p w:rsidR="00851A08" w:rsidRDefault="00EF2C18">
      <w:pPr>
        <w:pStyle w:val="Interdata"/>
        <w:numPr>
          <w:ilvl w:val="1"/>
          <w:numId w:val="2"/>
        </w:numPr>
        <w:spacing w:before="113"/>
      </w:pPr>
      <w:r>
        <w:t>DPH bude účtována ve výši určené podle právních předpisů platných ke dni uskutečnění zdanitelného plnění.</w:t>
      </w:r>
    </w:p>
    <w:p w:rsidR="00851A08" w:rsidRDefault="00EF2C18">
      <w:pPr>
        <w:pStyle w:val="Interdata"/>
        <w:numPr>
          <w:ilvl w:val="1"/>
          <w:numId w:val="2"/>
        </w:numPr>
      </w:pPr>
      <w:r>
        <w:t xml:space="preserve">Cena je sjednána jako nejvýše přípustná a nepřekročitelná a </w:t>
      </w:r>
      <w:r>
        <w:t>zahrnuje veškeré nutné náklady spojené s dodávkou Předmětů koupě dle této Smlouvy. Cena může být zvýšena pouze v případě zvýšení daně z přidané hodnoty, a to o tuto výši. V případě snížení daně z přidané hodnoty se cena snižuje, a to o toto snížení. Z jaký</w:t>
      </w:r>
      <w:r>
        <w:t>chkoli jiných důvodů, než jsou uvedeny v tomto článku Smlouvy, nesmí být cena dodávané Předmětů koupě navyšována.</w:t>
      </w:r>
    </w:p>
    <w:p w:rsidR="00851A08" w:rsidRDefault="00EF2C18">
      <w:pPr>
        <w:pStyle w:val="Interdata"/>
        <w:numPr>
          <w:ilvl w:val="1"/>
          <w:numId w:val="2"/>
        </w:numPr>
      </w:pPr>
      <w:r>
        <w:t>Kupní cenu zaplatí Kupující Prodávajícímu bankovním převodem na bankovní účet Prodávajícího uvedený v článku 1 této Smlouvy na základě daňovéh</w:t>
      </w:r>
      <w:r>
        <w:t>o dokladu vystaveného Prodávajícím ke dni uskutečnění zdanitelného plnění, který je dnem podepsáni protokolu podle článku 5.4 této Smlouvy. Splatnost každého daňového dokladu je 14 dni ode dne jeho doručení Kupujícímu.</w:t>
      </w:r>
    </w:p>
    <w:p w:rsidR="00851A08" w:rsidRDefault="00EF2C18">
      <w:pPr>
        <w:pStyle w:val="Interdata"/>
        <w:numPr>
          <w:ilvl w:val="1"/>
          <w:numId w:val="2"/>
        </w:numPr>
      </w:pPr>
      <w:r>
        <w:t xml:space="preserve"> Daňový doklad bude obsahovat náležit</w:t>
      </w:r>
      <w:r>
        <w:t>osti daňového a účetního dokladu podle zákona č. 563/1991 Sb., o účetnictví, ve znění pozdějších předpisů, zákona č. 235/2004 Sb., o dani z přidané hodnoty, ve znění pozdějších předpisů a bude mít náležitosti obchodní listiny dle § 435 odst. 1 zákona č. 89</w:t>
      </w:r>
      <w:r>
        <w:t>/2012 Sb., občanský zákoník. V případě, že daňový doklad takové náležitosti nebude splňovat, může být faktura Kupujícím vrácena Prodávajícímu do dne splatnosti daňového dokladu k opravení bez jeho proplacení. V takovém případě lhůta splatnosti počíná běžet</w:t>
      </w:r>
      <w:r>
        <w:t xml:space="preserve"> znovu ode dne doručení opraveného či nově vyhotoveného daňového dokladu. </w:t>
      </w:r>
    </w:p>
    <w:p w:rsidR="00851A08" w:rsidRDefault="00EF2C18">
      <w:pPr>
        <w:pStyle w:val="Interdata"/>
        <w:numPr>
          <w:ilvl w:val="1"/>
          <w:numId w:val="2"/>
        </w:numPr>
      </w:pPr>
      <w:r>
        <w:t>Kupující uplatní institut zvláštního způsobu zajištění daně dle § 109a zákona o DPH a hodnotu plnění odpovídající dani z přidané hodnoty uvedené na faktuře uhradí v termínu splatnos</w:t>
      </w:r>
      <w:r>
        <w:t xml:space="preserve">ti této faktury stanoveném dle smlouvy přímo na osobní depozitní účet dodavatele vedený u místně příslušného správce daně v případě, že: </w:t>
      </w:r>
    </w:p>
    <w:p w:rsidR="00851A08" w:rsidRDefault="00EF2C18">
      <w:pPr>
        <w:pStyle w:val="Interdata"/>
        <w:numPr>
          <w:ilvl w:val="3"/>
          <w:numId w:val="2"/>
        </w:numPr>
      </w:pPr>
      <w:r>
        <w:t>bankovní účet dodavatele určený k úhradě plnění, uvedený na faktuře, nebude správcem daně zveřejněn v aplikaci „Regist</w:t>
      </w:r>
      <w:r>
        <w:t>r plátců DPH", nebo</w:t>
      </w:r>
    </w:p>
    <w:p w:rsidR="00851A08" w:rsidRDefault="00EF2C18">
      <w:pPr>
        <w:pStyle w:val="Interdata"/>
        <w:numPr>
          <w:ilvl w:val="3"/>
          <w:numId w:val="2"/>
        </w:numPr>
      </w:pPr>
      <w:r>
        <w:t xml:space="preserve">dodavatel bude ke dni uskutečnění zdanitelného plnění zveřejněn v </w:t>
      </w:r>
      <w:proofErr w:type="gramStart"/>
      <w:r>
        <w:t>aplikaci ,,Registr</w:t>
      </w:r>
      <w:proofErr w:type="gramEnd"/>
      <w:r>
        <w:t xml:space="preserve"> plátců DPH" jako nespolehlivý plátce, nebo</w:t>
      </w:r>
    </w:p>
    <w:p w:rsidR="00851A08" w:rsidRDefault="00EF2C18">
      <w:pPr>
        <w:pStyle w:val="Interdata"/>
        <w:numPr>
          <w:ilvl w:val="3"/>
          <w:numId w:val="2"/>
        </w:numPr>
      </w:pPr>
      <w:r>
        <w:lastRenderedPageBreak/>
        <w:t xml:space="preserve">dodavatel bude ke dni uskutečnění zdanitelného plnění v insolvenčním řízení. </w:t>
      </w:r>
    </w:p>
    <w:p w:rsidR="00851A08" w:rsidRDefault="00EF2C18">
      <w:pPr>
        <w:pStyle w:val="Interdata"/>
        <w:numPr>
          <w:ilvl w:val="1"/>
          <w:numId w:val="2"/>
        </w:numPr>
      </w:pPr>
      <w:r>
        <w:t xml:space="preserve">Platby dle této smlouvy budou </w:t>
      </w:r>
      <w:r>
        <w:t>probíhat výhradně v korunách českých (Kč) a rovněž veškeré cenové údaje budou uváděny výhradně v této měně.</w:t>
      </w:r>
    </w:p>
    <w:p w:rsidR="00851A08" w:rsidRDefault="00EF2C18">
      <w:pPr>
        <w:pStyle w:val="Nadpis1"/>
        <w:numPr>
          <w:ilvl w:val="0"/>
          <w:numId w:val="2"/>
        </w:numPr>
      </w:pPr>
      <w:r>
        <w:t>Přechod vlastnictví a nebezpečí škody</w:t>
      </w:r>
    </w:p>
    <w:p w:rsidR="00851A08" w:rsidRDefault="00EF2C18">
      <w:pPr>
        <w:pStyle w:val="Interdata"/>
        <w:numPr>
          <w:ilvl w:val="1"/>
          <w:numId w:val="2"/>
        </w:numPr>
      </w:pPr>
      <w:r>
        <w:t>Prodávající se zavazuje předat Předměty koupě Kupujícímu v místě plnění co nejdříve, nejpozději však do 20 dnů</w:t>
      </w:r>
      <w:r>
        <w:t xml:space="preserve"> ode dne podpisu této Smlouvy. </w:t>
      </w:r>
    </w:p>
    <w:p w:rsidR="00851A08" w:rsidRDefault="00EF2C18">
      <w:pPr>
        <w:pStyle w:val="Interdata"/>
        <w:numPr>
          <w:ilvl w:val="1"/>
          <w:numId w:val="2"/>
        </w:numPr>
      </w:pPr>
      <w:r>
        <w:t>Vlastnické právo k Předmětům koupě přechází na Kupujícího v okamžiku jeho předání a převzetí potvrzeném na předávacím protokolu. Nebezpeční nahodilé zkázy a nahodilého zhoršení Předmětů koupě včetně užitků přechází na Kupují</w:t>
      </w:r>
      <w:r>
        <w:t xml:space="preserve">cího současně s nabytím vlastnictví. </w:t>
      </w:r>
    </w:p>
    <w:p w:rsidR="00851A08" w:rsidRDefault="00EF2C18">
      <w:pPr>
        <w:pStyle w:val="Interdata"/>
        <w:numPr>
          <w:ilvl w:val="1"/>
          <w:numId w:val="2"/>
        </w:numPr>
      </w:pPr>
      <w:r>
        <w:t>Náklady spojené s předáním Předmětů koupě, zejména dopravu a balení, nese Prodávající a náklady spojené s převzetím Předmětů koupě nese Kupující.</w:t>
      </w:r>
    </w:p>
    <w:p w:rsidR="00851A08" w:rsidRDefault="00EF2C18">
      <w:pPr>
        <w:pStyle w:val="Interdata"/>
        <w:numPr>
          <w:ilvl w:val="1"/>
          <w:numId w:val="2"/>
        </w:numPr>
      </w:pPr>
      <w:r>
        <w:t>O předání a převzetí Předmětů koupě bude sepsán předávací protokol podep</w:t>
      </w:r>
      <w:r>
        <w:t>saný oběma smluvními stranami. Kupující není povinen Předmět koupě převzít, pokud budou zjištěny jakékoli vady bránící řádnému užívání Předmětu koupě pro sjednaný účel. Prodávající je povinen zajistit nápravu zjištěných vad v termínu stanoveném dohodou sml</w:t>
      </w:r>
      <w:r>
        <w:t>uvních stran nejpozději však do 10 dnů ode dne zjištění takové vady při převzetí a předání Předmětu koupě.</w:t>
      </w:r>
    </w:p>
    <w:p w:rsidR="00851A08" w:rsidRDefault="00EF2C18">
      <w:pPr>
        <w:pStyle w:val="Interdata"/>
        <w:numPr>
          <w:ilvl w:val="1"/>
          <w:numId w:val="2"/>
        </w:numPr>
      </w:pPr>
      <w:r>
        <w:t>Smluvní strany jsou si povinny poskytnout veškerou nezbytnou součinnost k předání a převzetí Předmětů koupě dle této Smlouvy.</w:t>
      </w:r>
    </w:p>
    <w:p w:rsidR="00851A08" w:rsidRDefault="00EF2C18">
      <w:pPr>
        <w:pStyle w:val="Nadpis1"/>
        <w:numPr>
          <w:ilvl w:val="0"/>
          <w:numId w:val="2"/>
        </w:numPr>
      </w:pPr>
      <w:r>
        <w:t xml:space="preserve">Odpovědnost za vady, </w:t>
      </w:r>
      <w:r>
        <w:t>záruka</w:t>
      </w:r>
    </w:p>
    <w:p w:rsidR="00851A08" w:rsidRDefault="00EF2C18">
      <w:pPr>
        <w:pStyle w:val="Interdata"/>
        <w:numPr>
          <w:ilvl w:val="1"/>
          <w:numId w:val="2"/>
        </w:numPr>
      </w:pPr>
      <w:r>
        <w:t>Prodávající deklaruje záruku za jakost Předmětů koupě po dobu uvedenou v </w:t>
      </w:r>
      <w:proofErr w:type="gramStart"/>
      <w:r>
        <w:t>Příloze 1 . Pokud</w:t>
      </w:r>
      <w:proofErr w:type="gramEnd"/>
      <w:r>
        <w:t xml:space="preserve"> bude na záručním listu či jiném obdobném dokumentu uvedena záruční doba delší, platí tato delší záruční doba. </w:t>
      </w:r>
    </w:p>
    <w:p w:rsidR="00851A08" w:rsidRDefault="00EF2C18">
      <w:pPr>
        <w:pStyle w:val="Interdata"/>
        <w:numPr>
          <w:ilvl w:val="1"/>
          <w:numId w:val="2"/>
        </w:numPr>
      </w:pPr>
      <w:r>
        <w:t>Záruční doba počíná běžet převzetím Předmětů ko</w:t>
      </w:r>
      <w:r>
        <w:t>upě. Jsou-li v Předávacím protokolu uvedeny nedostatky, záruční doba počíná běžet dnem, který následuje po dni, ve kterém byl poslední nedostatek odstraněn.</w:t>
      </w:r>
    </w:p>
    <w:p w:rsidR="00851A08" w:rsidRDefault="00EF2C18">
      <w:pPr>
        <w:pStyle w:val="Interdata"/>
        <w:numPr>
          <w:ilvl w:val="1"/>
          <w:numId w:val="2"/>
        </w:numPr>
      </w:pPr>
      <w:r>
        <w:t>Prodávající se zavazuje, že vady, které se vyskytnou v záruční době, bezplatně odstraní. Nedohodnou</w:t>
      </w:r>
      <w:r>
        <w:t>-li se Strany na lhůtě, ve které budou vady odstraněny, je Prodávající povinen vady odstranit ve lhůtě 30 dnů.</w:t>
      </w:r>
    </w:p>
    <w:p w:rsidR="00851A08" w:rsidRDefault="00EF2C18">
      <w:pPr>
        <w:pStyle w:val="Interdata"/>
        <w:numPr>
          <w:ilvl w:val="1"/>
          <w:numId w:val="2"/>
        </w:numPr>
      </w:pPr>
      <w:r>
        <w:t>Prodávající nepřebírá odpovědnost za žádné škody způsobené kombinací vlivu počítačových infiltraci, škodlivých programů, jiného software a hardwa</w:t>
      </w:r>
      <w:r>
        <w:t>re.</w:t>
      </w:r>
    </w:p>
    <w:p w:rsidR="00851A08" w:rsidRDefault="00EF2C18">
      <w:pPr>
        <w:pStyle w:val="Interdata"/>
        <w:numPr>
          <w:ilvl w:val="1"/>
          <w:numId w:val="2"/>
        </w:numPr>
      </w:pPr>
      <w:r>
        <w:t>Zjistí-li Kupující vadu Předmětu koupě v době trvání záruční doby, oznámí písemně tuto skutečnost bez zbytečného odkladu Prodávajícímu. Vady lze oznámit nejpozději v poslední den záruční doby.</w:t>
      </w:r>
    </w:p>
    <w:p w:rsidR="00851A08" w:rsidRDefault="00EF2C18">
      <w:pPr>
        <w:pStyle w:val="Interdata"/>
        <w:numPr>
          <w:ilvl w:val="1"/>
          <w:numId w:val="2"/>
        </w:numPr>
      </w:pPr>
      <w:r>
        <w:t>V oznámení Kupující uvede popis vady. Prodávající navrhne z</w:t>
      </w:r>
      <w:r>
        <w:t>působ jejího odstranění, se kterým musí Kupující vyslovit souhlas. Nesouhlasí-li Kupující z vážného důvodu se způsobem odstranění vady, je Kupující oprávněn požadovat jiný způsob odstranění vady, konkrétně je oprávněn:</w:t>
      </w:r>
    </w:p>
    <w:p w:rsidR="00851A08" w:rsidRDefault="00EF2C18">
      <w:pPr>
        <w:pStyle w:val="Interdata"/>
        <w:numPr>
          <w:ilvl w:val="3"/>
          <w:numId w:val="2"/>
        </w:numPr>
      </w:pPr>
      <w:r>
        <w:t>požadovat odstranění vad dodáním nový</w:t>
      </w:r>
      <w:r>
        <w:t>ch Předmětů koupě nebo jejich jednotlivých částí, nebo</w:t>
      </w:r>
    </w:p>
    <w:p w:rsidR="00851A08" w:rsidRDefault="00EF2C18">
      <w:pPr>
        <w:pStyle w:val="Interdata"/>
        <w:numPr>
          <w:ilvl w:val="3"/>
          <w:numId w:val="2"/>
        </w:numPr>
      </w:pPr>
      <w:r>
        <w:t>požadovat odstranění vad opravou, nebo</w:t>
      </w:r>
    </w:p>
    <w:p w:rsidR="00851A08" w:rsidRDefault="00EF2C18">
      <w:pPr>
        <w:pStyle w:val="Interdata"/>
        <w:numPr>
          <w:ilvl w:val="3"/>
          <w:numId w:val="2"/>
        </w:numPr>
      </w:pPr>
      <w:r>
        <w:t xml:space="preserve">požadovat přiměřenou slevu z Kupní ceny. </w:t>
      </w:r>
    </w:p>
    <w:p w:rsidR="00851A08" w:rsidRDefault="00EF2C18">
      <w:pPr>
        <w:pStyle w:val="Interdata"/>
        <w:numPr>
          <w:ilvl w:val="1"/>
          <w:numId w:val="2"/>
        </w:numPr>
      </w:pPr>
      <w:r>
        <w:t>Prodávající je povinen vadu odstranit ve lhůtách podle této Smlouvy, i když považuje oznámení o vadách za neoprávněné. V</w:t>
      </w:r>
      <w:r>
        <w:t>  takovém případě je Prodávající oprávněn požadovat po Kupujícím úhradu nákladů na odstranění takové vady. Vznikne-li mezi Stranami spor o tom, zda je vada oprávněná či nikoliv, nechá Kupující zpracovat znalecký posudek, který posoudí, zda bylo oznámení va</w:t>
      </w:r>
      <w:r>
        <w:t>dy oprávněné či nikoliv. V případě, že bude oznámení vad označeno znalcem za oprávněné, ponese Prodávající i náklady na vyhotovení znaleckého posudku. Prokáže-li se, že Kupující oznámil vadu neoprávněně, je Kupující povinen uhradit Prodávajícímu účelně a p</w:t>
      </w:r>
      <w:r>
        <w:t>rokazatelně vynaložené náklady na odstranění vady.</w:t>
      </w:r>
    </w:p>
    <w:p w:rsidR="00851A08" w:rsidRDefault="00EF2C18">
      <w:pPr>
        <w:pStyle w:val="Interdata"/>
        <w:numPr>
          <w:ilvl w:val="1"/>
          <w:numId w:val="2"/>
        </w:numPr>
      </w:pPr>
      <w:r>
        <w:t>V případě, že Prodávající neodstraní vadu ve stanovené lhůtě nebo pokud Prodávající odmítne vadu odstranit, je Kupující oprávněn nechat vadu odstranit na své náklady a Prodávající je povinen uhradit Kupují</w:t>
      </w:r>
      <w:r>
        <w:t>címu náklady na odstranění vady, a to do 14 dnů poté, co jej k tomu Kupující vyzve.</w:t>
      </w:r>
    </w:p>
    <w:p w:rsidR="00851A08" w:rsidRDefault="00EF2C18">
      <w:pPr>
        <w:pStyle w:val="Interdata"/>
        <w:numPr>
          <w:ilvl w:val="1"/>
          <w:numId w:val="2"/>
        </w:numPr>
      </w:pPr>
      <w:r>
        <w:t xml:space="preserve">Nedohodnou-li se Strany jinak, budou vady odstraňovány v místě plnění. Prodávající nepožaduje předání Předmětu plnění do opravy v originálním obalu. </w:t>
      </w:r>
    </w:p>
    <w:p w:rsidR="00851A08" w:rsidRDefault="00EF2C18">
      <w:pPr>
        <w:pStyle w:val="Nadpis1"/>
        <w:numPr>
          <w:ilvl w:val="0"/>
          <w:numId w:val="2"/>
        </w:numPr>
      </w:pPr>
      <w:r>
        <w:lastRenderedPageBreak/>
        <w:t>Společná a závěrečná u</w:t>
      </w:r>
      <w:r>
        <w:t>stanovení</w:t>
      </w:r>
    </w:p>
    <w:p w:rsidR="00851A08" w:rsidRDefault="00EF2C18">
      <w:pPr>
        <w:pStyle w:val="Interdata"/>
        <w:numPr>
          <w:ilvl w:val="1"/>
          <w:numId w:val="2"/>
        </w:numPr>
      </w:pPr>
      <w:r>
        <w:t>Prodávající bere na vědomí, že je osobou povinnou spolupůsobit při výkonu finanční kontroly podle § 2 písm. e) zákona č. 320/2001 Sb., o finanční kontrole ve veřejné správě, v platném znění. Prodávající se zavazuje, že umožní všem subjektům opráv</w:t>
      </w:r>
      <w:r>
        <w:t>něným k výkonu kontroly projektu, z jehož prostředků je dodávka hrazena, provést kontrolu dokladů souvisejících s plněním zakázky, a to po dobu danou právními předpisy ČR k jejich archivaci (zákon č. 563/1991 Sb., o účetnictví, a zákon č. 235/2004 Sb., o d</w:t>
      </w:r>
      <w:r>
        <w:t>ani z přidané hodnoty). Prodávající se zavazuje povinností uchovávat po dobu 10 let od skončení plnění zakázky doklady související s plněním této zakázky, nejméně však do konce roku 2029.</w:t>
      </w:r>
    </w:p>
    <w:p w:rsidR="00851A08" w:rsidRDefault="00EF2C18">
      <w:pPr>
        <w:pStyle w:val="Interdata"/>
        <w:numPr>
          <w:ilvl w:val="1"/>
          <w:numId w:val="2"/>
        </w:numPr>
      </w:pPr>
      <w:r>
        <w:t xml:space="preserve">Kupující je oprávněn od této Smlouvy odstoupit, pokud se kdykoli po </w:t>
      </w:r>
      <w:r>
        <w:t>uzavření smlouvy zjistí, že Prodávající uvedl ve své nabídce nepravdivé nebo neúplné údaje, pro které nebyla jeho nabídka ze zadávacího řízení vyloučena.</w:t>
      </w:r>
    </w:p>
    <w:p w:rsidR="00851A08" w:rsidRDefault="00EF2C18">
      <w:pPr>
        <w:pStyle w:val="Interdata"/>
        <w:numPr>
          <w:ilvl w:val="1"/>
          <w:numId w:val="2"/>
        </w:numPr>
      </w:pPr>
      <w:r>
        <w:t>Právní účinky odstoupení nastávají okamžikem doručení písemného oznámení o odstoupení druhé smluvní st</w:t>
      </w:r>
      <w:r>
        <w:t xml:space="preserve">raně. Odstoupením od Smlouvy nejsou dotčeny nárok na zaplacení smluvní pokuty podle této Smlouvy ani nárok na náhradu škody, vzniklé před odstoupením. </w:t>
      </w:r>
    </w:p>
    <w:p w:rsidR="00851A08" w:rsidRDefault="00EF2C18">
      <w:pPr>
        <w:pStyle w:val="Interdata"/>
        <w:numPr>
          <w:ilvl w:val="1"/>
          <w:numId w:val="2"/>
        </w:numPr>
      </w:pPr>
      <w:r>
        <w:t xml:space="preserve">Pokud tato Smlouva nestanoví jinak, řídí se práva a povinnosti smluvních stran příslušnými ustanoveními </w:t>
      </w:r>
      <w:r>
        <w:t xml:space="preserve">zákona č. 89/2012 Sb., občanský zákoník. </w:t>
      </w:r>
    </w:p>
    <w:p w:rsidR="00851A08" w:rsidRDefault="00EF2C18">
      <w:pPr>
        <w:pStyle w:val="Interdata"/>
        <w:numPr>
          <w:ilvl w:val="1"/>
          <w:numId w:val="2"/>
        </w:numPr>
      </w:pPr>
      <w:r>
        <w:t xml:space="preserve">Tato smlouva je vyhotovena ve dvou stejnopisech v českém jazyce s platností originálu, z nichž každá ze smluvních stran obdrží po jednom vyhotovení. </w:t>
      </w:r>
    </w:p>
    <w:p w:rsidR="00851A08" w:rsidRDefault="00EF2C18">
      <w:pPr>
        <w:pStyle w:val="Interdata"/>
        <w:numPr>
          <w:ilvl w:val="1"/>
          <w:numId w:val="2"/>
        </w:numPr>
      </w:pPr>
      <w:r>
        <w:t>Smluvní strany prohlašují, že jakékoliv spory nebo neshody při i</w:t>
      </w:r>
      <w:r>
        <w:t xml:space="preserve">nterpretaci nebo provádění této dohody budou řešeny přednostně dohodou. V případě, že se nepodaří dosáhnout smírného řešení neshody, bude spor podléhat výhradně pravomoci obecných soudů České republiky. </w:t>
      </w:r>
    </w:p>
    <w:p w:rsidR="00851A08" w:rsidRDefault="00EF2C18">
      <w:pPr>
        <w:pStyle w:val="Interdata"/>
        <w:numPr>
          <w:ilvl w:val="1"/>
          <w:numId w:val="2"/>
        </w:numPr>
      </w:pPr>
      <w:r>
        <w:t>Jakékoliv změny této smlouvy mohou být činěny toliko</w:t>
      </w:r>
      <w:r>
        <w:t xml:space="preserve"> písemnými, vzestupně číslovanými a datovanými dodatky, podepsanými oběma smluvními stranami.</w:t>
      </w:r>
    </w:p>
    <w:p w:rsidR="00851A08" w:rsidRDefault="00EF2C18">
      <w:pPr>
        <w:pStyle w:val="Interdata"/>
        <w:numPr>
          <w:ilvl w:val="1"/>
          <w:numId w:val="2"/>
        </w:numPr>
      </w:pPr>
      <w:r>
        <w:t>Tato smlouva nabývá platnost dnem jejího podpisu oprávněnými osobami obou smluvních stran a účinnosti dnem zveřejnění v registru smluv ve smyslu zákona č. 340/201</w:t>
      </w:r>
      <w:r>
        <w:t>5 Sb., o registru smluv.</w:t>
      </w:r>
    </w:p>
    <w:p w:rsidR="00851A08" w:rsidRDefault="00EF2C18">
      <w:pPr>
        <w:pStyle w:val="Interdata"/>
        <w:numPr>
          <w:ilvl w:val="1"/>
          <w:numId w:val="2"/>
        </w:numPr>
      </w:pPr>
      <w:r>
        <w:t>S</w:t>
      </w:r>
      <w:r>
        <w:t xml:space="preserve">mluvní strany tímto prohlašují a potvrzují, že všechna ustanovení a podmínky této dohody byly dohodnuty mezi smluvními stranami svobodně, vážně, ne v tísni nebo za výrazně nevhodných podmínek, a na důkaz toho připojují své podpisy. </w:t>
      </w:r>
    </w:p>
    <w:p w:rsidR="00851A08" w:rsidRDefault="00851A08">
      <w:pPr>
        <w:pStyle w:val="Interdata"/>
        <w:suppressAutoHyphens/>
        <w:ind w:left="612"/>
      </w:pPr>
    </w:p>
    <w:p w:rsidR="00851A08" w:rsidRDefault="00EF2C18">
      <w:pPr>
        <w:pStyle w:val="Zkladntext"/>
        <w:spacing w:before="113"/>
      </w:pPr>
      <w:proofErr w:type="gramStart"/>
      <w:r>
        <w:rPr>
          <w:b/>
          <w:bCs/>
        </w:rPr>
        <w:t>Příloha :</w:t>
      </w:r>
      <w:proofErr w:type="gramEnd"/>
    </w:p>
    <w:p w:rsidR="00851A08" w:rsidRDefault="00EF2C18">
      <w:pPr>
        <w:pStyle w:val="Zkladntext"/>
        <w:spacing w:before="113"/>
      </w:pPr>
      <w:r>
        <w:rPr>
          <w:b/>
          <w:bCs/>
        </w:rPr>
        <w:tab/>
      </w:r>
      <w:proofErr w:type="gramStart"/>
      <w:r>
        <w:rPr>
          <w:b/>
          <w:bCs/>
          <w:szCs w:val="21"/>
        </w:rPr>
        <w:t xml:space="preserve">č.1 – </w:t>
      </w:r>
      <w:r>
        <w:rPr>
          <w:b/>
          <w:bCs/>
          <w:szCs w:val="21"/>
        </w:rPr>
        <w:t>Cenová</w:t>
      </w:r>
      <w:proofErr w:type="gramEnd"/>
      <w:r>
        <w:rPr>
          <w:b/>
          <w:bCs/>
          <w:szCs w:val="21"/>
        </w:rPr>
        <w:t xml:space="preserve"> nabídka</w:t>
      </w:r>
    </w:p>
    <w:p w:rsidR="00851A08" w:rsidRDefault="00EF2C18">
      <w:pPr>
        <w:pStyle w:val="Textbody"/>
        <w:spacing w:before="850" w:after="0" w:line="360" w:lineRule="auto"/>
      </w:pPr>
      <w:r>
        <w:rPr>
          <w:rFonts w:cs="Liberation Serif"/>
          <w:szCs w:val="22"/>
        </w:rPr>
        <w:t>V Rumburku dne  ………</w:t>
      </w:r>
      <w:proofErr w:type="gramStart"/>
      <w:r>
        <w:rPr>
          <w:rFonts w:cs="Liberation Serif"/>
          <w:szCs w:val="22"/>
        </w:rPr>
        <w:t>…...</w:t>
      </w:r>
      <w:r>
        <w:rPr>
          <w:rFonts w:cs="Liberation Serif"/>
          <w:szCs w:val="22"/>
        </w:rPr>
        <w:tab/>
      </w:r>
      <w:r>
        <w:rPr>
          <w:rFonts w:cs="Liberation Serif"/>
          <w:szCs w:val="22"/>
        </w:rPr>
        <w:tab/>
      </w:r>
      <w:r>
        <w:rPr>
          <w:rFonts w:cs="Liberation Serif"/>
          <w:szCs w:val="22"/>
        </w:rPr>
        <w:tab/>
        <w:t>V Horní</w:t>
      </w:r>
      <w:proofErr w:type="gramEnd"/>
      <w:r>
        <w:rPr>
          <w:rFonts w:cs="Liberation Serif"/>
          <w:szCs w:val="22"/>
        </w:rPr>
        <w:t xml:space="preserve"> Poustevně dne …………..</w:t>
      </w:r>
    </w:p>
    <w:p w:rsidR="00851A08" w:rsidRDefault="00851A08">
      <w:pPr>
        <w:pStyle w:val="Textbody"/>
        <w:spacing w:before="1701" w:after="0" w:line="360" w:lineRule="auto"/>
        <w:rPr>
          <w:rFonts w:cs="Liberation Serif"/>
          <w:szCs w:val="22"/>
        </w:rPr>
      </w:pPr>
    </w:p>
    <w:p w:rsidR="00851A08" w:rsidRDefault="00EF2C18">
      <w:pPr>
        <w:pStyle w:val="Textbody"/>
        <w:tabs>
          <w:tab w:val="left" w:pos="6810"/>
        </w:tabs>
        <w:spacing w:line="360" w:lineRule="auto"/>
        <w:ind w:left="1701"/>
      </w:pPr>
      <w:r>
        <w:rPr>
          <w:noProof/>
          <w:lang w:eastAsia="cs-CZ" w:bidi="ar-SA"/>
        </w:rPr>
        <mc:AlternateContent>
          <mc:Choice Requires="wps">
            <w:drawing>
              <wp:anchor distT="0" distB="0" distL="114300" distR="114405" simplePos="0" relativeHeight="2" behindDoc="0" locked="0" layoutInCell="1" allowOverlap="1">
                <wp:simplePos x="0" y="0"/>
                <wp:positionH relativeFrom="column">
                  <wp:posOffset>629920</wp:posOffset>
                </wp:positionH>
                <wp:positionV relativeFrom="line">
                  <wp:posOffset>178435</wp:posOffset>
                </wp:positionV>
                <wp:extent cx="1576070" cy="31750"/>
                <wp:effectExtent l="0" t="0" r="28470" b="33060"/>
                <wp:wrapNone/>
                <wp:docPr id="1" name="Tvar1"/>
                <wp:cNvGraphicFramePr/>
                <a:graphic xmlns:a="http://schemas.openxmlformats.org/drawingml/2006/main">
                  <a:graphicData uri="http://schemas.microsoft.com/office/word/2010/wordprocessingShape">
                    <wps:wsp>
                      <wps:cNvCnPr/>
                      <wps:spPr>
                        <a:xfrm flipV="1">
                          <a:off x="0" y="0"/>
                          <a:ext cx="1575360" cy="1476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49.6pt,13.5pt" to="173.6pt,14.6pt" ID="Tvar1" stroked="t" style="position:absolute;flip:y">
                <v:stroke color="black" weight="9360" joinstyle="round" endcap="flat"/>
                <v:fill o:detectmouseclick="t" on="false"/>
              </v:line>
            </w:pict>
          </mc:Fallback>
        </mc:AlternateContent>
      </w:r>
      <w:r>
        <w:rPr>
          <w:noProof/>
          <w:lang w:eastAsia="cs-CZ" w:bidi="ar-SA"/>
        </w:rPr>
        <mc:AlternateContent>
          <mc:Choice Requires="wps">
            <w:drawing>
              <wp:anchor distT="0" distB="0" distL="114300" distR="114406" simplePos="0" relativeHeight="3" behindDoc="0" locked="0" layoutInCell="1" allowOverlap="1">
                <wp:simplePos x="0" y="0"/>
                <wp:positionH relativeFrom="column">
                  <wp:posOffset>3858895</wp:posOffset>
                </wp:positionH>
                <wp:positionV relativeFrom="line">
                  <wp:posOffset>252095</wp:posOffset>
                </wp:positionV>
                <wp:extent cx="1587500" cy="43180"/>
                <wp:effectExtent l="0" t="0" r="28469" b="33060"/>
                <wp:wrapNone/>
                <wp:docPr id="2" name="Tvar1"/>
                <wp:cNvGraphicFramePr/>
                <a:graphic xmlns:a="http://schemas.openxmlformats.org/drawingml/2006/main">
                  <a:graphicData uri="http://schemas.microsoft.com/office/word/2010/wordprocessingShape">
                    <wps:wsp>
                      <wps:cNvCnPr/>
                      <wps:spPr>
                        <a:xfrm flipV="1">
                          <a:off x="0" y="0"/>
                          <a:ext cx="1586160" cy="1728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303.85pt,19.2pt" to="428.7pt,20.5pt" ID="Tvar1" stroked="t" style="position:absolute;flip:y">
                <v:stroke color="black" weight="9360" joinstyle="round" endcap="flat"/>
                <v:fill o:detectmouseclick="t" on="false"/>
              </v:line>
            </w:pict>
          </mc:Fallback>
        </mc:AlternateContent>
      </w:r>
      <w:r>
        <w:rPr>
          <w:szCs w:val="22"/>
        </w:rPr>
        <w:t>Prodávající</w:t>
      </w:r>
      <w:r>
        <w:rPr>
          <w:szCs w:val="22"/>
        </w:rPr>
        <w:tab/>
      </w:r>
      <w:r>
        <w:rPr>
          <w:szCs w:val="22"/>
        </w:rPr>
        <w:tab/>
        <w:t>Kupující</w:t>
      </w:r>
    </w:p>
    <w:sectPr w:rsidR="00851A08">
      <w:footerReference w:type="default" r:id="rId7"/>
      <w:pgSz w:w="11906" w:h="16838"/>
      <w:pgMar w:top="680" w:right="850" w:bottom="1084" w:left="850" w:header="0" w:footer="624" w:gutter="0"/>
      <w:cols w:space="708"/>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C18" w:rsidRDefault="00EF2C18">
      <w:pPr>
        <w:spacing w:after="0" w:line="240" w:lineRule="auto"/>
      </w:pPr>
      <w:r>
        <w:separator/>
      </w:r>
    </w:p>
  </w:endnote>
  <w:endnote w:type="continuationSeparator" w:id="0">
    <w:p w:rsidR="00EF2C18" w:rsidRDefault="00EF2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Arial Unicode MS'">
    <w:altName w:val="Times New Roman"/>
    <w:panose1 w:val="00000000000000000000"/>
    <w:charset w:val="00"/>
    <w:family w:val="roman"/>
    <w:notTrueType/>
    <w:pitch w:val="default"/>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A08" w:rsidRDefault="00EF2C18">
    <w:pPr>
      <w:pStyle w:val="Zpat"/>
      <w:tabs>
        <w:tab w:val="center" w:pos="4536"/>
        <w:tab w:val="left" w:pos="4956"/>
      </w:tabs>
      <w:spacing w:before="57" w:after="0"/>
      <w:jc w:val="both"/>
    </w:pPr>
    <w:r>
      <w:rPr>
        <w:color w:val="A6A6A6"/>
        <w:sz w:val="18"/>
        <w:szCs w:val="18"/>
      </w:rPr>
      <w:tab/>
    </w:r>
    <w:r>
      <w:rPr>
        <w:color w:val="A6A6A6"/>
        <w:sz w:val="18"/>
        <w:szCs w:val="18"/>
      </w:rPr>
      <w:tab/>
    </w:r>
    <w:r>
      <w:rPr>
        <w:color w:val="A6A6A6"/>
        <w:sz w:val="18"/>
        <w:szCs w:val="18"/>
      </w:rPr>
      <w:tab/>
    </w:r>
    <w:r>
      <w:rPr>
        <w:color w:val="A6A6A6"/>
        <w:sz w:val="18"/>
        <w:szCs w:val="18"/>
      </w:rPr>
      <w:tab/>
    </w:r>
    <w:r>
      <w:rPr>
        <w:color w:val="A6A6A6"/>
        <w:sz w:val="18"/>
        <w:szCs w:val="18"/>
      </w:rPr>
      <w:tab/>
      <w:t xml:space="preserve"> </w:t>
    </w:r>
    <w:r>
      <w:rPr>
        <w:color w:val="A6A6A6"/>
        <w:sz w:val="18"/>
        <w:szCs w:val="18"/>
      </w:rPr>
      <w:tab/>
    </w:r>
    <w:r>
      <w:rPr>
        <w:color w:val="A6A6A6"/>
        <w:sz w:val="18"/>
        <w:szCs w:val="18"/>
      </w:rPr>
      <w:tab/>
      <w:t xml:space="preserve">    </w:t>
    </w:r>
    <w:r>
      <w:rPr>
        <w:sz w:val="18"/>
        <w:szCs w:val="18"/>
      </w:rPr>
      <w:t xml:space="preserve">Kupní smlouva - </w:t>
    </w:r>
    <w:proofErr w:type="gramStart"/>
    <w:r>
      <w:rPr>
        <w:sz w:val="18"/>
        <w:szCs w:val="18"/>
      </w:rPr>
      <w:t xml:space="preserve">strana </w:t>
    </w:r>
    <w:proofErr w:type="gramEnd"/>
    <w:r>
      <w:rPr>
        <w:sz w:val="18"/>
        <w:szCs w:val="18"/>
      </w:rPr>
      <w:fldChar w:fldCharType="begin"/>
    </w:r>
    <w:r>
      <w:instrText>PAGE</w:instrText>
    </w:r>
    <w:r>
      <w:fldChar w:fldCharType="separate"/>
    </w:r>
    <w:r w:rsidR="00CF34D2">
      <w:rPr>
        <w:noProof/>
      </w:rPr>
      <w:t>2</w:t>
    </w:r>
    <w:r>
      <w:fldChar w:fldCharType="end"/>
    </w:r>
    <w:proofErr w:type="gramStart"/>
    <w:r>
      <w:rPr>
        <w:sz w:val="18"/>
        <w:szCs w:val="18"/>
      </w:rPr>
      <w:t xml:space="preserve"> z </w:t>
    </w:r>
    <w:proofErr w:type="gramEnd"/>
    <w:r>
      <w:rPr>
        <w:sz w:val="18"/>
        <w:szCs w:val="18"/>
      </w:rPr>
      <w:fldChar w:fldCharType="begin"/>
    </w:r>
    <w:r>
      <w:instrText>NUMPAGES</w:instrText>
    </w:r>
    <w:r>
      <w:fldChar w:fldCharType="separate"/>
    </w:r>
    <w:r w:rsidR="00CF34D2">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C18" w:rsidRDefault="00EF2C18">
      <w:pPr>
        <w:spacing w:after="0" w:line="240" w:lineRule="auto"/>
      </w:pPr>
      <w:r>
        <w:separator/>
      </w:r>
    </w:p>
  </w:footnote>
  <w:footnote w:type="continuationSeparator" w:id="0">
    <w:p w:rsidR="00EF2C18" w:rsidRDefault="00EF2C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65A3F"/>
    <w:multiLevelType w:val="multilevel"/>
    <w:tmpl w:val="E5F2F49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48C1378"/>
    <w:multiLevelType w:val="multilevel"/>
    <w:tmpl w:val="43D6B5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lowerLetter"/>
      <w:pStyle w:val="Nadpis3"/>
      <w:lvlText w:val=" %3)"/>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8C32334"/>
    <w:multiLevelType w:val="multilevel"/>
    <w:tmpl w:val="64962F76"/>
    <w:lvl w:ilvl="0">
      <w:start w:val="2"/>
      <w:numFmt w:val="decimal"/>
      <w:suff w:val="space"/>
      <w:lvlText w:val="%1."/>
      <w:lvlJc w:val="right"/>
      <w:pPr>
        <w:ind w:left="283" w:hanging="283"/>
      </w:pPr>
    </w:lvl>
    <w:lvl w:ilvl="1">
      <w:start w:val="1"/>
      <w:numFmt w:val="decimal"/>
      <w:lvlText w:val="%1.%2."/>
      <w:lvlJc w:val="right"/>
      <w:pPr>
        <w:ind w:left="612" w:hanging="130"/>
      </w:pPr>
    </w:lvl>
    <w:lvl w:ilvl="2">
      <w:start w:val="1"/>
      <w:numFmt w:val="decimal"/>
      <w:lvlText w:val="%1.%2.%3."/>
      <w:lvlJc w:val="left"/>
      <w:pPr>
        <w:ind w:left="1020" w:hanging="453"/>
      </w:pPr>
    </w:lvl>
    <w:lvl w:ilvl="3">
      <w:start w:val="1"/>
      <w:numFmt w:val="lowerLetter"/>
      <w:lvlText w:val="%4)"/>
      <w:lvlJc w:val="left"/>
      <w:pPr>
        <w:ind w:left="1304" w:hanging="284"/>
      </w:pPr>
    </w:lvl>
    <w:lvl w:ilvl="4">
      <w:start w:val="1"/>
      <w:numFmt w:val="decimal"/>
      <w:lvlText w:val="%1.%2.%3.%4.%5."/>
      <w:lvlJc w:val="center"/>
      <w:pPr>
        <w:ind w:left="1417" w:hanging="283"/>
      </w:pPr>
    </w:lvl>
    <w:lvl w:ilvl="5">
      <w:start w:val="1"/>
      <w:numFmt w:val="bullet"/>
      <w:lvlText w:val=""/>
      <w:lvlJc w:val="left"/>
      <w:pPr>
        <w:ind w:left="1020" w:hanging="453"/>
      </w:pPr>
      <w:rPr>
        <w:rFonts w:ascii="Symbol" w:hAnsi="Symbol" w:cs="OpenSymbol, 'Arial Unicode MS'" w:hint="default"/>
      </w:rPr>
    </w:lvl>
    <w:lvl w:ilvl="6">
      <w:start w:val="1"/>
      <w:numFmt w:val="decimal"/>
      <w:lvlText w:val="%1.%2.%3.%4.%5.%6.%7."/>
      <w:lvlJc w:val="center"/>
      <w:pPr>
        <w:ind w:left="1984" w:hanging="283"/>
      </w:pPr>
    </w:lvl>
    <w:lvl w:ilvl="7">
      <w:start w:val="1"/>
      <w:numFmt w:val="decimal"/>
      <w:lvlText w:val="%1.%2.%3.%4.%5.%6.%7.%8."/>
      <w:lvlJc w:val="center"/>
      <w:pPr>
        <w:ind w:left="2268" w:hanging="283"/>
      </w:pPr>
    </w:lvl>
    <w:lvl w:ilvl="8">
      <w:start w:val="1"/>
      <w:numFmt w:val="decimal"/>
      <w:lvlText w:val="%1.%2.%3.%4.%5.%6.%7.%8.%9."/>
      <w:lvlJc w:val="center"/>
      <w:pPr>
        <w:ind w:left="2551" w:hanging="283"/>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643"/>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A08"/>
    <w:rsid w:val="001A18AE"/>
    <w:rsid w:val="00851A08"/>
    <w:rsid w:val="00CF34D2"/>
    <w:rsid w:val="00EF2C1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175E5F-375D-4D0E-8C0F-7CD6F6992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Cs w:val="24"/>
        <w:lang w:val="cs-CZ"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after="85" w:line="259" w:lineRule="auto"/>
      <w:textAlignment w:val="baseline"/>
    </w:pPr>
    <w:rPr>
      <w:rFonts w:ascii="Calibri" w:hAnsi="Calibri"/>
      <w:color w:val="00000A"/>
      <w:sz w:val="22"/>
      <w:szCs w:val="22"/>
    </w:rPr>
  </w:style>
  <w:style w:type="paragraph" w:styleId="Nadpis1">
    <w:name w:val="heading 1"/>
    <w:basedOn w:val="Nadpis"/>
    <w:qFormat/>
    <w:pPr>
      <w:widowControl/>
      <w:spacing w:before="198" w:after="85"/>
      <w:jc w:val="center"/>
      <w:outlineLvl w:val="0"/>
    </w:pPr>
    <w:rPr>
      <w:rFonts w:eastAsia="Arial" w:cs="Arial"/>
      <w:b/>
      <w:bCs/>
      <w:sz w:val="24"/>
    </w:rPr>
  </w:style>
  <w:style w:type="paragraph" w:styleId="Nadpis2">
    <w:name w:val="heading 2"/>
    <w:basedOn w:val="Nadpis"/>
    <w:qFormat/>
    <w:pPr>
      <w:spacing w:before="227" w:after="113"/>
      <w:jc w:val="center"/>
      <w:outlineLvl w:val="1"/>
    </w:pPr>
    <w:rPr>
      <w:rFonts w:ascii="Arial" w:eastAsia="Arial" w:hAnsi="Arial" w:cs="Arial"/>
      <w:b/>
      <w:bCs/>
    </w:rPr>
  </w:style>
  <w:style w:type="paragraph" w:styleId="Nadpis3">
    <w:name w:val="heading 3"/>
    <w:basedOn w:val="Nadpis"/>
    <w:qFormat/>
    <w:pPr>
      <w:numPr>
        <w:ilvl w:val="2"/>
        <w:numId w:val="1"/>
      </w:numPr>
      <w:spacing w:before="140"/>
      <w:outlineLvl w:val="2"/>
    </w:pPr>
    <w:rPr>
      <w:rFonts w:ascii="Liberation Serif" w:eastAsia="SimSun" w:hAnsi="Liberation Serif"/>
      <w:b/>
      <w:bCs/>
      <w:color w:val="808080"/>
    </w:rPr>
  </w:style>
  <w:style w:type="paragraph" w:styleId="Nadpis4">
    <w:name w:val="heading 4"/>
    <w:basedOn w:val="Nadpis"/>
    <w:qFormat/>
    <w:pPr>
      <w:spacing w:before="120"/>
      <w:outlineLvl w:val="3"/>
    </w:pPr>
    <w:rPr>
      <w:b/>
      <w:bCs/>
      <w:i/>
      <w:iCs/>
      <w:sz w:val="27"/>
      <w:szCs w:val="27"/>
    </w:rPr>
  </w:style>
  <w:style w:type="paragraph" w:styleId="Nadpis5">
    <w:name w:val="heading 5"/>
    <w:basedOn w:val="Nadpis"/>
    <w:qFormat/>
    <w:pPr>
      <w:spacing w:before="120" w:after="60"/>
      <w:outlineLvl w:val="4"/>
    </w:pPr>
    <w:rPr>
      <w:b/>
      <w:bCs/>
    </w:rPr>
  </w:style>
  <w:style w:type="paragraph" w:styleId="Nadpis6">
    <w:name w:val="heading 6"/>
    <w:basedOn w:val="Nadpis"/>
    <w:qFormat/>
    <w:pPr>
      <w:spacing w:before="60" w:after="60"/>
      <w:outlineLvl w:val="5"/>
    </w:pPr>
    <w:rPr>
      <w:b/>
      <w:bCs/>
      <w:i/>
      <w:iCs/>
    </w:rPr>
  </w:style>
  <w:style w:type="paragraph" w:styleId="Nadpis7">
    <w:name w:val="heading 7"/>
    <w:basedOn w:val="Nadpis"/>
    <w:qFormat/>
    <w:pPr>
      <w:spacing w:before="60" w:after="60"/>
      <w:outlineLvl w:val="6"/>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rPr>
      <w:rFonts w:ascii="Symbol" w:eastAsia="Symbol" w:hAnsi="Symbol" w:cs="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Wingdings" w:eastAsia="Wingdings" w:hAnsi="Wingdings" w:cs="OpenSymbol, 'Arial Unicode MS'"/>
      <w:sz w:val="22"/>
      <w:szCs w:val="22"/>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rPr>
      <w:rFonts w:ascii="Symbol" w:eastAsia="Symbol" w:hAnsi="Symbol" w:cs="Symbol"/>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Silnzdraznn">
    <w:name w:val="Silné zdůraznění"/>
    <w:qFormat/>
    <w:rPr>
      <w:b/>
      <w:bCs/>
    </w:rPr>
  </w:style>
  <w:style w:type="character" w:customStyle="1" w:styleId="Odrky">
    <w:name w:val="Odrážky"/>
    <w:qFormat/>
    <w:rPr>
      <w:rFonts w:ascii="OpenSymbol, 'Arial Unicode MS'" w:eastAsia="OpenSymbol, 'Arial Unicode MS'" w:hAnsi="OpenSymbol, 'Arial Unicode MS'" w:cs="OpenSymbol, 'Arial Unicode MS'"/>
    </w:rPr>
  </w:style>
  <w:style w:type="character" w:customStyle="1" w:styleId="Symbolyproslovn">
    <w:name w:val="Symboly pro číslování"/>
    <w:qFormat/>
  </w:style>
  <w:style w:type="character" w:customStyle="1" w:styleId="Internetlink">
    <w:name w:val="Internet link"/>
    <w:qFormat/>
    <w:rPr>
      <w:color w:val="000080"/>
      <w:u w:val="single"/>
    </w:rPr>
  </w:style>
  <w:style w:type="character" w:customStyle="1" w:styleId="ListLabel1">
    <w:name w:val="ListLabel 1"/>
    <w:qFormat/>
    <w:rPr>
      <w:rFonts w:cs="Symbol"/>
    </w:rPr>
  </w:style>
  <w:style w:type="character" w:customStyle="1" w:styleId="ListLabel2">
    <w:name w:val="ListLabel 2"/>
    <w:qFormat/>
    <w:rPr>
      <w:rFonts w:cs="Symbol"/>
    </w:rPr>
  </w:style>
  <w:style w:type="character" w:customStyle="1" w:styleId="ListLabel3">
    <w:name w:val="ListLabel 3"/>
    <w:qFormat/>
    <w:rPr>
      <w:rFonts w:cs="Symbol"/>
    </w:rPr>
  </w:style>
  <w:style w:type="character" w:customStyle="1" w:styleId="ListLabel4">
    <w:name w:val="ListLabel 4"/>
    <w:qFormat/>
    <w:rPr>
      <w:rFonts w:cs="Symbol"/>
    </w:rPr>
  </w:style>
  <w:style w:type="character" w:customStyle="1" w:styleId="ListLabel5">
    <w:name w:val="ListLabel 5"/>
    <w:qFormat/>
    <w:rPr>
      <w:rFonts w:cs="Symbol"/>
    </w:rPr>
  </w:style>
  <w:style w:type="character" w:customStyle="1" w:styleId="ListLabel6">
    <w:name w:val="ListLabel 6"/>
    <w:qFormat/>
    <w:rPr>
      <w:rFonts w:cs="Symbol"/>
    </w:rPr>
  </w:style>
  <w:style w:type="character" w:customStyle="1" w:styleId="ListLabel7">
    <w:name w:val="ListLabel 7"/>
    <w:qFormat/>
    <w:rPr>
      <w:rFonts w:cs="OpenSymbol, 'Arial Unicode MS'"/>
      <w:sz w:val="22"/>
      <w:szCs w:val="22"/>
    </w:rPr>
  </w:style>
  <w:style w:type="character" w:customStyle="1" w:styleId="ListLabel8">
    <w:name w:val="ListLabel 8"/>
    <w:qFormat/>
    <w:rPr>
      <w:rFonts w:cs="OpenSymbol, 'Arial Unicode MS'"/>
      <w:sz w:val="22"/>
      <w:szCs w:val="22"/>
    </w:rPr>
  </w:style>
  <w:style w:type="character" w:customStyle="1" w:styleId="ListLabel9">
    <w:name w:val="ListLabel 9"/>
    <w:qFormat/>
    <w:rPr>
      <w:rFonts w:cs="OpenSymbol, 'Arial Unicode MS'"/>
      <w:sz w:val="22"/>
      <w:szCs w:val="22"/>
    </w:rPr>
  </w:style>
  <w:style w:type="character" w:customStyle="1" w:styleId="ListLabel10">
    <w:name w:val="ListLabel 10"/>
    <w:qFormat/>
    <w:rPr>
      <w:rFonts w:cs="OpenSymbol, 'Arial Unicode MS'"/>
      <w:sz w:val="22"/>
      <w:szCs w:val="22"/>
    </w:rPr>
  </w:style>
  <w:style w:type="character" w:customStyle="1" w:styleId="ListLabel11">
    <w:name w:val="ListLabel 11"/>
    <w:qFormat/>
    <w:rPr>
      <w:rFonts w:cs="OpenSymbol, 'Arial Unicode MS'"/>
      <w:sz w:val="22"/>
      <w:szCs w:val="22"/>
    </w:rPr>
  </w:style>
  <w:style w:type="character" w:customStyle="1" w:styleId="ListLabel12">
    <w:name w:val="ListLabel 12"/>
    <w:qFormat/>
    <w:rPr>
      <w:rFonts w:cs="OpenSymbol, 'Arial Unicode MS'"/>
      <w:sz w:val="22"/>
      <w:szCs w:val="22"/>
    </w:rPr>
  </w:style>
  <w:style w:type="character" w:customStyle="1" w:styleId="ListLabel13">
    <w:name w:val="ListLabel 13"/>
    <w:qFormat/>
    <w:rPr>
      <w:rFonts w:cs="OpenSymbol, 'Arial Unicode MS'"/>
      <w:sz w:val="22"/>
      <w:szCs w:val="22"/>
    </w:rPr>
  </w:style>
  <w:style w:type="character" w:customStyle="1" w:styleId="ListLabel14">
    <w:name w:val="ListLabel 14"/>
    <w:qFormat/>
    <w:rPr>
      <w:rFonts w:cs="OpenSymbol, 'Arial Unicode MS'"/>
      <w:sz w:val="22"/>
      <w:szCs w:val="22"/>
    </w:rPr>
  </w:style>
  <w:style w:type="character" w:customStyle="1" w:styleId="ListLabel15">
    <w:name w:val="ListLabel 15"/>
    <w:qFormat/>
    <w:rPr>
      <w:rFonts w:cs="OpenSymbol, 'Arial Unicode MS'"/>
      <w:sz w:val="22"/>
      <w:szCs w:val="22"/>
    </w:rPr>
  </w:style>
  <w:style w:type="character" w:customStyle="1" w:styleId="ListLabel16">
    <w:name w:val="ListLabel 16"/>
    <w:qFormat/>
    <w:rPr>
      <w:rFonts w:cs="Symbol"/>
    </w:rPr>
  </w:style>
  <w:style w:type="character" w:customStyle="1" w:styleId="ListLabel17">
    <w:name w:val="ListLabel 17"/>
    <w:qFormat/>
    <w:rPr>
      <w:rFonts w:cs="Symbol"/>
    </w:rPr>
  </w:style>
  <w:style w:type="character" w:customStyle="1" w:styleId="ListLabel18">
    <w:name w:val="ListLabel 18"/>
    <w:qFormat/>
    <w:rPr>
      <w:rFonts w:cs="Symbol"/>
    </w:rPr>
  </w:style>
  <w:style w:type="character" w:customStyle="1" w:styleId="ListLabel19">
    <w:name w:val="ListLabel 19"/>
    <w:qFormat/>
    <w:rPr>
      <w:rFonts w:cs="Symbol"/>
    </w:rPr>
  </w:style>
  <w:style w:type="character" w:customStyle="1" w:styleId="ListLabel20">
    <w:name w:val="ListLabel 20"/>
    <w:qFormat/>
    <w:rPr>
      <w:rFonts w:cs="Symbol"/>
    </w:rPr>
  </w:style>
  <w:style w:type="character" w:customStyle="1" w:styleId="ListLabel21">
    <w:name w:val="ListLabel 21"/>
    <w:qFormat/>
    <w:rPr>
      <w:rFonts w:cs="Symbol"/>
    </w:rPr>
  </w:style>
  <w:style w:type="character" w:customStyle="1" w:styleId="ListLabel22">
    <w:name w:val="ListLabel 22"/>
    <w:qFormat/>
    <w:rPr>
      <w:rFonts w:ascii="Arial" w:eastAsia="OpenSymbol, 'Arial Unicode MS'" w:hAnsi="Arial" w:cs="OpenSymbol, 'Arial Unicode MS'"/>
      <w:sz w:val="22"/>
    </w:rPr>
  </w:style>
  <w:style w:type="character" w:customStyle="1" w:styleId="ListLabel23">
    <w:name w:val="ListLabel 23"/>
    <w:qFormat/>
    <w:rPr>
      <w:rFonts w:eastAsia="OpenSymbol, 'Arial Unicode MS'" w:cs="OpenSymbol, 'Arial Unicode MS'"/>
    </w:rPr>
  </w:style>
  <w:style w:type="character" w:customStyle="1" w:styleId="ListLabel24">
    <w:name w:val="ListLabel 24"/>
    <w:qFormat/>
    <w:rPr>
      <w:rFonts w:eastAsia="OpenSymbol, 'Arial Unicode MS'" w:cs="OpenSymbol, 'Arial Unicode MS'"/>
    </w:rPr>
  </w:style>
  <w:style w:type="character" w:customStyle="1" w:styleId="ListLabel25">
    <w:name w:val="ListLabel 25"/>
    <w:qFormat/>
    <w:rPr>
      <w:rFonts w:eastAsia="OpenSymbol, 'Arial Unicode MS'" w:cs="OpenSymbol, 'Arial Unicode MS'"/>
    </w:rPr>
  </w:style>
  <w:style w:type="character" w:customStyle="1" w:styleId="ListLabel26">
    <w:name w:val="ListLabel 26"/>
    <w:qFormat/>
    <w:rPr>
      <w:rFonts w:eastAsia="OpenSymbol, 'Arial Unicode MS'" w:cs="OpenSymbol, 'Arial Unicode MS'"/>
    </w:rPr>
  </w:style>
  <w:style w:type="character" w:customStyle="1" w:styleId="ListLabel27">
    <w:name w:val="ListLabel 27"/>
    <w:qFormat/>
    <w:rPr>
      <w:rFonts w:eastAsia="OpenSymbol, 'Arial Unicode MS'" w:cs="OpenSymbol, 'Arial Unicode MS'"/>
    </w:rPr>
  </w:style>
  <w:style w:type="character" w:customStyle="1" w:styleId="ListLabel28">
    <w:name w:val="ListLabel 28"/>
    <w:qFormat/>
    <w:rPr>
      <w:rFonts w:eastAsia="OpenSymbol, 'Arial Unicode MS'" w:cs="OpenSymbol, 'Arial Unicode MS'"/>
    </w:rPr>
  </w:style>
  <w:style w:type="character" w:customStyle="1" w:styleId="ListLabel29">
    <w:name w:val="ListLabel 29"/>
    <w:qFormat/>
    <w:rPr>
      <w:rFonts w:eastAsia="OpenSymbol, 'Arial Unicode MS'" w:cs="OpenSymbol, 'Arial Unicode MS'"/>
    </w:rPr>
  </w:style>
  <w:style w:type="character" w:customStyle="1" w:styleId="ListLabel30">
    <w:name w:val="ListLabel 30"/>
    <w:qFormat/>
    <w:rPr>
      <w:rFonts w:eastAsia="OpenSymbol, 'Arial Unicode MS'" w:cs="OpenSymbol, 'Arial Unicode MS'"/>
    </w:rPr>
  </w:style>
  <w:style w:type="character" w:customStyle="1" w:styleId="Internetovodkaz">
    <w:name w:val="Internetový odkaz"/>
    <w:rPr>
      <w:color w:val="000080"/>
      <w:u w:val="single"/>
    </w:rPr>
  </w:style>
  <w:style w:type="character" w:customStyle="1" w:styleId="ListLabel31">
    <w:name w:val="ListLabel 31"/>
    <w:qFormat/>
    <w:rPr>
      <w:rFonts w:cs="OpenSymbol, 'Arial Unicode MS'"/>
      <w:sz w:val="22"/>
    </w:rPr>
  </w:style>
  <w:style w:type="character" w:customStyle="1" w:styleId="ListLabel32">
    <w:name w:val="ListLabel 32"/>
    <w:qFormat/>
    <w:rPr>
      <w:rFonts w:cs="OpenSymbol, 'Arial Unicode MS'"/>
    </w:rPr>
  </w:style>
  <w:style w:type="character" w:customStyle="1" w:styleId="ListLabel33">
    <w:name w:val="ListLabel 33"/>
    <w:qFormat/>
    <w:rPr>
      <w:rFonts w:cs="OpenSymbol, 'Arial Unicode MS'"/>
    </w:rPr>
  </w:style>
  <w:style w:type="character" w:customStyle="1" w:styleId="ListLabel34">
    <w:name w:val="ListLabel 34"/>
    <w:qFormat/>
    <w:rPr>
      <w:rFonts w:cs="OpenSymbol, 'Arial Unicode MS'"/>
    </w:rPr>
  </w:style>
  <w:style w:type="character" w:customStyle="1" w:styleId="ListLabel35">
    <w:name w:val="ListLabel 35"/>
    <w:qFormat/>
    <w:rPr>
      <w:rFonts w:cs="OpenSymbol, 'Arial Unicode MS'"/>
    </w:rPr>
  </w:style>
  <w:style w:type="character" w:customStyle="1" w:styleId="ListLabel36">
    <w:name w:val="ListLabel 36"/>
    <w:qFormat/>
    <w:rPr>
      <w:rFonts w:cs="OpenSymbol, 'Arial Unicode MS'"/>
    </w:rPr>
  </w:style>
  <w:style w:type="character" w:customStyle="1" w:styleId="ListLabel37">
    <w:name w:val="ListLabel 37"/>
    <w:qFormat/>
    <w:rPr>
      <w:rFonts w:cs="OpenSymbol, 'Arial Unicode MS'"/>
    </w:rPr>
  </w:style>
  <w:style w:type="character" w:customStyle="1" w:styleId="ListLabel38">
    <w:name w:val="ListLabel 38"/>
    <w:qFormat/>
    <w:rPr>
      <w:rFonts w:cs="OpenSymbol, 'Arial Unicode MS'"/>
    </w:rPr>
  </w:style>
  <w:style w:type="character" w:customStyle="1" w:styleId="ListLabel39">
    <w:name w:val="ListLabel 39"/>
    <w:qFormat/>
    <w:rPr>
      <w:rFonts w:cs="OpenSymbol, 'Arial Unicode MS'"/>
    </w:rPr>
  </w:style>
  <w:style w:type="character" w:customStyle="1" w:styleId="ListLabel40">
    <w:name w:val="ListLabel 40"/>
    <w:qFormat/>
    <w:rPr>
      <w:rFonts w:cs="Symbol"/>
    </w:rPr>
  </w:style>
  <w:style w:type="character" w:customStyle="1" w:styleId="ListLabel41">
    <w:name w:val="ListLabel 41"/>
    <w:qFormat/>
    <w:rPr>
      <w:rFonts w:cs="Symbol"/>
    </w:rPr>
  </w:style>
  <w:style w:type="character" w:customStyle="1" w:styleId="ListLabel42">
    <w:name w:val="ListLabel 42"/>
    <w:qFormat/>
    <w:rPr>
      <w:rFonts w:cs="Symbol"/>
    </w:rPr>
  </w:style>
  <w:style w:type="character" w:customStyle="1" w:styleId="ListLabel43">
    <w:name w:val="ListLabel 43"/>
    <w:qFormat/>
    <w:rPr>
      <w:rFonts w:cs="Symbol"/>
    </w:rPr>
  </w:style>
  <w:style w:type="character" w:customStyle="1" w:styleId="ListLabel44">
    <w:name w:val="ListLabel 44"/>
    <w:qFormat/>
    <w:rPr>
      <w:rFonts w:cs="Symbol"/>
    </w:rPr>
  </w:style>
  <w:style w:type="character" w:customStyle="1" w:styleId="ListLabel45">
    <w:name w:val="ListLabel 45"/>
    <w:qFormat/>
    <w:rPr>
      <w:rFonts w:cs="Symbol"/>
    </w:rPr>
  </w:style>
  <w:style w:type="character" w:customStyle="1" w:styleId="ListLabel46">
    <w:name w:val="ListLabel 46"/>
    <w:qFormat/>
    <w:rPr>
      <w:rFonts w:cs="Symbol"/>
    </w:rPr>
  </w:style>
  <w:style w:type="character" w:customStyle="1" w:styleId="ListLabel47">
    <w:name w:val="ListLabel 47"/>
    <w:qFormat/>
    <w:rPr>
      <w:rFonts w:cs="Symbol"/>
    </w:rPr>
  </w:style>
  <w:style w:type="character" w:customStyle="1" w:styleId="ListLabel48">
    <w:name w:val="ListLabel 48"/>
    <w:qFormat/>
    <w:rPr>
      <w:rFonts w:cs="Symbol"/>
    </w:rPr>
  </w:style>
  <w:style w:type="character" w:customStyle="1" w:styleId="ListLabel49">
    <w:name w:val="ListLabel 49"/>
    <w:qFormat/>
    <w:rPr>
      <w:rFonts w:cs="Symbol"/>
    </w:rPr>
  </w:style>
  <w:style w:type="character" w:customStyle="1" w:styleId="ListLabel50">
    <w:name w:val="ListLabel 50"/>
    <w:qFormat/>
    <w:rPr>
      <w:rFonts w:cs="Symbol"/>
    </w:rPr>
  </w:style>
  <w:style w:type="character" w:customStyle="1" w:styleId="ListLabel51">
    <w:name w:val="ListLabel 51"/>
    <w:qFormat/>
    <w:rPr>
      <w:rFonts w:cs="Symbol"/>
    </w:rPr>
  </w:style>
  <w:style w:type="character" w:customStyle="1" w:styleId="ListLabel52">
    <w:name w:val="ListLabel 52"/>
    <w:qFormat/>
    <w:rPr>
      <w:rFonts w:cs="Symbol"/>
    </w:rPr>
  </w:style>
  <w:style w:type="character" w:customStyle="1" w:styleId="ListLabel53">
    <w:name w:val="ListLabel 53"/>
    <w:qFormat/>
    <w:rPr>
      <w:rFonts w:cs="Symbol"/>
    </w:rPr>
  </w:style>
  <w:style w:type="character" w:customStyle="1" w:styleId="ListLabel54">
    <w:name w:val="ListLabel 54"/>
    <w:qFormat/>
    <w:rPr>
      <w:rFonts w:cs="Symbol"/>
    </w:rPr>
  </w:style>
  <w:style w:type="character" w:customStyle="1" w:styleId="ListLabel55">
    <w:name w:val="ListLabel 55"/>
    <w:qFormat/>
    <w:rPr>
      <w:rFonts w:cs="Symbol"/>
    </w:rPr>
  </w:style>
  <w:style w:type="character" w:customStyle="1" w:styleId="ListLabel56">
    <w:name w:val="ListLabel 56"/>
    <w:qFormat/>
    <w:rPr>
      <w:rFonts w:cs="Symbol"/>
    </w:rPr>
  </w:style>
  <w:style w:type="character" w:customStyle="1" w:styleId="ListLabel57">
    <w:name w:val="ListLabel 57"/>
    <w:qFormat/>
    <w:rPr>
      <w:rFonts w:cs="Symbol"/>
    </w:rPr>
  </w:style>
  <w:style w:type="character" w:customStyle="1" w:styleId="ListLabel58">
    <w:name w:val="ListLabel 58"/>
    <w:qFormat/>
    <w:rPr>
      <w:rFonts w:cs="Symbol"/>
    </w:rPr>
  </w:style>
  <w:style w:type="character" w:customStyle="1" w:styleId="ListLabel59">
    <w:name w:val="ListLabel 59"/>
    <w:qFormat/>
    <w:rPr>
      <w:rFonts w:cs="Symbol"/>
    </w:rPr>
  </w:style>
  <w:style w:type="character" w:customStyle="1" w:styleId="ListLabel60">
    <w:name w:val="ListLabel 60"/>
    <w:qFormat/>
    <w:rPr>
      <w:rFonts w:cs="Symbol"/>
    </w:rPr>
  </w:style>
  <w:style w:type="character" w:customStyle="1" w:styleId="ListLabel61">
    <w:name w:val="ListLabel 61"/>
    <w:qFormat/>
    <w:rPr>
      <w:rFonts w:cs="Symbol"/>
    </w:rPr>
  </w:style>
  <w:style w:type="character" w:customStyle="1" w:styleId="ListLabel62">
    <w:name w:val="ListLabel 62"/>
    <w:qFormat/>
    <w:rPr>
      <w:rFonts w:cs="Symbol"/>
    </w:rPr>
  </w:style>
  <w:style w:type="character" w:customStyle="1" w:styleId="ListLabel63">
    <w:name w:val="ListLabel 63"/>
    <w:qFormat/>
    <w:rPr>
      <w:rFonts w:cs="Symbol"/>
    </w:rPr>
  </w:style>
  <w:style w:type="character" w:customStyle="1" w:styleId="ListLabel64">
    <w:name w:val="ListLabel 64"/>
    <w:qFormat/>
    <w:rPr>
      <w:rFonts w:cs="Symbol"/>
    </w:rPr>
  </w:style>
  <w:style w:type="character" w:customStyle="1" w:styleId="ListLabel65">
    <w:name w:val="ListLabel 65"/>
    <w:qFormat/>
    <w:rPr>
      <w:rFonts w:cs="Symbol"/>
    </w:rPr>
  </w:style>
  <w:style w:type="character" w:customStyle="1" w:styleId="ListLabel66">
    <w:name w:val="ListLabel 66"/>
    <w:qFormat/>
    <w:rPr>
      <w:rFonts w:cs="Symbol"/>
    </w:rPr>
  </w:style>
  <w:style w:type="character" w:customStyle="1" w:styleId="ListLabel67">
    <w:name w:val="ListLabel 67"/>
    <w:qFormat/>
    <w:rPr>
      <w:rFonts w:cs="Symbol"/>
    </w:rPr>
  </w:style>
  <w:style w:type="character" w:customStyle="1" w:styleId="ListLabel68">
    <w:name w:val="ListLabel 68"/>
    <w:qFormat/>
    <w:rPr>
      <w:rFonts w:cs="Symbol"/>
    </w:rPr>
  </w:style>
  <w:style w:type="character" w:customStyle="1" w:styleId="ListLabel69">
    <w:name w:val="ListLabel 69"/>
    <w:qFormat/>
    <w:rPr>
      <w:rFonts w:cs="Symbol"/>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rFonts w:cs="Symbol"/>
    </w:rPr>
  </w:style>
  <w:style w:type="character" w:customStyle="1" w:styleId="ListLabel73">
    <w:name w:val="ListLabel 73"/>
    <w:qFormat/>
    <w:rPr>
      <w:rFonts w:cs="Symbol"/>
    </w:rPr>
  </w:style>
  <w:style w:type="character" w:customStyle="1" w:styleId="ListLabel74">
    <w:name w:val="ListLabel 74"/>
    <w:qFormat/>
    <w:rPr>
      <w:rFonts w:cs="Symbol"/>
    </w:rPr>
  </w:style>
  <w:style w:type="character" w:customStyle="1" w:styleId="ListLabel75">
    <w:name w:val="ListLabel 75"/>
    <w:qFormat/>
    <w:rPr>
      <w:rFonts w:cs="Symbol"/>
    </w:rPr>
  </w:style>
  <w:style w:type="character" w:customStyle="1" w:styleId="ListLabel76">
    <w:name w:val="ListLabel 76"/>
    <w:qFormat/>
    <w:rPr>
      <w:rFonts w:cs="Symbol"/>
    </w:rPr>
  </w:style>
  <w:style w:type="character" w:customStyle="1" w:styleId="ListLabel77">
    <w:name w:val="ListLabel 77"/>
    <w:qFormat/>
    <w:rPr>
      <w:rFonts w:cs="Symbol"/>
    </w:rPr>
  </w:style>
  <w:style w:type="character" w:customStyle="1" w:styleId="ListLabel78">
    <w:name w:val="ListLabel 78"/>
    <w:qFormat/>
    <w:rPr>
      <w:rFonts w:cs="Symbol"/>
    </w:rPr>
  </w:style>
  <w:style w:type="character" w:customStyle="1" w:styleId="ListLabel79">
    <w:name w:val="ListLabel 79"/>
    <w:qFormat/>
    <w:rPr>
      <w:rFonts w:cs="Symbol"/>
    </w:rPr>
  </w:style>
  <w:style w:type="character" w:customStyle="1" w:styleId="ListLabel80">
    <w:name w:val="ListLabel 80"/>
    <w:qFormat/>
    <w:rPr>
      <w:rFonts w:cs="Symbol"/>
    </w:rPr>
  </w:style>
  <w:style w:type="character" w:customStyle="1" w:styleId="ListLabel81">
    <w:name w:val="ListLabel 81"/>
    <w:qFormat/>
    <w:rPr>
      <w:rFonts w:cs="Symbol"/>
    </w:rPr>
  </w:style>
  <w:style w:type="character" w:customStyle="1" w:styleId="ListLabel82">
    <w:name w:val="ListLabel 82"/>
    <w:qFormat/>
    <w:rPr>
      <w:rFonts w:cs="Symbol"/>
    </w:rPr>
  </w:style>
  <w:style w:type="character" w:customStyle="1" w:styleId="ListLabel83">
    <w:name w:val="ListLabel 83"/>
    <w:qFormat/>
    <w:rPr>
      <w:rFonts w:cs="Symbol"/>
    </w:rPr>
  </w:style>
  <w:style w:type="character" w:customStyle="1" w:styleId="ListLabel84">
    <w:name w:val="ListLabel 84"/>
    <w:qFormat/>
    <w:rPr>
      <w:rFonts w:cs="Symbol"/>
    </w:rPr>
  </w:style>
  <w:style w:type="character" w:customStyle="1" w:styleId="ListLabel85">
    <w:name w:val="ListLabel 85"/>
    <w:qFormat/>
    <w:rPr>
      <w:rFonts w:cs="Symbol"/>
    </w:rPr>
  </w:style>
  <w:style w:type="character" w:customStyle="1" w:styleId="ListLabel86">
    <w:name w:val="ListLabel 86"/>
    <w:qFormat/>
    <w:rPr>
      <w:rFonts w:cs="Symbol"/>
    </w:rPr>
  </w:style>
  <w:style w:type="character" w:customStyle="1" w:styleId="ListLabel87">
    <w:name w:val="ListLabel 87"/>
    <w:qFormat/>
    <w:rPr>
      <w:rFonts w:cs="Symbol"/>
    </w:rPr>
  </w:style>
  <w:style w:type="character" w:customStyle="1" w:styleId="ListLabel88">
    <w:name w:val="ListLabel 88"/>
    <w:qFormat/>
    <w:rPr>
      <w:rFonts w:cs="Symbol"/>
    </w:rPr>
  </w:style>
  <w:style w:type="character" w:customStyle="1" w:styleId="ListLabel89">
    <w:name w:val="ListLabel 89"/>
    <w:qFormat/>
    <w:rPr>
      <w:rFonts w:cs="Symbol"/>
    </w:rPr>
  </w:style>
  <w:style w:type="character" w:customStyle="1" w:styleId="ListLabel90">
    <w:name w:val="ListLabel 90"/>
    <w:qFormat/>
    <w:rPr>
      <w:rFonts w:cs="Symbol"/>
    </w:rPr>
  </w:style>
  <w:style w:type="character" w:customStyle="1" w:styleId="ListLabel91">
    <w:name w:val="ListLabel 91"/>
    <w:qFormat/>
    <w:rPr>
      <w:rFonts w:cs="Symbol"/>
    </w:rPr>
  </w:style>
  <w:style w:type="character" w:customStyle="1" w:styleId="ListLabel92">
    <w:name w:val="ListLabel 92"/>
    <w:qFormat/>
    <w:rPr>
      <w:rFonts w:cs="Symbol"/>
    </w:rPr>
  </w:style>
  <w:style w:type="character" w:customStyle="1" w:styleId="ListLabel93">
    <w:name w:val="ListLabel 93"/>
    <w:qFormat/>
    <w:rPr>
      <w:rFonts w:cs="Symbol"/>
    </w:rPr>
  </w:style>
  <w:style w:type="character" w:customStyle="1" w:styleId="ListLabel94">
    <w:name w:val="ListLabel 94"/>
    <w:qFormat/>
    <w:rPr>
      <w:rFonts w:cs="Symbol"/>
    </w:rPr>
  </w:style>
  <w:style w:type="character" w:customStyle="1" w:styleId="ListLabel95">
    <w:name w:val="ListLabel 95"/>
    <w:qFormat/>
    <w:rPr>
      <w:rFonts w:cs="Symbol"/>
    </w:rPr>
  </w:style>
  <w:style w:type="character" w:customStyle="1" w:styleId="ListLabel96">
    <w:name w:val="ListLabel 96"/>
    <w:qFormat/>
    <w:rPr>
      <w:rFonts w:cs="Symbol"/>
    </w:rPr>
  </w:style>
  <w:style w:type="character" w:customStyle="1" w:styleId="ListLabel97">
    <w:name w:val="ListLabel 97"/>
    <w:qFormat/>
    <w:rPr>
      <w:rFonts w:cs="Symbol"/>
    </w:rPr>
  </w:style>
  <w:style w:type="character" w:customStyle="1" w:styleId="ListLabel98">
    <w:name w:val="ListLabel 98"/>
    <w:qFormat/>
    <w:rPr>
      <w:rFonts w:cs="Symbol"/>
    </w:rPr>
  </w:style>
  <w:style w:type="character" w:customStyle="1" w:styleId="ListLabel99">
    <w:name w:val="ListLabel 99"/>
    <w:qFormat/>
    <w:rPr>
      <w:rFonts w:cs="Symbol"/>
    </w:rPr>
  </w:style>
  <w:style w:type="character" w:customStyle="1" w:styleId="ListLabel100">
    <w:name w:val="ListLabel 100"/>
    <w:qFormat/>
    <w:rPr>
      <w:rFonts w:cs="Symbol"/>
    </w:rPr>
  </w:style>
  <w:style w:type="character" w:customStyle="1" w:styleId="ListLabel101">
    <w:name w:val="ListLabel 101"/>
    <w:qFormat/>
    <w:rPr>
      <w:rFonts w:cs="Symbol"/>
    </w:rPr>
  </w:style>
  <w:style w:type="character" w:customStyle="1" w:styleId="ListLabel102">
    <w:name w:val="ListLabel 102"/>
    <w:qFormat/>
    <w:rPr>
      <w:rFonts w:cs="Symbol"/>
    </w:rPr>
  </w:style>
  <w:style w:type="character" w:customStyle="1" w:styleId="ListLabel103">
    <w:name w:val="ListLabel 103"/>
    <w:qFormat/>
    <w:rPr>
      <w:rFonts w:cs="Symbol"/>
    </w:rPr>
  </w:style>
  <w:style w:type="character" w:customStyle="1" w:styleId="ListLabel104">
    <w:name w:val="ListLabel 104"/>
    <w:qFormat/>
    <w:rPr>
      <w:rFonts w:cs="Symbol"/>
    </w:rPr>
  </w:style>
  <w:style w:type="character" w:customStyle="1" w:styleId="ListLabel105">
    <w:name w:val="ListLabel 105"/>
    <w:qFormat/>
    <w:rPr>
      <w:rFonts w:cs="Symbol"/>
    </w:rPr>
  </w:style>
  <w:style w:type="character" w:customStyle="1" w:styleId="ListLabel106">
    <w:name w:val="ListLabel 106"/>
    <w:qFormat/>
    <w:rPr>
      <w:rFonts w:cs="Symbol"/>
    </w:rPr>
  </w:style>
  <w:style w:type="character" w:customStyle="1" w:styleId="ListLabel107">
    <w:name w:val="ListLabel 107"/>
    <w:qFormat/>
    <w:rPr>
      <w:rFonts w:cs="Symbol"/>
    </w:rPr>
  </w:style>
  <w:style w:type="character" w:customStyle="1" w:styleId="ListLabel108">
    <w:name w:val="ListLabel 108"/>
    <w:qFormat/>
    <w:rPr>
      <w:rFonts w:cs="Symbol"/>
    </w:rPr>
  </w:style>
  <w:style w:type="character" w:customStyle="1" w:styleId="ListLabel109">
    <w:name w:val="ListLabel 109"/>
    <w:qFormat/>
    <w:rPr>
      <w:rFonts w:cs="Symbol"/>
    </w:rPr>
  </w:style>
  <w:style w:type="character" w:customStyle="1" w:styleId="ListLabel110">
    <w:name w:val="ListLabel 110"/>
    <w:qFormat/>
    <w:rPr>
      <w:rFonts w:cs="Symbol"/>
    </w:rPr>
  </w:style>
  <w:style w:type="character" w:customStyle="1" w:styleId="ListLabel111">
    <w:name w:val="ListLabel 111"/>
    <w:qFormat/>
    <w:rPr>
      <w:rFonts w:cs="Symbol"/>
    </w:rPr>
  </w:style>
  <w:style w:type="character" w:customStyle="1" w:styleId="ListLabel112">
    <w:name w:val="ListLabel 112"/>
    <w:qFormat/>
    <w:rPr>
      <w:rFonts w:cs="Symbol"/>
    </w:rPr>
  </w:style>
  <w:style w:type="character" w:customStyle="1" w:styleId="ListLabel113">
    <w:name w:val="ListLabel 113"/>
    <w:qFormat/>
    <w:rPr>
      <w:rFonts w:cs="Symbol"/>
    </w:rPr>
  </w:style>
  <w:style w:type="character" w:customStyle="1" w:styleId="ListLabel114">
    <w:name w:val="ListLabel 114"/>
    <w:qFormat/>
    <w:rPr>
      <w:rFonts w:cs="Symbol"/>
    </w:rPr>
  </w:style>
  <w:style w:type="character" w:customStyle="1" w:styleId="ListLabel115">
    <w:name w:val="ListLabel 115"/>
    <w:qFormat/>
    <w:rPr>
      <w:rFonts w:cs="Symbol"/>
    </w:rPr>
  </w:style>
  <w:style w:type="character" w:customStyle="1" w:styleId="ListLabel116">
    <w:name w:val="ListLabel 116"/>
    <w:qFormat/>
    <w:rPr>
      <w:rFonts w:cs="Symbol"/>
    </w:rPr>
  </w:style>
  <w:style w:type="character" w:customStyle="1" w:styleId="ListLabel117">
    <w:name w:val="ListLabel 117"/>
    <w:qFormat/>
    <w:rPr>
      <w:rFonts w:cs="Symbol"/>
    </w:rPr>
  </w:style>
  <w:style w:type="character" w:customStyle="1" w:styleId="ListLabel118">
    <w:name w:val="ListLabel 118"/>
    <w:qFormat/>
    <w:rPr>
      <w:rFonts w:cs="Symbol"/>
    </w:rPr>
  </w:style>
  <w:style w:type="character" w:customStyle="1" w:styleId="ListLabel119">
    <w:name w:val="ListLabel 119"/>
    <w:qFormat/>
    <w:rPr>
      <w:rFonts w:cs="Symbol"/>
    </w:rPr>
  </w:style>
  <w:style w:type="character" w:customStyle="1" w:styleId="ListLabel120">
    <w:name w:val="ListLabel 120"/>
    <w:qFormat/>
    <w:rPr>
      <w:rFonts w:cs="Symbol"/>
    </w:rPr>
  </w:style>
  <w:style w:type="character" w:customStyle="1" w:styleId="ListLabel121">
    <w:name w:val="ListLabel 121"/>
    <w:qFormat/>
    <w:rPr>
      <w:rFonts w:cs="Symbol"/>
    </w:rPr>
  </w:style>
  <w:style w:type="character" w:customStyle="1" w:styleId="ListLabel122">
    <w:name w:val="ListLabel 122"/>
    <w:qFormat/>
    <w:rPr>
      <w:rFonts w:cs="Symbol"/>
    </w:rPr>
  </w:style>
  <w:style w:type="character" w:customStyle="1" w:styleId="ListLabel123">
    <w:name w:val="ListLabel 123"/>
    <w:qFormat/>
    <w:rPr>
      <w:rFonts w:cs="Symbol"/>
    </w:rPr>
  </w:style>
  <w:style w:type="character" w:customStyle="1" w:styleId="ListLabel124">
    <w:name w:val="ListLabel 124"/>
    <w:qFormat/>
    <w:rPr>
      <w:rFonts w:cs="Symbol"/>
    </w:rPr>
  </w:style>
  <w:style w:type="character" w:customStyle="1" w:styleId="ListLabel125">
    <w:name w:val="ListLabel 125"/>
    <w:qFormat/>
    <w:rPr>
      <w:rFonts w:cs="Symbol"/>
    </w:rPr>
  </w:style>
  <w:style w:type="character" w:customStyle="1" w:styleId="ListLabel126">
    <w:name w:val="ListLabel 126"/>
    <w:qFormat/>
    <w:rPr>
      <w:rFonts w:cs="Symbol"/>
    </w:rPr>
  </w:style>
  <w:style w:type="character" w:customStyle="1" w:styleId="ListLabel127">
    <w:name w:val="ListLabel 127"/>
    <w:qFormat/>
    <w:rPr>
      <w:rFonts w:cs="Symbol"/>
    </w:rPr>
  </w:style>
  <w:style w:type="character" w:customStyle="1" w:styleId="ListLabel128">
    <w:name w:val="ListLabel 128"/>
    <w:qFormat/>
    <w:rPr>
      <w:rFonts w:cs="Symbol"/>
    </w:rPr>
  </w:style>
  <w:style w:type="character" w:customStyle="1" w:styleId="ListLabel129">
    <w:name w:val="ListLabel 129"/>
    <w:qFormat/>
    <w:rPr>
      <w:rFonts w:cs="Symbol"/>
    </w:rPr>
  </w:style>
  <w:style w:type="character" w:customStyle="1" w:styleId="ListLabel130">
    <w:name w:val="ListLabel 130"/>
    <w:qFormat/>
    <w:rPr>
      <w:rFonts w:cs="Symbol"/>
    </w:rPr>
  </w:style>
  <w:style w:type="character" w:customStyle="1" w:styleId="ListLabel131">
    <w:name w:val="ListLabel 131"/>
    <w:qFormat/>
    <w:rPr>
      <w:rFonts w:cs="Symbol"/>
    </w:rPr>
  </w:style>
  <w:style w:type="character" w:customStyle="1" w:styleId="ListLabel132">
    <w:name w:val="ListLabel 132"/>
    <w:qFormat/>
    <w:rPr>
      <w:rFonts w:cs="Symbol"/>
    </w:rPr>
  </w:style>
  <w:style w:type="character" w:customStyle="1" w:styleId="ListLabel133">
    <w:name w:val="ListLabel 133"/>
    <w:qFormat/>
    <w:rPr>
      <w:rFonts w:cs="Symbol"/>
    </w:rPr>
  </w:style>
  <w:style w:type="character" w:customStyle="1" w:styleId="ListLabel134">
    <w:name w:val="ListLabel 134"/>
    <w:qFormat/>
    <w:rPr>
      <w:rFonts w:cs="Symbol"/>
    </w:rPr>
  </w:style>
  <w:style w:type="character" w:customStyle="1" w:styleId="ListLabel135">
    <w:name w:val="ListLabel 135"/>
    <w:qFormat/>
    <w:rPr>
      <w:rFonts w:cs="Symbol"/>
    </w:rPr>
  </w:style>
  <w:style w:type="character" w:customStyle="1" w:styleId="ListLabel136">
    <w:name w:val="ListLabel 136"/>
    <w:qFormat/>
    <w:rPr>
      <w:rFonts w:cs="Symbol"/>
    </w:rPr>
  </w:style>
  <w:style w:type="character" w:customStyle="1" w:styleId="ListLabel137">
    <w:name w:val="ListLabel 137"/>
    <w:qFormat/>
    <w:rPr>
      <w:rFonts w:cs="Symbol"/>
    </w:rPr>
  </w:style>
  <w:style w:type="character" w:customStyle="1" w:styleId="ListLabel138">
    <w:name w:val="ListLabel 138"/>
    <w:qFormat/>
    <w:rPr>
      <w:rFonts w:cs="Symbol"/>
    </w:rPr>
  </w:style>
  <w:style w:type="character" w:customStyle="1" w:styleId="ListLabel139">
    <w:name w:val="ListLabel 139"/>
    <w:qFormat/>
    <w:rPr>
      <w:rFonts w:cs="Symbol"/>
    </w:rPr>
  </w:style>
  <w:style w:type="character" w:customStyle="1" w:styleId="ListLabel140">
    <w:name w:val="ListLabel 140"/>
    <w:qFormat/>
    <w:rPr>
      <w:rFonts w:cs="Symbol"/>
    </w:rPr>
  </w:style>
  <w:style w:type="character" w:customStyle="1" w:styleId="ListLabel141">
    <w:name w:val="ListLabel 141"/>
    <w:qFormat/>
    <w:rPr>
      <w:rFonts w:cs="Symbol"/>
    </w:rPr>
  </w:style>
  <w:style w:type="character" w:customStyle="1" w:styleId="ListLabel142">
    <w:name w:val="ListLabel 142"/>
    <w:qFormat/>
    <w:rPr>
      <w:rFonts w:cs="OpenSymbol, 'Arial Unicode MS'"/>
    </w:rPr>
  </w:style>
  <w:style w:type="character" w:customStyle="1" w:styleId="ListLabel143">
    <w:name w:val="ListLabel 143"/>
    <w:qFormat/>
    <w:rPr>
      <w:rFonts w:cs="OpenSymbol, 'Arial Unicode MS'"/>
    </w:rPr>
  </w:style>
  <w:style w:type="character" w:customStyle="1" w:styleId="ListLabel144">
    <w:name w:val="ListLabel 144"/>
    <w:qFormat/>
    <w:rPr>
      <w:rFonts w:cs="OpenSymbol, 'Arial Unicode MS'"/>
    </w:rPr>
  </w:style>
  <w:style w:type="character" w:customStyle="1" w:styleId="ListLabel145">
    <w:name w:val="ListLabel 145"/>
    <w:qFormat/>
    <w:rPr>
      <w:rFonts w:cs="OpenSymbol, 'Arial Unicode MS'"/>
    </w:rPr>
  </w:style>
  <w:style w:type="character" w:customStyle="1" w:styleId="ListLabel146">
    <w:name w:val="ListLabel 146"/>
    <w:qFormat/>
    <w:rPr>
      <w:rFonts w:cs="OpenSymbol, 'Arial Unicode MS'"/>
    </w:rPr>
  </w:style>
  <w:style w:type="character" w:customStyle="1" w:styleId="ListLabel147">
    <w:name w:val="ListLabel 147"/>
    <w:qFormat/>
    <w:rPr>
      <w:rFonts w:cs="OpenSymbol, 'Arial Unicode MS'"/>
    </w:rPr>
  </w:style>
  <w:style w:type="character" w:customStyle="1" w:styleId="ListLabel148">
    <w:name w:val="ListLabel 148"/>
    <w:qFormat/>
    <w:rPr>
      <w:rFonts w:cs="OpenSymbol, 'Arial Unicode MS'"/>
    </w:rPr>
  </w:style>
  <w:style w:type="character" w:customStyle="1" w:styleId="ListLabel149">
    <w:name w:val="ListLabel 149"/>
    <w:qFormat/>
    <w:rPr>
      <w:rFonts w:cs="OpenSymbol, 'Arial Unicode MS'"/>
    </w:rPr>
  </w:style>
  <w:style w:type="character" w:customStyle="1" w:styleId="ListLabel150">
    <w:name w:val="ListLabel 150"/>
    <w:qFormat/>
    <w:rPr>
      <w:rFonts w:cs="OpenSymbol, 'Arial Unicode MS'"/>
    </w:rPr>
  </w:style>
  <w:style w:type="character" w:customStyle="1" w:styleId="ListLabel151">
    <w:name w:val="ListLabel 151"/>
    <w:qFormat/>
    <w:rPr>
      <w:rFonts w:cs="OpenSymbol, 'Arial Unicode MS'"/>
    </w:rPr>
  </w:style>
  <w:style w:type="paragraph" w:customStyle="1" w:styleId="Nadpis">
    <w:name w:val="Nadpis"/>
    <w:basedOn w:val="Normln"/>
    <w:next w:val="Zkladntext"/>
    <w:qFormat/>
    <w:pPr>
      <w:keepNext/>
      <w:widowControl w:val="0"/>
      <w:spacing w:before="240" w:after="120"/>
    </w:pPr>
    <w:rPr>
      <w:rFonts w:eastAsia="Microsoft YaHei"/>
      <w:sz w:val="28"/>
      <w:szCs w:val="28"/>
    </w:rPr>
  </w:style>
  <w:style w:type="paragraph" w:styleId="Zkladntext">
    <w:name w:val="Body Text"/>
    <w:basedOn w:val="Normln"/>
    <w:pPr>
      <w:spacing w:after="45" w:line="288" w:lineRule="auto"/>
    </w:pPr>
    <w:rPr>
      <w:sz w:val="21"/>
    </w:rPr>
  </w:style>
  <w:style w:type="paragraph" w:styleId="Seznam">
    <w:name w:val="List"/>
    <w:basedOn w:val="Zkladntext"/>
    <w:pPr>
      <w:widowControl w:val="0"/>
    </w:pPr>
    <w:rPr>
      <w:rFonts w:ascii="Liberation Serif" w:hAnsi="Liberation Serif"/>
      <w:sz w:val="24"/>
      <w:szCs w:val="24"/>
    </w:rPr>
  </w:style>
  <w:style w:type="paragraph" w:styleId="Titulek">
    <w:name w:val="caption"/>
    <w:basedOn w:val="Standard"/>
    <w:qFormat/>
    <w:pPr>
      <w:spacing w:before="120" w:after="120"/>
    </w:pPr>
    <w:rPr>
      <w:i/>
      <w:iCs/>
    </w:rPr>
  </w:style>
  <w:style w:type="paragraph" w:customStyle="1" w:styleId="Rejstk">
    <w:name w:val="Rejstřík"/>
    <w:basedOn w:val="Normln"/>
    <w:qFormat/>
    <w:pPr>
      <w:widowControl w:val="0"/>
    </w:pPr>
    <w:rPr>
      <w:rFonts w:ascii="Liberation Serif" w:hAnsi="Liberation Serif"/>
      <w:sz w:val="24"/>
      <w:szCs w:val="24"/>
    </w:rPr>
  </w:style>
  <w:style w:type="paragraph" w:customStyle="1" w:styleId="Standard">
    <w:name w:val="Standard"/>
    <w:qFormat/>
    <w:pPr>
      <w:suppressLineNumbers/>
    </w:pPr>
    <w:rPr>
      <w:rFonts w:ascii="Calibri" w:hAnsi="Calibri"/>
      <w:color w:val="00000A"/>
      <w:sz w:val="21"/>
    </w:rPr>
  </w:style>
  <w:style w:type="paragraph" w:customStyle="1" w:styleId="Textbody">
    <w:name w:val="Text body"/>
    <w:qFormat/>
    <w:pPr>
      <w:tabs>
        <w:tab w:val="left" w:pos="5445"/>
      </w:tabs>
      <w:snapToGrid w:val="0"/>
      <w:spacing w:after="57"/>
      <w:outlineLvl w:val="1"/>
    </w:pPr>
    <w:rPr>
      <w:rFonts w:ascii="Calibri" w:hAnsi="Calibri"/>
      <w:color w:val="00000A"/>
      <w:sz w:val="22"/>
    </w:rPr>
  </w:style>
  <w:style w:type="paragraph" w:customStyle="1" w:styleId="Zkladntextodsazen1">
    <w:name w:val="Základní text odsazený1"/>
    <w:basedOn w:val="Textbody"/>
    <w:qFormat/>
    <w:pPr>
      <w:ind w:firstLine="283"/>
    </w:pPr>
  </w:style>
  <w:style w:type="paragraph" w:customStyle="1" w:styleId="Quotations">
    <w:name w:val="Quotations"/>
    <w:basedOn w:val="Standard"/>
    <w:qFormat/>
    <w:pPr>
      <w:spacing w:after="283"/>
      <w:ind w:left="567" w:right="567"/>
    </w:pPr>
  </w:style>
  <w:style w:type="paragraph" w:styleId="Normlnweb">
    <w:name w:val="Normal (Web)"/>
    <w:basedOn w:val="Normln"/>
    <w:uiPriority w:val="99"/>
    <w:semiHidden/>
    <w:unhideWhenUsed/>
    <w:qFormat/>
    <w:rsid w:val="00080207"/>
    <w:pPr>
      <w:suppressAutoHyphens w:val="0"/>
      <w:spacing w:beforeAutospacing="1" w:after="119"/>
      <w:textAlignment w:val="auto"/>
    </w:pPr>
    <w:rPr>
      <w:rFonts w:ascii="Times New Roman" w:eastAsia="Times New Roman" w:hAnsi="Times New Roman" w:cs="Times New Roman"/>
      <w:lang w:eastAsia="cs-CZ" w:bidi="ar-SA"/>
    </w:rPr>
  </w:style>
  <w:style w:type="paragraph" w:styleId="Zpat">
    <w:name w:val="footer"/>
    <w:basedOn w:val="Normln"/>
  </w:style>
  <w:style w:type="paragraph" w:customStyle="1" w:styleId="Obsahtabulky">
    <w:name w:val="Obsah tabulky"/>
    <w:basedOn w:val="Zkladntext"/>
    <w:qFormat/>
    <w:pPr>
      <w:suppressLineNumbers/>
    </w:pPr>
  </w:style>
  <w:style w:type="paragraph" w:customStyle="1" w:styleId="Nadpistabulky">
    <w:name w:val="Nadpis tabulky"/>
    <w:basedOn w:val="Obsahtabulky"/>
    <w:qFormat/>
    <w:pPr>
      <w:jc w:val="center"/>
    </w:pPr>
    <w:rPr>
      <w:b/>
      <w:bCs/>
    </w:rPr>
  </w:style>
  <w:style w:type="paragraph" w:customStyle="1" w:styleId="Interdata">
    <w:name w:val="Interdata"/>
    <w:basedOn w:val="Zkladntext"/>
    <w:qFormat/>
    <w:pPr>
      <w:suppressAutoHyphens w:val="0"/>
      <w:spacing w:line="240" w:lineRule="auto"/>
    </w:pPr>
    <w:rPr>
      <w:sz w:val="22"/>
    </w:rPr>
  </w:style>
  <w:style w:type="paragraph" w:styleId="Nzev">
    <w:name w:val="Title"/>
    <w:basedOn w:val="Nadpis"/>
    <w:qFormat/>
  </w:style>
  <w:style w:type="paragraph" w:styleId="Odstavecseseznamem">
    <w:name w:val="List Paragraph"/>
    <w:basedOn w:val="Normln"/>
    <w:qFormat/>
    <w:pPr>
      <w:spacing w:before="340" w:after="113"/>
      <w:ind w:left="357" w:hanging="357"/>
      <w:jc w:val="center"/>
    </w:pPr>
    <w:rPr>
      <w:b/>
      <w:sz w:val="24"/>
      <w:u w:val="single"/>
    </w:rPr>
  </w:style>
  <w:style w:type="numbering" w:customStyle="1" w:styleId="slovn1">
    <w:name w:val="Číslování 1"/>
    <w:qFormat/>
  </w:style>
  <w:style w:type="numbering" w:customStyle="1" w:styleId="slovn2">
    <w:name w:val="Číslování 2"/>
    <w:qFormat/>
  </w:style>
  <w:style w:type="numbering" w:customStyle="1" w:styleId="slovn3">
    <w:name w:val="Číslování 3"/>
    <w:qFormat/>
  </w:style>
  <w:style w:type="numbering" w:customStyle="1" w:styleId="Seznam21">
    <w:name w:val="Seznam 21"/>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slovn">
    <w:name w:val="číslování"/>
    <w:qFormat/>
  </w:style>
  <w:style w:type="numbering" w:customStyle="1" w:styleId="Interdata0">
    <w:name w:val="Interdata"/>
    <w:qFormat/>
  </w:style>
  <w:style w:type="numbering" w:customStyle="1" w:styleId="Beznzvu1">
    <w:name w:val="Bez názvu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1940</Words>
  <Characters>11450</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Servisní smlouva</vt:lpstr>
    </vt:vector>
  </TitlesOfParts>
  <Company/>
  <LinksUpToDate>false</LinksUpToDate>
  <CharactersWithSpaces>13364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Servisní smlouva</dc:title>
  <dc:subject/>
  <dc:creator>Libor Petr</dc:creator>
  <dc:description>smlouva na pravidelný servis a údržbu sítě, výpočetní techniky a programového vybavení</dc:description>
  <cp:lastModifiedBy>chrtova</cp:lastModifiedBy>
  <cp:revision>3</cp:revision>
  <cp:lastPrinted>2018-12-17T00:20:00Z</cp:lastPrinted>
  <dcterms:created xsi:type="dcterms:W3CDTF">2018-12-18T11:35:00Z</dcterms:created>
  <dcterms:modified xsi:type="dcterms:W3CDTF">2018-12-18T11:35:00Z</dcterms:modified>
  <dc:language>cs-CZ</dc:language>
</cp:coreProperties>
</file>