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BD" w:rsidRPr="00090A5F" w:rsidRDefault="005627BD" w:rsidP="00A66D82">
      <w:pPr>
        <w:pStyle w:val="Nadpis2"/>
        <w:rPr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</w:rPr>
        <w:t>D O D A T E K  č. 1</w:t>
      </w:r>
      <w:r w:rsidR="00AA39E2" w:rsidRPr="00090A5F">
        <w:rPr>
          <w:rFonts w:ascii="Arial" w:hAnsi="Arial" w:cs="Arial"/>
          <w:color w:val="000000"/>
        </w:rPr>
        <w:t>9</w:t>
      </w:r>
      <w:r w:rsidRPr="00090A5F">
        <w:rPr>
          <w:rFonts w:ascii="Arial" w:hAnsi="Arial" w:cs="Arial"/>
          <w:color w:val="000000"/>
          <w:sz w:val="24"/>
          <w:szCs w:val="24"/>
        </w:rPr>
        <w:br/>
      </w:r>
      <w:r w:rsidRPr="00090A5F">
        <w:rPr>
          <w:rFonts w:ascii="Arial" w:hAnsi="Arial" w:cs="Arial"/>
          <w:color w:val="000000"/>
          <w:sz w:val="24"/>
          <w:szCs w:val="24"/>
        </w:rPr>
        <w:br/>
        <w:t>SMLOUVY  č. 95/2006</w:t>
      </w:r>
    </w:p>
    <w:p w:rsidR="005627BD" w:rsidRPr="00090A5F" w:rsidRDefault="005627BD" w:rsidP="00A8484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090A5F" w:rsidRDefault="005627BD" w:rsidP="00A8484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 xml:space="preserve">o závazku veřejné služby k zajištění základní dopravní obslužnosti </w:t>
      </w:r>
    </w:p>
    <w:p w:rsidR="005627BD" w:rsidRPr="00090A5F" w:rsidRDefault="005627BD" w:rsidP="00A8484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090A5F" w:rsidRDefault="005627BD" w:rsidP="00A8484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Zlínského kraje</w:t>
      </w:r>
    </w:p>
    <w:p w:rsidR="005627BD" w:rsidRPr="00090A5F" w:rsidRDefault="005627BD" w:rsidP="00A8484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uzavřená mezi smluvními stranami</w:t>
      </w:r>
    </w:p>
    <w:p w:rsidR="005627BD" w:rsidRPr="00090A5F" w:rsidRDefault="005627BD" w:rsidP="00A84849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A84849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1. Zlínský kraj</w:t>
      </w:r>
    </w:p>
    <w:p w:rsidR="005627BD" w:rsidRPr="00090A5F" w:rsidRDefault="005627BD" w:rsidP="00A84849">
      <w:pPr>
        <w:pStyle w:val="Nadpis3"/>
        <w:rPr>
          <w:color w:val="000000"/>
        </w:rPr>
      </w:pPr>
      <w:r w:rsidRPr="00090A5F">
        <w:rPr>
          <w:color w:val="000000"/>
        </w:rPr>
        <w:t xml:space="preserve">Sídlo:  </w:t>
      </w:r>
      <w:r w:rsidRPr="00090A5F">
        <w:rPr>
          <w:color w:val="000000"/>
        </w:rPr>
        <w:tab/>
      </w:r>
      <w:r w:rsidRPr="00090A5F">
        <w:rPr>
          <w:color w:val="000000"/>
        </w:rPr>
        <w:tab/>
      </w:r>
      <w:r w:rsidRPr="00090A5F">
        <w:rPr>
          <w:color w:val="000000"/>
        </w:rPr>
        <w:tab/>
        <w:t>Zlín, třída Tomáše Bati 21, PSČ 761 90</w:t>
      </w:r>
    </w:p>
    <w:p w:rsidR="005627BD" w:rsidRPr="00090A5F" w:rsidRDefault="005627BD" w:rsidP="00A848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Zastoupený:</w:t>
      </w:r>
      <w:r w:rsidRPr="00090A5F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090A5F">
        <w:rPr>
          <w:rFonts w:ascii="Arial" w:hAnsi="Arial" w:cs="Arial"/>
          <w:color w:val="000000"/>
          <w:sz w:val="24"/>
          <w:szCs w:val="24"/>
        </w:rPr>
        <w:tab/>
      </w:r>
      <w:r w:rsidRPr="00090A5F">
        <w:rPr>
          <w:rFonts w:ascii="Arial" w:hAnsi="Arial" w:cs="Arial"/>
          <w:color w:val="000000"/>
          <w:sz w:val="24"/>
          <w:szCs w:val="24"/>
        </w:rPr>
        <w:tab/>
      </w:r>
      <w:r w:rsidR="0022125C" w:rsidRPr="00090A5F">
        <w:rPr>
          <w:rFonts w:ascii="Arial" w:hAnsi="Arial" w:cs="Arial"/>
          <w:color w:val="000000"/>
          <w:sz w:val="24"/>
          <w:szCs w:val="24"/>
        </w:rPr>
        <w:t>Jiřím Čunkem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, hejtmanem kraje  </w:t>
      </w:r>
    </w:p>
    <w:p w:rsidR="005627BD" w:rsidRPr="00090A5F" w:rsidRDefault="005627BD" w:rsidP="00A84849">
      <w:pPr>
        <w:pStyle w:val="Nadpis3"/>
        <w:rPr>
          <w:color w:val="000000"/>
        </w:rPr>
      </w:pPr>
      <w:r w:rsidRPr="00090A5F">
        <w:rPr>
          <w:color w:val="000000"/>
        </w:rPr>
        <w:t xml:space="preserve">IČ:  </w:t>
      </w:r>
      <w:r w:rsidRPr="00090A5F">
        <w:rPr>
          <w:color w:val="000000"/>
        </w:rPr>
        <w:tab/>
      </w:r>
      <w:r w:rsidRPr="00090A5F">
        <w:rPr>
          <w:color w:val="000000"/>
        </w:rPr>
        <w:tab/>
      </w:r>
      <w:r w:rsidRPr="00090A5F">
        <w:rPr>
          <w:color w:val="000000"/>
        </w:rPr>
        <w:tab/>
      </w:r>
      <w:r w:rsidRPr="00090A5F">
        <w:rPr>
          <w:color w:val="000000"/>
        </w:rPr>
        <w:tab/>
        <w:t>70891320</w:t>
      </w:r>
    </w:p>
    <w:p w:rsidR="005627BD" w:rsidRPr="00090A5F" w:rsidRDefault="005627BD" w:rsidP="00A848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DIČ:                                        -</w:t>
      </w:r>
    </w:p>
    <w:p w:rsidR="005627BD" w:rsidRPr="00090A5F" w:rsidRDefault="005627BD" w:rsidP="00A848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Bankovní spojení: </w:t>
      </w:r>
      <w:r w:rsidRPr="00090A5F">
        <w:rPr>
          <w:rFonts w:ascii="Arial" w:hAnsi="Arial" w:cs="Arial"/>
          <w:color w:val="000000"/>
          <w:sz w:val="24"/>
          <w:szCs w:val="24"/>
        </w:rPr>
        <w:tab/>
      </w:r>
      <w:r w:rsidRPr="00090A5F">
        <w:rPr>
          <w:rFonts w:ascii="Arial" w:hAnsi="Arial" w:cs="Arial"/>
          <w:color w:val="000000"/>
          <w:sz w:val="24"/>
          <w:szCs w:val="24"/>
        </w:rPr>
        <w:tab/>
      </w:r>
      <w:r w:rsidR="000500A6">
        <w:rPr>
          <w:rFonts w:ascii="Arial" w:hAnsi="Arial" w:cs="Arial"/>
          <w:color w:val="000000"/>
          <w:sz w:val="24"/>
          <w:szCs w:val="24"/>
        </w:rPr>
        <w:t>XXXX</w:t>
      </w:r>
    </w:p>
    <w:p w:rsidR="005627BD" w:rsidRPr="00090A5F" w:rsidRDefault="005627BD" w:rsidP="00A848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Číslo účtu: </w:t>
      </w:r>
      <w:r w:rsidRPr="00090A5F">
        <w:rPr>
          <w:rFonts w:ascii="Arial" w:hAnsi="Arial" w:cs="Arial"/>
          <w:color w:val="000000"/>
          <w:sz w:val="24"/>
          <w:szCs w:val="24"/>
        </w:rPr>
        <w:tab/>
      </w:r>
      <w:r w:rsidRPr="00090A5F">
        <w:rPr>
          <w:rFonts w:ascii="Arial" w:hAnsi="Arial" w:cs="Arial"/>
          <w:color w:val="000000"/>
          <w:sz w:val="24"/>
          <w:szCs w:val="24"/>
        </w:rPr>
        <w:tab/>
      </w:r>
      <w:r w:rsidRPr="00090A5F">
        <w:rPr>
          <w:rFonts w:ascii="Arial" w:hAnsi="Arial" w:cs="Arial"/>
          <w:color w:val="000000"/>
          <w:sz w:val="24"/>
          <w:szCs w:val="24"/>
        </w:rPr>
        <w:tab/>
      </w:r>
      <w:r w:rsidR="000500A6">
        <w:rPr>
          <w:rFonts w:ascii="Arial" w:hAnsi="Arial" w:cs="Arial"/>
          <w:color w:val="000000"/>
          <w:sz w:val="24"/>
          <w:szCs w:val="24"/>
        </w:rPr>
        <w:t>XXXX</w:t>
      </w:r>
    </w:p>
    <w:p w:rsidR="005627BD" w:rsidRPr="00090A5F" w:rsidRDefault="005627BD" w:rsidP="00A84849">
      <w:pPr>
        <w:ind w:firstLine="28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(dále jen “objednatel”)</w:t>
      </w:r>
    </w:p>
    <w:p w:rsidR="005627BD" w:rsidRPr="00090A5F" w:rsidRDefault="005627BD" w:rsidP="00A84849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A84849">
      <w:pPr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a</w:t>
      </w:r>
    </w:p>
    <w:p w:rsidR="005627BD" w:rsidRPr="00090A5F" w:rsidRDefault="005627BD" w:rsidP="00A84849">
      <w:pPr>
        <w:rPr>
          <w:rFonts w:ascii="Arial" w:hAnsi="Arial" w:cs="Arial"/>
          <w:color w:val="000000"/>
          <w:sz w:val="24"/>
          <w:szCs w:val="24"/>
        </w:rPr>
      </w:pPr>
    </w:p>
    <w:p w:rsidR="00A66D82" w:rsidRPr="00090A5F" w:rsidRDefault="00A66D82" w:rsidP="00A66D82">
      <w:pPr>
        <w:rPr>
          <w:rFonts w:ascii="Arial" w:hAnsi="Arial"/>
          <w:b/>
          <w:color w:val="000000"/>
          <w:sz w:val="22"/>
          <w:szCs w:val="22"/>
        </w:rPr>
      </w:pPr>
      <w:r w:rsidRPr="00090A5F">
        <w:rPr>
          <w:rFonts w:ascii="Arial" w:hAnsi="Arial"/>
          <w:b/>
          <w:color w:val="000000"/>
          <w:sz w:val="22"/>
          <w:szCs w:val="22"/>
        </w:rPr>
        <w:t>2. ARRIVA MORAVA a.s.</w:t>
      </w:r>
    </w:p>
    <w:p w:rsidR="00A66D82" w:rsidRPr="00090A5F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90A5F">
        <w:rPr>
          <w:rFonts w:ascii="Arial" w:hAnsi="Arial" w:cs="Arial"/>
          <w:bCs/>
          <w:color w:val="000000"/>
          <w:sz w:val="22"/>
          <w:szCs w:val="22"/>
        </w:rPr>
        <w:t xml:space="preserve">Sídlo:  </w:t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  <w:t xml:space="preserve">             </w:t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  <w:t>Ostrava - Moravská Ostrava, Vítkovická 3133/5, PSČ 70200</w:t>
      </w:r>
    </w:p>
    <w:p w:rsidR="00A66D82" w:rsidRPr="00090A5F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090A5F">
        <w:rPr>
          <w:rFonts w:ascii="Arial" w:hAnsi="Arial" w:cs="Arial"/>
          <w:bCs/>
          <w:color w:val="000000"/>
          <w:sz w:val="22"/>
          <w:szCs w:val="22"/>
        </w:rPr>
        <w:t xml:space="preserve">Zastoupena : </w:t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  <w:t xml:space="preserve">   </w:t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="00FD1EAC" w:rsidRPr="00090A5F">
        <w:rPr>
          <w:rFonts w:ascii="Arial" w:hAnsi="Arial" w:cs="Arial"/>
          <w:bCs/>
          <w:color w:val="000000"/>
          <w:sz w:val="22"/>
          <w:szCs w:val="22"/>
        </w:rPr>
        <w:t>Ing.</w:t>
      </w:r>
      <w:proofErr w:type="gramEnd"/>
      <w:r w:rsidR="00FD1EAC" w:rsidRPr="00090A5F">
        <w:rPr>
          <w:rFonts w:ascii="Arial" w:hAnsi="Arial" w:cs="Arial"/>
          <w:bCs/>
          <w:color w:val="000000"/>
          <w:sz w:val="22"/>
          <w:szCs w:val="22"/>
        </w:rPr>
        <w:t xml:space="preserve"> Michalem Pastrňákem, místopředsedou představenstva</w:t>
      </w:r>
    </w:p>
    <w:p w:rsidR="00A66D82" w:rsidRPr="00090A5F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90A5F">
        <w:rPr>
          <w:rFonts w:ascii="Arial" w:hAnsi="Arial" w:cs="Arial"/>
          <w:bCs/>
          <w:color w:val="000000"/>
          <w:sz w:val="22"/>
          <w:szCs w:val="22"/>
        </w:rPr>
        <w:t xml:space="preserve">IČO: </w:t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  <w:t xml:space="preserve">25827405 </w:t>
      </w:r>
    </w:p>
    <w:p w:rsidR="00A66D82" w:rsidRPr="00090A5F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90A5F">
        <w:rPr>
          <w:rFonts w:ascii="Arial" w:hAnsi="Arial" w:cs="Arial"/>
          <w:bCs/>
          <w:color w:val="000000"/>
          <w:sz w:val="22"/>
          <w:szCs w:val="22"/>
        </w:rPr>
        <w:t>DIČ:</w:t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  <w:t>CZ 699001947</w:t>
      </w:r>
    </w:p>
    <w:p w:rsidR="00A66D82" w:rsidRPr="00090A5F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90A5F">
        <w:rPr>
          <w:rFonts w:ascii="Arial" w:hAnsi="Arial" w:cs="Arial"/>
          <w:bCs/>
          <w:color w:val="000000"/>
          <w:sz w:val="22"/>
          <w:szCs w:val="22"/>
        </w:rPr>
        <w:t xml:space="preserve">Zapsáno v OR                     </w:t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  <w:t xml:space="preserve">Krajský obchodní soud v Ostravě, oddíl B 2080 </w:t>
      </w:r>
    </w:p>
    <w:p w:rsidR="00A66D82" w:rsidRPr="00090A5F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90A5F">
        <w:rPr>
          <w:rFonts w:ascii="Arial" w:hAnsi="Arial" w:cs="Arial"/>
          <w:bCs/>
          <w:color w:val="000000"/>
          <w:sz w:val="22"/>
          <w:szCs w:val="22"/>
        </w:rPr>
        <w:t xml:space="preserve">Bankovní spojení:              </w:t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="000500A6">
        <w:rPr>
          <w:rFonts w:ascii="Arial" w:hAnsi="Arial" w:cs="Arial"/>
          <w:bCs/>
          <w:color w:val="000000"/>
          <w:sz w:val="22"/>
          <w:szCs w:val="22"/>
        </w:rPr>
        <w:t>XXXX</w:t>
      </w:r>
      <w:r w:rsidRPr="00090A5F">
        <w:rPr>
          <w:rFonts w:ascii="Arial" w:hAnsi="Arial" w:cs="Arial"/>
          <w:bCs/>
          <w:color w:val="000000"/>
          <w:sz w:val="22"/>
          <w:szCs w:val="22"/>
        </w:rPr>
        <w:t xml:space="preserve">              </w:t>
      </w:r>
    </w:p>
    <w:p w:rsidR="00A66D82" w:rsidRPr="00090A5F" w:rsidRDefault="00A66D82" w:rsidP="00A66D8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90A5F">
        <w:rPr>
          <w:rFonts w:ascii="Arial" w:hAnsi="Arial" w:cs="Arial"/>
          <w:bCs/>
          <w:color w:val="000000"/>
          <w:sz w:val="22"/>
          <w:szCs w:val="22"/>
        </w:rPr>
        <w:t xml:space="preserve">Číslo účtu:                          </w:t>
      </w:r>
      <w:r w:rsidRPr="00090A5F">
        <w:rPr>
          <w:rFonts w:ascii="Arial" w:hAnsi="Arial" w:cs="Arial"/>
          <w:bCs/>
          <w:color w:val="000000"/>
          <w:sz w:val="22"/>
          <w:szCs w:val="22"/>
        </w:rPr>
        <w:tab/>
      </w:r>
      <w:r w:rsidR="000500A6">
        <w:rPr>
          <w:rFonts w:ascii="Arial" w:hAnsi="Arial" w:cs="Arial"/>
          <w:bCs/>
          <w:color w:val="000000"/>
          <w:sz w:val="22"/>
          <w:szCs w:val="22"/>
        </w:rPr>
        <w:t>XXXX</w:t>
      </w:r>
    </w:p>
    <w:p w:rsidR="005627BD" w:rsidRPr="00090A5F" w:rsidRDefault="005627BD" w:rsidP="002779C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 xml:space="preserve">    (dále jen “dopravce”)</w:t>
      </w:r>
    </w:p>
    <w:p w:rsidR="005627BD" w:rsidRPr="00090A5F" w:rsidRDefault="005627BD" w:rsidP="00A8484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2779C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 xml:space="preserve">Smluvní strany se dohodly, že účinností tohoto dodatku se dosavadní znění SMLOUVY č. 95/2006 o závazku veřejné služby k zajištění základní dopravní obslužnosti nahrazuje </w:t>
      </w:r>
      <w:r w:rsidR="00B2198C" w:rsidRPr="00090A5F">
        <w:rPr>
          <w:rFonts w:ascii="Arial" w:hAnsi="Arial" w:cs="Arial"/>
          <w:b/>
          <w:bCs/>
          <w:color w:val="000000"/>
          <w:sz w:val="24"/>
          <w:szCs w:val="24"/>
        </w:rPr>
        <w:t xml:space="preserve">s výjimkou přílohy č. 5 Dodatku č. 14, která zůstává nedotčena, </w:t>
      </w: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zněním níže uvedeným:</w:t>
      </w:r>
    </w:p>
    <w:p w:rsidR="005627BD" w:rsidRPr="00090A5F" w:rsidRDefault="005627BD" w:rsidP="002779C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I.</w:t>
      </w: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Všeobecná ustanovení</w:t>
      </w:r>
    </w:p>
    <w:p w:rsidR="005627BD" w:rsidRPr="00090A5F" w:rsidRDefault="005627BD" w:rsidP="00C029A0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664596">
      <w:pPr>
        <w:pStyle w:val="Zkladntext"/>
        <w:rPr>
          <w:rFonts w:ascii="Arial" w:hAnsi="Arial" w:cs="Arial"/>
          <w:color w:val="000000"/>
        </w:rPr>
      </w:pPr>
      <w:r w:rsidRPr="00090A5F">
        <w:rPr>
          <w:rFonts w:ascii="Arial" w:hAnsi="Arial" w:cs="Arial"/>
          <w:color w:val="000000"/>
        </w:rPr>
        <w:tab/>
      </w:r>
      <w:r w:rsidR="00567382" w:rsidRPr="00090A5F">
        <w:rPr>
          <w:rFonts w:ascii="Arial" w:hAnsi="Arial"/>
          <w:color w:val="000000"/>
        </w:rPr>
        <w:t>Na základě dohody smluvních stran se závazkový vztah založený tímto dodatkem smlouvy (dále jen smlouv</w:t>
      </w:r>
      <w:r w:rsidR="009B203C" w:rsidRPr="00090A5F">
        <w:rPr>
          <w:rFonts w:ascii="Arial" w:hAnsi="Arial"/>
          <w:color w:val="000000"/>
        </w:rPr>
        <w:t>a</w:t>
      </w:r>
      <w:r w:rsidR="00567382" w:rsidRPr="00090A5F">
        <w:rPr>
          <w:rFonts w:ascii="Arial" w:hAnsi="Arial"/>
          <w:color w:val="000000"/>
        </w:rPr>
        <w:t>) řídí obchodním zákoníkem.</w:t>
      </w:r>
    </w:p>
    <w:p w:rsidR="005627BD" w:rsidRPr="00090A5F" w:rsidRDefault="005627BD" w:rsidP="00C029A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II.</w:t>
      </w: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Účel smlouvy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ab/>
        <w:t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dopravní obslužnosti Zlínského kraje</w:t>
      </w:r>
      <w:r w:rsidR="00192919" w:rsidRPr="00090A5F">
        <w:rPr>
          <w:rFonts w:ascii="Arial" w:hAnsi="Arial" w:cs="Arial"/>
          <w:color w:val="000000"/>
          <w:sz w:val="24"/>
          <w:szCs w:val="24"/>
        </w:rPr>
        <w:t xml:space="preserve"> </w:t>
      </w:r>
      <w:r w:rsidR="00192919" w:rsidRPr="00090A5F">
        <w:rPr>
          <w:rFonts w:ascii="Arial" w:hAnsi="Arial"/>
          <w:sz w:val="24"/>
          <w:szCs w:val="24"/>
        </w:rPr>
        <w:t>a na dotčených mezikrajských linkách zajišťovaných podle objednávky Zlínského kraje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dopravcem na základě platných licencí a schválených jízdních řádů. Závazek je uskutečněn za úhradu prokazatelné </w:t>
      </w:r>
      <w:r w:rsidRPr="00090A5F">
        <w:rPr>
          <w:rFonts w:ascii="Arial" w:hAnsi="Arial" w:cs="Arial"/>
          <w:color w:val="000000"/>
          <w:sz w:val="24"/>
          <w:szCs w:val="24"/>
        </w:rPr>
        <w:lastRenderedPageBreak/>
        <w:t xml:space="preserve">ztráty podle této smlouvy. Nejedná se o závazek veřejné služby, který vzniká na základě rozhodnutí dopravního úřadu. </w:t>
      </w: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III.</w:t>
      </w: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Předmět smlouvy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Předmětem smlouvy je závazek dopravce provozovat linkovou osobní dopravu na linkách a spojích v rámci dopravní obslužnosti Zlínského kraje – jsou uvedeny </w:t>
      </w: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v příloze č. 1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této smlouvy</w:t>
      </w:r>
      <w:r w:rsidR="00506864" w:rsidRPr="00090A5F">
        <w:rPr>
          <w:rFonts w:ascii="Arial" w:hAnsi="Arial" w:cs="Arial"/>
          <w:color w:val="000000"/>
          <w:sz w:val="24"/>
          <w:szCs w:val="24"/>
        </w:rPr>
        <w:t>,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a to podle podmínek uvedených v licencích, dle schválených jízdních řádů a podle následujících podmínek: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- </w:t>
      </w:r>
      <w:r w:rsidR="00211E2F">
        <w:rPr>
          <w:rFonts w:ascii="Arial" w:hAnsi="Arial"/>
          <w:sz w:val="24"/>
          <w:szCs w:val="24"/>
        </w:rPr>
        <w:t>dopravce je povinen obnovovat poškozené zařízení pro zveřejnění jízdního řádu nebo poškozené či nečitelné jízdní řády</w:t>
      </w:r>
      <w:r w:rsidRPr="00090A5F">
        <w:rPr>
          <w:rFonts w:ascii="Arial" w:hAnsi="Arial" w:cs="Arial"/>
          <w:color w:val="000000"/>
          <w:sz w:val="24"/>
          <w:szCs w:val="24"/>
        </w:rPr>
        <w:t>,</w:t>
      </w:r>
    </w:p>
    <w:p w:rsidR="005627BD" w:rsidRPr="00090A5F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- dopravce je povinen při zřizování zastávek dodržovat platné normy,</w:t>
      </w:r>
    </w:p>
    <w:p w:rsidR="005627BD" w:rsidRPr="00090A5F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 dopravce je povinen vykonávat přepravní kontrolu nad dodržováním tarifní kázně cestujícími a jízdními  pracovníky  -  možno  dodavatelským způsobem,</w:t>
      </w:r>
    </w:p>
    <w:p w:rsidR="005627BD" w:rsidRPr="00090A5F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- dopravce uplatní hotovostní i bezhotovostní odbavování cestujících s použitím odbavovacího zařízení, které umožní přesnou evidenci přijatých tržeb z jízdného od cestujících a evidenci bezplatných jízd, </w:t>
      </w:r>
    </w:p>
    <w:p w:rsidR="005627BD" w:rsidRPr="00090A5F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- dopravce stanoví, ve smluvních přepravních podmínkách, jakož i ve svých vnitrofiremních předpisech taková opatření, aby se minimalizovala rizika úniku tržeb a zkreslování údajů o příslušnosti tržeb ke spojům a linkám</w:t>
      </w:r>
    </w:p>
    <w:p w:rsidR="005627BD" w:rsidRPr="00090A5F" w:rsidRDefault="005627BD" w:rsidP="00244F59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- dopravce je povinen vést evidenci o dosahovaných tržbách v členění: č. linky, č. spoje, datum, tržba, počet prodaných jízdenek, počet ujetých kilometrů, tržba na ujetý km.</w:t>
      </w:r>
    </w:p>
    <w:p w:rsidR="005627BD" w:rsidRPr="00090A5F" w:rsidRDefault="005627BD" w:rsidP="00501896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Tyto údaje je dopravce povinen, na vyžádání, předložit objednateli v požadované formě.</w:t>
      </w:r>
    </w:p>
    <w:p w:rsidR="005627BD" w:rsidRPr="00090A5F" w:rsidRDefault="005627BD" w:rsidP="00C029A0">
      <w:pPr>
        <w:pStyle w:val="Zkladntext"/>
        <w:rPr>
          <w:rFonts w:ascii="Arial" w:hAnsi="Arial" w:cs="Arial"/>
          <w:color w:val="000000"/>
        </w:rPr>
      </w:pPr>
    </w:p>
    <w:p w:rsidR="005627BD" w:rsidRPr="00090A5F" w:rsidRDefault="005627BD" w:rsidP="00501896">
      <w:pPr>
        <w:pStyle w:val="Zkladntext"/>
        <w:numPr>
          <w:ilvl w:val="0"/>
          <w:numId w:val="3"/>
        </w:numPr>
        <w:rPr>
          <w:rFonts w:ascii="Arial" w:hAnsi="Arial" w:cs="Arial"/>
          <w:color w:val="000000"/>
        </w:rPr>
      </w:pPr>
      <w:r w:rsidRPr="00090A5F">
        <w:rPr>
          <w:rFonts w:ascii="Arial" w:hAnsi="Arial" w:cs="Arial"/>
          <w:color w:val="000000"/>
        </w:rPr>
        <w:t xml:space="preserve">Dopravce prohlašuje, že jsou mu známy všechny povinnosti související s provozováním linkové osobní dopravy obsažené především v živnostenském zákoně a v zákoně o silniční dopravě ve znění pozdějších předpisů, dále v platných prováděcích předpisech a v přepravním řádu. Dále prohlašuje, že je mu znám cenový výměr Ministerstva financí ČR, kterým se stanoví seznam zboží s regulovanými cenami. 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B8274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IV.</w:t>
      </w:r>
    </w:p>
    <w:p w:rsidR="005627BD" w:rsidRPr="00090A5F" w:rsidRDefault="005627BD" w:rsidP="00B8274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Odhad prokazatelné ztráty</w:t>
      </w:r>
    </w:p>
    <w:p w:rsidR="005627BD" w:rsidRPr="00090A5F" w:rsidRDefault="005627BD" w:rsidP="00B8274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</w:p>
    <w:p w:rsidR="005627BD" w:rsidRPr="00090A5F" w:rsidRDefault="005627BD" w:rsidP="0050189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Předběžný odborný odhad prokazatelné ztráty je uveden v příloze č. 2, která je nedílnou součástí této smlouvy.</w:t>
      </w:r>
    </w:p>
    <w:p w:rsidR="005627BD" w:rsidRPr="00090A5F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57785" w:rsidRPr="00090A5F" w:rsidRDefault="00357785" w:rsidP="00FD1EA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 xml:space="preserve">S ohledem na finanční možnosti objednatele, se obě smluvní strany dohodly na úhradě prokazatelné ztráty ze zajištění dopravní obslužnosti, ve výši </w:t>
      </w:r>
      <w:r w:rsidR="00D077E1" w:rsidRPr="00090A5F">
        <w:rPr>
          <w:rFonts w:ascii="Arial" w:hAnsi="Arial"/>
          <w:color w:val="000000"/>
          <w:sz w:val="24"/>
          <w:szCs w:val="24"/>
        </w:rPr>
        <w:br/>
      </w:r>
      <w:r w:rsidR="00AA39E2" w:rsidRPr="00090A5F">
        <w:rPr>
          <w:rFonts w:ascii="Arial" w:hAnsi="Arial"/>
          <w:color w:val="000000"/>
          <w:sz w:val="24"/>
          <w:szCs w:val="24"/>
        </w:rPr>
        <w:t>3</w:t>
      </w:r>
      <w:r w:rsidR="00FB168B" w:rsidRPr="00090A5F">
        <w:rPr>
          <w:rFonts w:ascii="Arial" w:hAnsi="Arial"/>
          <w:color w:val="000000"/>
          <w:sz w:val="24"/>
          <w:szCs w:val="24"/>
        </w:rPr>
        <w:t>.</w:t>
      </w:r>
      <w:r w:rsidR="00AA39E2" w:rsidRPr="00090A5F">
        <w:rPr>
          <w:rFonts w:ascii="Arial" w:hAnsi="Arial"/>
          <w:color w:val="000000"/>
          <w:sz w:val="24"/>
          <w:szCs w:val="24"/>
        </w:rPr>
        <w:t>0</w:t>
      </w:r>
      <w:r w:rsidR="00217760" w:rsidRPr="00090A5F">
        <w:rPr>
          <w:rFonts w:ascii="Arial" w:hAnsi="Arial"/>
          <w:color w:val="000000"/>
          <w:sz w:val="24"/>
          <w:szCs w:val="24"/>
        </w:rPr>
        <w:t>9</w:t>
      </w:r>
      <w:r w:rsidR="00AA39E2" w:rsidRPr="00090A5F">
        <w:rPr>
          <w:rFonts w:ascii="Arial" w:hAnsi="Arial"/>
          <w:color w:val="000000"/>
          <w:sz w:val="24"/>
          <w:szCs w:val="24"/>
        </w:rPr>
        <w:t>2</w:t>
      </w:r>
      <w:r w:rsidR="00D077E1" w:rsidRPr="00090A5F">
        <w:rPr>
          <w:rFonts w:ascii="Arial" w:hAnsi="Arial"/>
          <w:color w:val="000000"/>
          <w:sz w:val="24"/>
          <w:szCs w:val="24"/>
        </w:rPr>
        <w:t>.000</w:t>
      </w:r>
      <w:r w:rsidRPr="00090A5F">
        <w:rPr>
          <w:rFonts w:ascii="Arial" w:hAnsi="Arial"/>
          <w:color w:val="000000"/>
          <w:sz w:val="24"/>
          <w:szCs w:val="24"/>
        </w:rPr>
        <w:t xml:space="preserve">,-Kč </w:t>
      </w:r>
      <w:r w:rsidR="00192919" w:rsidRPr="00090A5F">
        <w:rPr>
          <w:rFonts w:ascii="Arial" w:hAnsi="Arial"/>
          <w:color w:val="000000"/>
          <w:sz w:val="24"/>
          <w:szCs w:val="24"/>
        </w:rPr>
        <w:t xml:space="preserve">za </w:t>
      </w:r>
      <w:r w:rsidR="00FD1EAC" w:rsidRPr="00090A5F">
        <w:rPr>
          <w:rFonts w:ascii="Arial" w:hAnsi="Arial"/>
          <w:color w:val="000000"/>
          <w:sz w:val="24"/>
          <w:szCs w:val="24"/>
        </w:rPr>
        <w:t xml:space="preserve">období od </w:t>
      </w:r>
      <w:proofErr w:type="gramStart"/>
      <w:r w:rsidR="00FD1EAC" w:rsidRPr="00090A5F">
        <w:rPr>
          <w:rFonts w:ascii="Arial" w:hAnsi="Arial"/>
          <w:color w:val="000000"/>
          <w:sz w:val="24"/>
          <w:szCs w:val="24"/>
        </w:rPr>
        <w:t>1.1.2019</w:t>
      </w:r>
      <w:proofErr w:type="gramEnd"/>
      <w:r w:rsidR="00FD1EAC" w:rsidRPr="00090A5F">
        <w:rPr>
          <w:rFonts w:ascii="Arial" w:hAnsi="Arial"/>
          <w:color w:val="000000"/>
          <w:sz w:val="24"/>
          <w:szCs w:val="24"/>
        </w:rPr>
        <w:t xml:space="preserve"> do 14.12.2019</w:t>
      </w:r>
      <w:r w:rsidR="00192919" w:rsidRPr="00090A5F">
        <w:rPr>
          <w:rFonts w:ascii="Arial" w:hAnsi="Arial"/>
          <w:color w:val="000000"/>
          <w:sz w:val="24"/>
          <w:szCs w:val="24"/>
        </w:rPr>
        <w:t xml:space="preserve"> s tím, že objednaný rozsah dopravní obslužnosti dle</w:t>
      </w:r>
      <w:r w:rsidR="00FD1EAC" w:rsidRPr="00090A5F">
        <w:rPr>
          <w:rFonts w:ascii="Arial" w:hAnsi="Arial"/>
          <w:color w:val="000000"/>
          <w:sz w:val="24"/>
          <w:szCs w:val="24"/>
        </w:rPr>
        <w:t xml:space="preserve"> </w:t>
      </w:r>
      <w:r w:rsidR="00192919" w:rsidRPr="00090A5F">
        <w:rPr>
          <w:rFonts w:ascii="Arial" w:hAnsi="Arial"/>
          <w:color w:val="000000"/>
          <w:sz w:val="24"/>
          <w:szCs w:val="24"/>
        </w:rPr>
        <w:t>čl. III této smlouvy činí v předpokladu</w:t>
      </w:r>
      <w:r w:rsidRPr="00090A5F">
        <w:rPr>
          <w:rFonts w:ascii="Arial" w:hAnsi="Arial"/>
          <w:color w:val="000000"/>
          <w:sz w:val="24"/>
          <w:szCs w:val="24"/>
        </w:rPr>
        <w:t xml:space="preserve"> </w:t>
      </w:r>
      <w:r w:rsidR="00AA39E2" w:rsidRPr="00090A5F">
        <w:rPr>
          <w:rFonts w:ascii="Arial" w:hAnsi="Arial"/>
          <w:color w:val="000000"/>
          <w:sz w:val="24"/>
          <w:szCs w:val="24"/>
        </w:rPr>
        <w:t>14</w:t>
      </w:r>
      <w:r w:rsidR="00A65D77" w:rsidRPr="00090A5F">
        <w:rPr>
          <w:rFonts w:ascii="Arial" w:hAnsi="Arial"/>
          <w:color w:val="000000"/>
          <w:sz w:val="24"/>
          <w:szCs w:val="24"/>
        </w:rPr>
        <w:t>2</w:t>
      </w:r>
      <w:r w:rsidR="00D22C2C" w:rsidRPr="00090A5F">
        <w:rPr>
          <w:rFonts w:ascii="Arial" w:hAnsi="Arial"/>
          <w:color w:val="000000"/>
          <w:sz w:val="24"/>
          <w:szCs w:val="24"/>
        </w:rPr>
        <w:t xml:space="preserve"> </w:t>
      </w:r>
      <w:r w:rsidR="00A65D77" w:rsidRPr="00090A5F">
        <w:rPr>
          <w:rFonts w:ascii="Arial" w:hAnsi="Arial"/>
          <w:color w:val="000000"/>
          <w:sz w:val="24"/>
          <w:szCs w:val="24"/>
        </w:rPr>
        <w:t>196</w:t>
      </w:r>
      <w:r w:rsidR="00D22C2C" w:rsidRPr="00090A5F">
        <w:rPr>
          <w:rFonts w:ascii="Arial" w:hAnsi="Arial"/>
          <w:color w:val="000000"/>
          <w:sz w:val="24"/>
          <w:szCs w:val="24"/>
        </w:rPr>
        <w:t xml:space="preserve"> km</w:t>
      </w:r>
      <w:r w:rsidRPr="00090A5F">
        <w:rPr>
          <w:rFonts w:ascii="Arial" w:hAnsi="Arial"/>
          <w:color w:val="000000"/>
          <w:sz w:val="24"/>
          <w:szCs w:val="24"/>
        </w:rPr>
        <w:t xml:space="preserve"> ujetých dle jízdního řádu. Obě smluvní strany se dále dohodly na možné odchylce </w:t>
      </w:r>
      <w:r w:rsidR="00FD1EAC" w:rsidRPr="00090A5F">
        <w:rPr>
          <w:rFonts w:ascii="Arial" w:hAnsi="Arial"/>
          <w:color w:val="000000"/>
          <w:sz w:val="24"/>
          <w:szCs w:val="24"/>
        </w:rPr>
        <w:br/>
      </w:r>
      <w:r w:rsidRPr="00090A5F">
        <w:rPr>
          <w:rFonts w:ascii="Arial" w:hAnsi="Arial"/>
          <w:color w:val="000000"/>
          <w:sz w:val="24"/>
          <w:szCs w:val="24"/>
        </w:rPr>
        <w:lastRenderedPageBreak/>
        <w:t>v rozsahu plnění do výše 3 % předpokládaného objemu provedených dopravních výkonů z důvodu změny jízdních řádů</w:t>
      </w:r>
      <w:r w:rsidR="00796201" w:rsidRPr="00090A5F">
        <w:rPr>
          <w:rFonts w:ascii="Arial" w:hAnsi="Arial"/>
          <w:color w:val="000000"/>
          <w:sz w:val="24"/>
          <w:szCs w:val="24"/>
        </w:rPr>
        <w:t xml:space="preserve">, přičemž </w:t>
      </w:r>
      <w:r w:rsidR="00796201" w:rsidRPr="00090A5F">
        <w:rPr>
          <w:rFonts w:ascii="Arial" w:hAnsi="Arial" w:cs="Arial"/>
          <w:color w:val="000000"/>
          <w:sz w:val="24"/>
          <w:szCs w:val="24"/>
        </w:rPr>
        <w:t>jak navýšení, tak snížení počtu ujetých km v rámci sjednané výše odchylky se považuje za splnění závazku bez vlivu na sjednanou výši úhrady prokazatelné ztráty.</w:t>
      </w:r>
      <w:r w:rsidR="00D077E1" w:rsidRPr="00090A5F">
        <w:rPr>
          <w:rFonts w:ascii="Arial" w:hAnsi="Arial" w:cs="Arial"/>
          <w:color w:val="000000"/>
          <w:sz w:val="24"/>
          <w:szCs w:val="24"/>
        </w:rPr>
        <w:t xml:space="preserve"> </w:t>
      </w:r>
      <w:r w:rsidR="00AE1354" w:rsidRPr="00090A5F">
        <w:rPr>
          <w:rFonts w:ascii="Arial" w:hAnsi="Arial"/>
          <w:color w:val="000000"/>
          <w:sz w:val="24"/>
          <w:szCs w:val="24"/>
        </w:rPr>
        <w:t>V případě zvýšení provozních nákladů vlivem uzavírek silnic na území Zlínského kraje bude jednáno s dopravcem o možnosti a míře úhrady prokazatelné ztráty odpovídající dopadům těchto uzavírek do plnění závazku dopravce podle této smlouvy.</w:t>
      </w:r>
    </w:p>
    <w:p w:rsidR="00357785" w:rsidRPr="00090A5F" w:rsidRDefault="00357785" w:rsidP="00357785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A66D8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Objednatel uhradí dopravci prokazatelnou ztrátu v roce 201</w:t>
      </w:r>
      <w:r w:rsidR="00AA39E2" w:rsidRPr="00090A5F">
        <w:rPr>
          <w:rFonts w:ascii="Arial" w:hAnsi="Arial" w:cs="Arial"/>
          <w:color w:val="000000"/>
          <w:sz w:val="24"/>
          <w:szCs w:val="24"/>
        </w:rPr>
        <w:t>9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takto:</w:t>
      </w:r>
    </w:p>
    <w:p w:rsidR="005627BD" w:rsidRPr="00090A5F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ED0C1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částku </w:t>
      </w:r>
      <w:r w:rsidR="00C551C2" w:rsidRPr="00090A5F">
        <w:rPr>
          <w:rFonts w:ascii="Arial" w:hAnsi="Arial" w:cs="Arial"/>
          <w:color w:val="000000"/>
          <w:sz w:val="24"/>
          <w:szCs w:val="24"/>
        </w:rPr>
        <w:t>2</w:t>
      </w:r>
      <w:r w:rsidR="00FB168B" w:rsidRPr="00090A5F">
        <w:rPr>
          <w:rFonts w:ascii="Arial" w:hAnsi="Arial" w:cs="Arial"/>
          <w:color w:val="000000"/>
          <w:sz w:val="24"/>
          <w:szCs w:val="24"/>
        </w:rPr>
        <w:t>.</w:t>
      </w:r>
      <w:r w:rsidR="00C82485" w:rsidRPr="00090A5F">
        <w:rPr>
          <w:rFonts w:ascii="Arial" w:hAnsi="Arial" w:cs="Arial"/>
          <w:color w:val="000000"/>
          <w:sz w:val="24"/>
          <w:szCs w:val="24"/>
        </w:rPr>
        <w:t>639</w:t>
      </w:r>
      <w:r w:rsidR="00FB168B" w:rsidRPr="00090A5F">
        <w:rPr>
          <w:rFonts w:ascii="Arial" w:hAnsi="Arial" w:cs="Arial"/>
          <w:color w:val="000000"/>
          <w:sz w:val="24"/>
          <w:szCs w:val="24"/>
        </w:rPr>
        <w:t>.</w:t>
      </w:r>
      <w:r w:rsidR="00C82485" w:rsidRPr="00090A5F">
        <w:rPr>
          <w:rFonts w:ascii="Arial" w:hAnsi="Arial" w:cs="Arial"/>
          <w:color w:val="000000"/>
          <w:sz w:val="24"/>
          <w:szCs w:val="24"/>
        </w:rPr>
        <w:t>4</w:t>
      </w:r>
      <w:r w:rsidR="00FB168B" w:rsidRPr="00090A5F">
        <w:rPr>
          <w:rFonts w:ascii="Arial" w:hAnsi="Arial" w:cs="Arial"/>
          <w:color w:val="000000"/>
          <w:sz w:val="24"/>
          <w:szCs w:val="24"/>
        </w:rPr>
        <w:t>00</w:t>
      </w:r>
      <w:r w:rsidRPr="00090A5F">
        <w:rPr>
          <w:rFonts w:ascii="Arial" w:hAnsi="Arial" w:cs="Arial"/>
          <w:color w:val="000000"/>
          <w:sz w:val="24"/>
          <w:szCs w:val="24"/>
        </w:rPr>
        <w:t>,- Kč formou měsíčních záloh ve výši 1/12</w:t>
      </w:r>
      <w:r w:rsidR="003E21C4" w:rsidRPr="00090A5F">
        <w:rPr>
          <w:rFonts w:ascii="Arial" w:hAnsi="Arial" w:cs="Arial"/>
          <w:color w:val="000000"/>
          <w:sz w:val="24"/>
          <w:szCs w:val="24"/>
        </w:rPr>
        <w:t>,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a to do 30. kalendářního dne </w:t>
      </w:r>
      <w:r w:rsidR="006221A8" w:rsidRPr="00090A5F">
        <w:rPr>
          <w:rFonts w:ascii="Arial" w:hAnsi="Arial" w:cs="Arial"/>
          <w:color w:val="000000"/>
          <w:sz w:val="24"/>
          <w:szCs w:val="24"/>
        </w:rPr>
        <w:t xml:space="preserve">v daném měsíci </w:t>
      </w:r>
      <w:r w:rsidR="00C83773" w:rsidRPr="00090A5F">
        <w:rPr>
          <w:rFonts w:ascii="Arial" w:hAnsi="Arial"/>
          <w:sz w:val="24"/>
          <w:szCs w:val="24"/>
        </w:rPr>
        <w:t xml:space="preserve">(v měsíci prosinci do 10. dne) </w:t>
      </w:r>
      <w:r w:rsidRPr="00090A5F">
        <w:rPr>
          <w:rFonts w:ascii="Arial" w:hAnsi="Arial" w:cs="Arial"/>
          <w:color w:val="000000"/>
          <w:sz w:val="24"/>
          <w:szCs w:val="24"/>
        </w:rPr>
        <w:t>s tím, že v případě nedostatku finančních prostředků bude doplatek realizován do 30. kalendářního dne následujícího měsíce;</w:t>
      </w:r>
    </w:p>
    <w:p w:rsidR="005627BD" w:rsidRPr="00090A5F" w:rsidRDefault="005627BD" w:rsidP="00ED0C1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částku </w:t>
      </w:r>
      <w:r w:rsidR="00C82485" w:rsidRPr="00090A5F">
        <w:rPr>
          <w:rFonts w:ascii="Arial" w:hAnsi="Arial" w:cs="Arial"/>
          <w:color w:val="000000"/>
          <w:sz w:val="24"/>
          <w:szCs w:val="24"/>
        </w:rPr>
        <w:t>452</w:t>
      </w:r>
      <w:r w:rsidR="00FB168B" w:rsidRPr="00090A5F">
        <w:rPr>
          <w:rFonts w:ascii="Arial" w:hAnsi="Arial" w:cs="Arial"/>
          <w:color w:val="000000"/>
          <w:sz w:val="24"/>
          <w:szCs w:val="24"/>
        </w:rPr>
        <w:t>.</w:t>
      </w:r>
      <w:r w:rsidR="00C82485" w:rsidRPr="00090A5F">
        <w:rPr>
          <w:rFonts w:ascii="Arial" w:hAnsi="Arial" w:cs="Arial"/>
          <w:color w:val="000000"/>
          <w:sz w:val="24"/>
          <w:szCs w:val="24"/>
        </w:rPr>
        <w:t>6</w:t>
      </w:r>
      <w:r w:rsidR="00FB168B" w:rsidRPr="00090A5F">
        <w:rPr>
          <w:rFonts w:ascii="Arial" w:hAnsi="Arial" w:cs="Arial"/>
          <w:color w:val="000000"/>
          <w:sz w:val="24"/>
          <w:szCs w:val="24"/>
        </w:rPr>
        <w:t>00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,- Kč formou pololetních záloh ve výši </w:t>
      </w:r>
      <w:r w:rsidRPr="00090A5F">
        <w:rPr>
          <w:rFonts w:ascii="Helvetica" w:hAnsi="Helvetica" w:cs="Arial"/>
          <w:color w:val="000000"/>
          <w:sz w:val="24"/>
          <w:szCs w:val="24"/>
        </w:rPr>
        <w:t>po</w:t>
      </w:r>
      <w:r w:rsidRPr="00090A5F">
        <w:rPr>
          <w:rFonts w:ascii="Arial" w:hAnsi="Arial" w:cs="Arial"/>
          <w:color w:val="000000"/>
          <w:sz w:val="24"/>
          <w:szCs w:val="24"/>
        </w:rPr>
        <w:t>dle skutečné úhrady od obcí a měst Zlínského kraje k 30. 6. 201</w:t>
      </w:r>
      <w:r w:rsidR="00C551C2" w:rsidRPr="00090A5F">
        <w:rPr>
          <w:rFonts w:ascii="Arial" w:hAnsi="Arial" w:cs="Arial"/>
          <w:color w:val="000000"/>
          <w:sz w:val="24"/>
          <w:szCs w:val="24"/>
        </w:rPr>
        <w:t>9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a k 31. 10. 201</w:t>
      </w:r>
      <w:r w:rsidR="00C551C2" w:rsidRPr="00090A5F">
        <w:rPr>
          <w:rFonts w:ascii="Arial" w:hAnsi="Arial" w:cs="Arial"/>
          <w:color w:val="000000"/>
          <w:sz w:val="24"/>
          <w:szCs w:val="24"/>
        </w:rPr>
        <w:t>9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s tím, že případný doplatek bude uhrazen do deseti dnů po obdržení finančních prostředků na účet objednatele. </w:t>
      </w:r>
    </w:p>
    <w:p w:rsidR="009B3E97" w:rsidRPr="00090A5F" w:rsidRDefault="009B3E97" w:rsidP="009B3E9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B3E97" w:rsidRPr="00090A5F" w:rsidRDefault="009B3E97" w:rsidP="009B3E97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090A5F">
        <w:rPr>
          <w:rFonts w:ascii="Arial" w:hAnsi="Arial"/>
          <w:sz w:val="24"/>
          <w:szCs w:val="24"/>
        </w:rPr>
        <w:t xml:space="preserve">Smluvní strany se dále dohodly na snížení úhrady prokazatelné ztráty ze zajištění dopravní obslužnosti, z důvodů převzetí části objednávaných výkonů dopravcem ČSAD Vsetín a.s. od 09. 12. 2018, o částku </w:t>
      </w:r>
      <w:r w:rsidR="00C82485" w:rsidRPr="00090A5F">
        <w:rPr>
          <w:rFonts w:ascii="Arial" w:hAnsi="Arial"/>
          <w:sz w:val="24"/>
          <w:szCs w:val="24"/>
        </w:rPr>
        <w:t>123</w:t>
      </w:r>
      <w:r w:rsidRPr="00090A5F">
        <w:rPr>
          <w:rFonts w:ascii="Arial" w:hAnsi="Arial"/>
          <w:sz w:val="24"/>
          <w:szCs w:val="24"/>
        </w:rPr>
        <w:t>.</w:t>
      </w:r>
      <w:r w:rsidR="00C82485" w:rsidRPr="00090A5F">
        <w:rPr>
          <w:rFonts w:ascii="Arial" w:hAnsi="Arial"/>
          <w:sz w:val="24"/>
          <w:szCs w:val="24"/>
        </w:rPr>
        <w:t>0</w:t>
      </w:r>
      <w:r w:rsidRPr="00090A5F">
        <w:rPr>
          <w:rFonts w:ascii="Arial" w:hAnsi="Arial"/>
          <w:sz w:val="24"/>
          <w:szCs w:val="24"/>
        </w:rPr>
        <w:t>00,- Kč na celkovou částku 6.</w:t>
      </w:r>
      <w:r w:rsidR="00C82485" w:rsidRPr="00090A5F">
        <w:rPr>
          <w:rFonts w:ascii="Arial" w:hAnsi="Arial"/>
          <w:sz w:val="24"/>
          <w:szCs w:val="24"/>
        </w:rPr>
        <w:t>272</w:t>
      </w:r>
      <w:r w:rsidRPr="00090A5F">
        <w:rPr>
          <w:rFonts w:ascii="Arial" w:hAnsi="Arial"/>
          <w:sz w:val="24"/>
          <w:szCs w:val="24"/>
        </w:rPr>
        <w:t>.</w:t>
      </w:r>
      <w:r w:rsidR="00C82485" w:rsidRPr="00090A5F">
        <w:rPr>
          <w:rFonts w:ascii="Arial" w:hAnsi="Arial"/>
          <w:sz w:val="24"/>
          <w:szCs w:val="24"/>
        </w:rPr>
        <w:t>0</w:t>
      </w:r>
      <w:r w:rsidRPr="00090A5F">
        <w:rPr>
          <w:rFonts w:ascii="Arial" w:hAnsi="Arial"/>
          <w:sz w:val="24"/>
          <w:szCs w:val="24"/>
        </w:rPr>
        <w:t xml:space="preserve">00,- Kč za rok 2018. Nová výše měsíční </w:t>
      </w:r>
      <w:r w:rsidR="00CD0D87" w:rsidRPr="00090A5F">
        <w:rPr>
          <w:rFonts w:ascii="Arial" w:hAnsi="Arial"/>
          <w:sz w:val="24"/>
          <w:szCs w:val="24"/>
        </w:rPr>
        <w:t xml:space="preserve">zálohy </w:t>
      </w:r>
      <w:r w:rsidRPr="00090A5F">
        <w:rPr>
          <w:rFonts w:ascii="Arial" w:hAnsi="Arial"/>
          <w:sz w:val="24"/>
          <w:szCs w:val="24"/>
        </w:rPr>
        <w:t xml:space="preserve">hrazené v prosinci 2018 je tedy </w:t>
      </w:r>
      <w:r w:rsidR="00C82485" w:rsidRPr="00090A5F">
        <w:rPr>
          <w:rFonts w:ascii="Arial" w:hAnsi="Arial"/>
          <w:sz w:val="24"/>
          <w:szCs w:val="24"/>
        </w:rPr>
        <w:t>334</w:t>
      </w:r>
      <w:r w:rsidRPr="00090A5F">
        <w:rPr>
          <w:rFonts w:ascii="Arial" w:hAnsi="Arial"/>
          <w:sz w:val="24"/>
          <w:szCs w:val="24"/>
        </w:rPr>
        <w:t>.</w:t>
      </w:r>
      <w:r w:rsidR="00C82485" w:rsidRPr="00090A5F">
        <w:rPr>
          <w:rFonts w:ascii="Arial" w:hAnsi="Arial"/>
          <w:sz w:val="24"/>
          <w:szCs w:val="24"/>
        </w:rPr>
        <w:t>7</w:t>
      </w:r>
      <w:r w:rsidRPr="00090A5F">
        <w:rPr>
          <w:rFonts w:ascii="Arial" w:hAnsi="Arial"/>
          <w:sz w:val="24"/>
          <w:szCs w:val="24"/>
        </w:rPr>
        <w:t>12,- Kč s tím, že tato částka bude objednatelem vyplacena do 31. 12. 2018.</w:t>
      </w:r>
    </w:p>
    <w:p w:rsidR="009B3E97" w:rsidRPr="00090A5F" w:rsidRDefault="009B3E97" w:rsidP="009B3E9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1307E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B168B" w:rsidRPr="00090A5F" w:rsidRDefault="00FB168B" w:rsidP="00FB168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B8274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V.</w:t>
      </w:r>
    </w:p>
    <w:p w:rsidR="005627BD" w:rsidRPr="00090A5F" w:rsidRDefault="005627BD" w:rsidP="00B8274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Platební podmínky a vyúčtování úhrady ztráty</w:t>
      </w:r>
    </w:p>
    <w:p w:rsidR="005627BD" w:rsidRPr="00090A5F" w:rsidRDefault="005627BD" w:rsidP="00B8274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090A5F" w:rsidRDefault="005627BD" w:rsidP="00FA6A6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V rámci sjednocení dodávaných výkazů od jednotlivých dopravců, předá dopravce objednatelem pověřené společnosti Koordinátor veřejné dopravy Zlínského kraje, s.r.o. (dále jen „Koordinátor“) v souladu s usnesením Rady Zlínského kraje 0508/R15/12 ze dne 11.</w:t>
      </w:r>
      <w:r w:rsidR="00A66D82" w:rsidRPr="00090A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0A5F">
        <w:rPr>
          <w:rFonts w:ascii="Arial" w:hAnsi="Arial" w:cs="Arial"/>
          <w:color w:val="000000"/>
          <w:sz w:val="24"/>
          <w:szCs w:val="24"/>
        </w:rPr>
        <w:t>6.</w:t>
      </w:r>
      <w:r w:rsidR="00A66D82" w:rsidRPr="00090A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0A5F">
        <w:rPr>
          <w:rFonts w:ascii="Arial" w:hAnsi="Arial" w:cs="Arial"/>
          <w:color w:val="000000"/>
          <w:sz w:val="24"/>
          <w:szCs w:val="24"/>
        </w:rPr>
        <w:t>2012 a s rozpočtovými pravidly, přehled skutečných výsledků hospodaření za uplynulé čtvrtletí</w:t>
      </w:r>
      <w:r w:rsidR="005817D6" w:rsidRPr="00090A5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97068E" w:rsidRPr="00090A5F">
        <w:rPr>
          <w:rFonts w:ascii="Arial" w:hAnsi="Arial"/>
          <w:sz w:val="24"/>
          <w:szCs w:val="24"/>
        </w:rPr>
        <w:t>viz. výkazy</w:t>
      </w:r>
      <w:proofErr w:type="gramEnd"/>
      <w:r w:rsidR="0097068E" w:rsidRPr="00090A5F">
        <w:rPr>
          <w:rFonts w:ascii="Arial" w:hAnsi="Arial"/>
          <w:sz w:val="24"/>
          <w:szCs w:val="24"/>
        </w:rPr>
        <w:t xml:space="preserve"> </w:t>
      </w:r>
      <w:proofErr w:type="spellStart"/>
      <w:r w:rsidR="0097068E" w:rsidRPr="00090A5F">
        <w:rPr>
          <w:rFonts w:ascii="Arial" w:hAnsi="Arial"/>
          <w:sz w:val="24"/>
          <w:szCs w:val="24"/>
        </w:rPr>
        <w:t>Dop</w:t>
      </w:r>
      <w:proofErr w:type="spellEnd"/>
      <w:r w:rsidR="0097068E" w:rsidRPr="00090A5F">
        <w:rPr>
          <w:rFonts w:ascii="Arial" w:hAnsi="Arial"/>
          <w:sz w:val="24"/>
          <w:szCs w:val="24"/>
        </w:rPr>
        <w:t xml:space="preserve"> (MD) 2-04 a </w:t>
      </w:r>
      <w:proofErr w:type="spellStart"/>
      <w:r w:rsidR="0097068E" w:rsidRPr="00090A5F">
        <w:rPr>
          <w:rFonts w:ascii="Arial" w:hAnsi="Arial"/>
          <w:sz w:val="24"/>
          <w:szCs w:val="24"/>
        </w:rPr>
        <w:t>Dop</w:t>
      </w:r>
      <w:proofErr w:type="spellEnd"/>
      <w:r w:rsidR="0097068E" w:rsidRPr="00090A5F">
        <w:rPr>
          <w:rFonts w:ascii="Arial" w:hAnsi="Arial"/>
          <w:sz w:val="24"/>
          <w:szCs w:val="24"/>
        </w:rPr>
        <w:t xml:space="preserve"> (MD)</w:t>
      </w:r>
      <w:r w:rsidR="008F14C2" w:rsidRPr="00090A5F">
        <w:rPr>
          <w:rFonts w:ascii="Arial" w:hAnsi="Arial"/>
          <w:sz w:val="24"/>
          <w:szCs w:val="24"/>
        </w:rPr>
        <w:t xml:space="preserve"> </w:t>
      </w:r>
      <w:r w:rsidR="0097068E" w:rsidRPr="00090A5F">
        <w:rPr>
          <w:rFonts w:ascii="Arial" w:hAnsi="Arial"/>
          <w:sz w:val="24"/>
          <w:szCs w:val="24"/>
        </w:rPr>
        <w:t>3-04 dostupné na webových stránkách Ministerstva dopravy České republiky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), vždy do </w:t>
      </w:r>
      <w:r w:rsidR="00F9757C" w:rsidRPr="00090A5F">
        <w:rPr>
          <w:rFonts w:ascii="Arial" w:hAnsi="Arial" w:cs="Arial"/>
          <w:color w:val="000000"/>
          <w:sz w:val="24"/>
          <w:szCs w:val="24"/>
        </w:rPr>
        <w:t>45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. dne </w:t>
      </w:r>
      <w:r w:rsidR="00FA6A61" w:rsidRPr="00090A5F">
        <w:rPr>
          <w:rFonts w:ascii="Arial" w:hAnsi="Arial" w:cs="Arial"/>
          <w:color w:val="000000"/>
          <w:sz w:val="24"/>
          <w:szCs w:val="24"/>
        </w:rPr>
        <w:t>po skončení sledovaného období</w:t>
      </w:r>
      <w:r w:rsidRPr="00090A5F">
        <w:rPr>
          <w:rFonts w:ascii="Arial" w:hAnsi="Arial" w:cs="Arial"/>
          <w:color w:val="000000"/>
          <w:sz w:val="24"/>
          <w:szCs w:val="24"/>
        </w:rPr>
        <w:t>.</w:t>
      </w:r>
    </w:p>
    <w:p w:rsidR="005627BD" w:rsidRPr="00090A5F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Dále bude dopravce Koordinátorovi měsíčně, elektronickou formou (e-mail), předkládat do 25. dne následujícího měsíce vyúčtování ztrátovosti jednotlivých spojů v základní dopravní obslužnosti, kde budou uvedeny ujeté kilometry a údaj </w:t>
      </w:r>
      <w:r w:rsidR="008F14C2" w:rsidRPr="00090A5F">
        <w:rPr>
          <w:rFonts w:ascii="Arial" w:hAnsi="Arial" w:cs="Arial"/>
          <w:color w:val="000000"/>
          <w:sz w:val="24"/>
          <w:szCs w:val="24"/>
        </w:rPr>
        <w:br/>
      </w:r>
      <w:r w:rsidRPr="00090A5F">
        <w:rPr>
          <w:rFonts w:ascii="Arial" w:hAnsi="Arial" w:cs="Arial"/>
          <w:color w:val="000000"/>
          <w:sz w:val="24"/>
          <w:szCs w:val="24"/>
        </w:rPr>
        <w:t>o celkových tržbách</w:t>
      </w:r>
      <w:r w:rsidR="00192919" w:rsidRPr="00090A5F">
        <w:rPr>
          <w:rFonts w:ascii="Arial" w:hAnsi="Arial"/>
          <w:sz w:val="24"/>
          <w:szCs w:val="24"/>
        </w:rPr>
        <w:t xml:space="preserve"> dle vzoru uvedeného v Příloze č. 4 </w:t>
      </w:r>
      <w:proofErr w:type="gramStart"/>
      <w:r w:rsidR="00192919" w:rsidRPr="00090A5F">
        <w:rPr>
          <w:rFonts w:ascii="Arial" w:hAnsi="Arial"/>
          <w:sz w:val="24"/>
          <w:szCs w:val="24"/>
        </w:rPr>
        <w:t>této</w:t>
      </w:r>
      <w:proofErr w:type="gramEnd"/>
      <w:r w:rsidR="00192919" w:rsidRPr="00090A5F">
        <w:rPr>
          <w:rFonts w:ascii="Arial" w:hAnsi="Arial"/>
          <w:sz w:val="24"/>
          <w:szCs w:val="24"/>
        </w:rPr>
        <w:t xml:space="preserve"> smlouvy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627BD" w:rsidRPr="00090A5F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A66D8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Předběžné vyhodnocení skutečné výše prokazatelné ztráty za měsíce leden až září roku 201</w:t>
      </w:r>
      <w:r w:rsidR="0021301A" w:rsidRPr="00090A5F">
        <w:rPr>
          <w:rFonts w:ascii="Arial" w:hAnsi="Arial" w:cs="Arial"/>
          <w:color w:val="000000"/>
          <w:sz w:val="24"/>
          <w:szCs w:val="24"/>
        </w:rPr>
        <w:t>9</w:t>
      </w:r>
      <w:r w:rsidR="009D59D7" w:rsidRPr="00090A5F">
        <w:rPr>
          <w:rFonts w:ascii="Arial" w:hAnsi="Arial" w:cs="Arial"/>
          <w:color w:val="000000"/>
          <w:sz w:val="24"/>
          <w:szCs w:val="24"/>
        </w:rPr>
        <w:t>,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s předpokladem hospodaření do konce roku 201</w:t>
      </w:r>
      <w:r w:rsidR="0021301A" w:rsidRPr="00090A5F">
        <w:rPr>
          <w:rFonts w:ascii="Arial" w:hAnsi="Arial" w:cs="Arial"/>
          <w:color w:val="000000"/>
          <w:sz w:val="24"/>
          <w:szCs w:val="24"/>
        </w:rPr>
        <w:t>9</w:t>
      </w:r>
      <w:r w:rsidRPr="00090A5F">
        <w:rPr>
          <w:rFonts w:ascii="Arial" w:hAnsi="Arial" w:cs="Arial"/>
          <w:color w:val="000000"/>
          <w:sz w:val="24"/>
          <w:szCs w:val="24"/>
        </w:rPr>
        <w:t>, vyčíslené v souladu se zásadami stanovenými v předběžném odborném odhadu, předá dopravce Koordinátorovi nejpozději do 2</w:t>
      </w:r>
      <w:r w:rsidR="00ED0C1B" w:rsidRPr="00090A5F">
        <w:rPr>
          <w:rFonts w:ascii="Arial" w:hAnsi="Arial" w:cs="Arial"/>
          <w:color w:val="000000"/>
          <w:sz w:val="24"/>
          <w:szCs w:val="24"/>
        </w:rPr>
        <w:t>3</w:t>
      </w:r>
      <w:r w:rsidRPr="00090A5F">
        <w:rPr>
          <w:rFonts w:ascii="Arial" w:hAnsi="Arial" w:cs="Arial"/>
          <w:color w:val="000000"/>
          <w:sz w:val="24"/>
          <w:szCs w:val="24"/>
        </w:rPr>
        <w:t>. 10. 201</w:t>
      </w:r>
      <w:r w:rsidR="00C551C2" w:rsidRPr="00090A5F">
        <w:rPr>
          <w:rFonts w:ascii="Arial" w:hAnsi="Arial" w:cs="Arial"/>
          <w:color w:val="000000"/>
          <w:sz w:val="24"/>
          <w:szCs w:val="24"/>
        </w:rPr>
        <w:t>9</w:t>
      </w:r>
      <w:r w:rsidRPr="00090A5F">
        <w:rPr>
          <w:rFonts w:ascii="Arial" w:hAnsi="Arial" w:cs="Arial"/>
          <w:color w:val="000000"/>
          <w:sz w:val="24"/>
          <w:szCs w:val="24"/>
        </w:rPr>
        <w:t>.</w:t>
      </w:r>
    </w:p>
    <w:p w:rsidR="005627BD" w:rsidRPr="00090A5F" w:rsidRDefault="005627BD" w:rsidP="0087663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0671E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lastRenderedPageBreak/>
        <w:t>Odborný odhad vypořádání záloh provede dopravce vždy za období příslušného kalendářního roku, nejpozději však do 10. ledna roku následujícího. Součástí tohoto vypořádání bude předložení odhadovaných údajů za uplynulý kalendářní rok, a to údajů o ujetých kilometrech na jednotlivých</w:t>
      </w:r>
      <w:r w:rsidR="005817D6" w:rsidRPr="00090A5F">
        <w:rPr>
          <w:rFonts w:ascii="Arial" w:hAnsi="Arial" w:cs="Arial"/>
          <w:color w:val="000000"/>
          <w:sz w:val="24"/>
          <w:szCs w:val="24"/>
        </w:rPr>
        <w:t xml:space="preserve"> </w:t>
      </w:r>
      <w:r w:rsidR="009C7053" w:rsidRPr="00090A5F">
        <w:rPr>
          <w:rFonts w:ascii="Arial" w:hAnsi="Arial" w:cs="Arial"/>
          <w:color w:val="000000"/>
          <w:sz w:val="24"/>
          <w:szCs w:val="24"/>
        </w:rPr>
        <w:t>linkách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, o přístavných </w:t>
      </w:r>
      <w:r w:rsidR="008F14C2" w:rsidRPr="00090A5F">
        <w:rPr>
          <w:rFonts w:ascii="Arial" w:hAnsi="Arial" w:cs="Arial"/>
          <w:color w:val="000000"/>
          <w:sz w:val="24"/>
          <w:szCs w:val="24"/>
        </w:rPr>
        <w:br/>
      </w:r>
      <w:r w:rsidRPr="00090A5F">
        <w:rPr>
          <w:rFonts w:ascii="Arial" w:hAnsi="Arial" w:cs="Arial"/>
          <w:color w:val="000000"/>
          <w:sz w:val="24"/>
          <w:szCs w:val="24"/>
        </w:rPr>
        <w:t>a odstavných kilometrech, přehled dosažených tržeb na jednotlivých</w:t>
      </w:r>
      <w:r w:rsidR="005817D6" w:rsidRPr="00090A5F">
        <w:rPr>
          <w:rFonts w:ascii="Arial" w:hAnsi="Arial" w:cs="Arial"/>
          <w:color w:val="000000"/>
          <w:sz w:val="24"/>
          <w:szCs w:val="24"/>
        </w:rPr>
        <w:t xml:space="preserve"> </w:t>
      </w:r>
      <w:r w:rsidR="009C7053" w:rsidRPr="00090A5F">
        <w:rPr>
          <w:rFonts w:ascii="Arial" w:hAnsi="Arial" w:cs="Arial"/>
          <w:color w:val="000000"/>
          <w:sz w:val="24"/>
          <w:szCs w:val="24"/>
        </w:rPr>
        <w:t>linkách</w:t>
      </w:r>
      <w:r w:rsidRPr="00090A5F">
        <w:rPr>
          <w:rFonts w:ascii="Arial" w:hAnsi="Arial" w:cs="Arial"/>
          <w:color w:val="000000"/>
          <w:sz w:val="24"/>
          <w:szCs w:val="24"/>
        </w:rPr>
        <w:t>, výpočet prokazatelné ztráty a odhadované použití přiměřeného zisku.</w:t>
      </w:r>
    </w:p>
    <w:p w:rsidR="005627BD" w:rsidRPr="00090A5F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6645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Finanční vypořádání záloh provede dopravce vždy za období příslušného kalendářního roku, nejpozději však do 30. června roku následujícího. Součástí finančního vypořádání bude předložení údajů za uplynulý kalendářní rok, a to údajů o skutečně ujetých kilometrech na jednotlivých spojích, o skutečných přístavných a odstavných kilometrech, přehled skutečně dosažených tržeb na jednotlivých spojích, výpočet skutečné prokazatelné ztráty a dokladování použití přiměřeného zisku.</w:t>
      </w:r>
    </w:p>
    <w:p w:rsidR="005627BD" w:rsidRPr="00090A5F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Dopravce započítá do oprávněných nákladů i náklady na uskutečněné přístavné a odstavné (tzv. manipulační) jízdy autobusů, které byly nezbytné k zajištění spojů, a to ve výši maximálně 5% tarifních kilometrů. </w:t>
      </w:r>
    </w:p>
    <w:p w:rsidR="005627BD" w:rsidRPr="00090A5F" w:rsidRDefault="005627BD" w:rsidP="00B827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Režijní náklady bude dopravce klíčovat podle mezd pracovníků. 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880D1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V případě, že prokazatelná ztráta za příslušný kalendářní rok, podle platného prováděcího předpisu k zákonu o silniční dopravě, nedosáhne výše úhrady objednatele, je dopravce povinen vzniklý rozdíl vrátit na účet objednatele nejpozději do 31. 7. následujícího roku.  </w:t>
      </w:r>
    </w:p>
    <w:p w:rsidR="00171A83" w:rsidRPr="00090A5F" w:rsidRDefault="00171A83" w:rsidP="00171A83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VI.</w:t>
      </w: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Kontrolní činnost</w:t>
      </w:r>
    </w:p>
    <w:p w:rsidR="005627BD" w:rsidRPr="00090A5F" w:rsidRDefault="005627BD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:rsidR="005627BD" w:rsidRPr="00090A5F" w:rsidRDefault="005627BD" w:rsidP="00A66D82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Dopravce se zavazuje na vyžádání dokladovat a předložit ke kontrole objednateli všechny doklady o skutečných nákladech a příjmech dopravce, související s činností dopravce dle této smlouvy. </w:t>
      </w:r>
    </w:p>
    <w:p w:rsidR="005627BD" w:rsidRPr="00090A5F" w:rsidRDefault="005627BD" w:rsidP="00C029A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VII.</w:t>
      </w: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Další ujednání</w:t>
      </w: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090A5F" w:rsidRDefault="005627BD" w:rsidP="00501896">
      <w:pPr>
        <w:pStyle w:val="Zkladntext"/>
        <w:numPr>
          <w:ilvl w:val="0"/>
          <w:numId w:val="10"/>
        </w:numPr>
        <w:rPr>
          <w:rFonts w:ascii="Arial" w:hAnsi="Arial" w:cs="Arial"/>
          <w:color w:val="000000"/>
        </w:rPr>
      </w:pPr>
      <w:r w:rsidRPr="00090A5F">
        <w:rPr>
          <w:rFonts w:ascii="Arial" w:hAnsi="Arial" w:cs="Arial"/>
          <w:color w:val="000000"/>
        </w:rPr>
        <w:t>Dopravce je oprávněn poskytovat komerční slevy z jízdného v případě používání elektronických karet do výše max. 5 % a při využití stabilních úseků na těchto kartách do výše max. dalších 10 % za účelem vytvoření pobídkového principu pro cestující. Současný tarifní systém dopravce je v</w:t>
      </w:r>
      <w:r w:rsidR="0088577B" w:rsidRPr="00090A5F">
        <w:rPr>
          <w:rFonts w:ascii="Arial" w:hAnsi="Arial" w:cs="Arial"/>
          <w:color w:val="000000"/>
        </w:rPr>
        <w:t> </w:t>
      </w:r>
      <w:r w:rsidRPr="00090A5F">
        <w:rPr>
          <w:rFonts w:ascii="Arial" w:hAnsi="Arial" w:cs="Arial"/>
          <w:color w:val="000000"/>
        </w:rPr>
        <w:t>principu</w:t>
      </w:r>
      <w:r w:rsidR="0088577B" w:rsidRPr="00090A5F">
        <w:rPr>
          <w:rFonts w:ascii="Arial" w:hAnsi="Arial" w:cs="Arial"/>
          <w:color w:val="000000"/>
        </w:rPr>
        <w:t>,</w:t>
      </w:r>
      <w:r w:rsidRPr="00090A5F">
        <w:rPr>
          <w:rFonts w:ascii="Arial" w:hAnsi="Arial" w:cs="Arial"/>
          <w:color w:val="000000"/>
        </w:rPr>
        <w:t xml:space="preserve"> pro účely této smlouvy</w:t>
      </w:r>
      <w:r w:rsidR="0088577B" w:rsidRPr="00090A5F">
        <w:rPr>
          <w:rFonts w:ascii="Arial" w:hAnsi="Arial" w:cs="Arial"/>
          <w:color w:val="000000"/>
        </w:rPr>
        <w:t>,</w:t>
      </w:r>
      <w:r w:rsidRPr="00090A5F">
        <w:rPr>
          <w:rFonts w:ascii="Arial" w:hAnsi="Arial" w:cs="Arial"/>
          <w:color w:val="000000"/>
        </w:rPr>
        <w:t xml:space="preserve"> akceptován.</w:t>
      </w:r>
    </w:p>
    <w:p w:rsidR="005627BD" w:rsidRPr="00090A5F" w:rsidRDefault="005627BD" w:rsidP="00C029A0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Zkladntext"/>
        <w:numPr>
          <w:ilvl w:val="0"/>
          <w:numId w:val="10"/>
        </w:numPr>
        <w:rPr>
          <w:rFonts w:ascii="Arial" w:hAnsi="Arial" w:cs="Arial"/>
          <w:color w:val="000000"/>
        </w:rPr>
      </w:pPr>
      <w:r w:rsidRPr="00090A5F">
        <w:rPr>
          <w:rFonts w:ascii="Arial" w:hAnsi="Arial" w:cs="Arial"/>
          <w:color w:val="000000"/>
        </w:rPr>
        <w:t>Dopravce je oprávněn poskytovat zaměstnanecké jízdné pro své zaměstnance dle § 24 odst. 2 písm. j) zákona ČNR č. 586/1992 Sb., kde je ovšem povinen zajistit řádnou evidenci těchto jízdenek.</w:t>
      </w:r>
    </w:p>
    <w:p w:rsidR="005627BD" w:rsidRPr="00090A5F" w:rsidRDefault="005627BD" w:rsidP="00C029A0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lastRenderedPageBreak/>
        <w:t xml:space="preserve">Bezplatné přepravy je dopravce oprávněn poskytovat jen v rozsahu stanoveném v platném cenovém výměru Ministerstva financí ČR a v rozsahu současné úrovně bezplatné přepravy prováděné dopravcem na základě smluv s městskými úřady. </w:t>
      </w:r>
    </w:p>
    <w:p w:rsidR="005627BD" w:rsidRPr="00090A5F" w:rsidRDefault="005627BD" w:rsidP="00C029A0">
      <w:pPr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Dopravce je oprávněn vykonávat přepravní kontrolu nad dodržováním tarifní kázně cestujícími a jízdními pracovníky třetími osobami, odpovídá však objednateli tak, jakoby tuto činnost vykonával sám. 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7068E" w:rsidRPr="00090A5F" w:rsidRDefault="0097068E" w:rsidP="0097068E">
      <w:pPr>
        <w:numPr>
          <w:ilvl w:val="0"/>
          <w:numId w:val="10"/>
        </w:numPr>
        <w:contextualSpacing/>
        <w:jc w:val="both"/>
        <w:rPr>
          <w:rFonts w:ascii="Arial" w:hAnsi="Arial"/>
          <w:spacing w:val="6"/>
          <w:sz w:val="24"/>
          <w:szCs w:val="24"/>
        </w:rPr>
      </w:pPr>
      <w:r w:rsidRPr="00090A5F">
        <w:rPr>
          <w:rFonts w:ascii="Arial" w:hAnsi="Arial"/>
          <w:spacing w:val="6"/>
          <w:sz w:val="24"/>
          <w:szCs w:val="24"/>
        </w:rPr>
        <w:t xml:space="preserve">Dopravce předloží Koordinátorovi přílohu č. 1 a to vždy v termínu do </w:t>
      </w:r>
      <w:r w:rsidRPr="00090A5F">
        <w:rPr>
          <w:rFonts w:ascii="Arial" w:hAnsi="Arial"/>
          <w:spacing w:val="6"/>
          <w:sz w:val="24"/>
          <w:szCs w:val="24"/>
        </w:rPr>
        <w:br/>
        <w:t>15. listopadu pře</w:t>
      </w:r>
      <w:r w:rsidR="00B9731B" w:rsidRPr="00090A5F">
        <w:rPr>
          <w:rFonts w:ascii="Arial" w:hAnsi="Arial"/>
          <w:spacing w:val="6"/>
          <w:sz w:val="24"/>
          <w:szCs w:val="24"/>
        </w:rPr>
        <w:t>d</w:t>
      </w:r>
      <w:r w:rsidRPr="00090A5F">
        <w:rPr>
          <w:rFonts w:ascii="Arial" w:hAnsi="Arial"/>
          <w:spacing w:val="6"/>
          <w:sz w:val="24"/>
          <w:szCs w:val="24"/>
        </w:rPr>
        <w:t>cházejícímu příslušnému kalendářnímu roku.</w:t>
      </w:r>
    </w:p>
    <w:p w:rsidR="005627BD" w:rsidRPr="00090A5F" w:rsidRDefault="005627BD" w:rsidP="00C029A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6645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Dopravce předloží Koordinátorovi, vždy do dvaceti dnů po auditu účetní uzávěrky</w:t>
      </w:r>
      <w:r w:rsidR="00F411D1" w:rsidRPr="00090A5F">
        <w:rPr>
          <w:rFonts w:ascii="Arial" w:hAnsi="Arial" w:cs="Arial"/>
          <w:color w:val="000000"/>
          <w:sz w:val="24"/>
          <w:szCs w:val="24"/>
        </w:rPr>
        <w:t>,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výkaz nákladů, výkonů a tržeb za příslušný kalendářní rok.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5627BD" w:rsidRPr="00090A5F" w:rsidRDefault="005627BD" w:rsidP="006645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Dopravce je povinen zajistit zpřístupnění údajů o frekvencích cestujících (od jednotlivých vydaných jízdenek až po souhrn), přepravních proudech a tržbách z jízdného (od tarifního a časového rozlišení až po souhrn) na linkách a spojích zařazených do základní dopravní obslužnosti Zlínského kraje prostřednictvím internetu Koordinátorovi. V případě technické nemožnosti zpřístupnění dat přes internet je potom dopravce povinen poskytnout výše uvedené údaje ve formátu a v termínu dle </w:t>
      </w:r>
      <w:r w:rsidR="00BF21A0" w:rsidRPr="00090A5F">
        <w:rPr>
          <w:rFonts w:ascii="Arial" w:hAnsi="Arial" w:cs="Arial"/>
          <w:color w:val="000000"/>
          <w:sz w:val="24"/>
          <w:szCs w:val="24"/>
        </w:rPr>
        <w:t xml:space="preserve">pokynu </w:t>
      </w:r>
      <w:r w:rsidRPr="00090A5F">
        <w:rPr>
          <w:rFonts w:ascii="Arial" w:hAnsi="Arial" w:cs="Arial"/>
          <w:color w:val="000000"/>
          <w:sz w:val="24"/>
          <w:szCs w:val="24"/>
        </w:rPr>
        <w:t>Koordinátora.</w:t>
      </w:r>
    </w:p>
    <w:p w:rsidR="005627BD" w:rsidRPr="00090A5F" w:rsidRDefault="005627BD" w:rsidP="00A22A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880D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Změny jízdních řádů linek provozovaných v závazku veřejné služby Zlínského kraje</w:t>
      </w:r>
      <w:r w:rsidR="00500B75" w:rsidRPr="00090A5F">
        <w:rPr>
          <w:rFonts w:ascii="Arial" w:hAnsi="Arial" w:cs="Arial"/>
          <w:color w:val="000000"/>
          <w:sz w:val="24"/>
          <w:szCs w:val="24"/>
        </w:rPr>
        <w:t>,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je dopravce povinen</w:t>
      </w:r>
      <w:r w:rsidR="00500B75" w:rsidRPr="00090A5F">
        <w:rPr>
          <w:rFonts w:ascii="Arial" w:hAnsi="Arial" w:cs="Arial"/>
          <w:color w:val="000000"/>
          <w:sz w:val="24"/>
          <w:szCs w:val="24"/>
        </w:rPr>
        <w:t>,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před schválením jízdních řádů ve smyslu zákona o silniční dopravě</w:t>
      </w:r>
      <w:r w:rsidR="006159E6" w:rsidRPr="00090A5F">
        <w:rPr>
          <w:rFonts w:ascii="Arial" w:hAnsi="Arial" w:cs="Arial"/>
          <w:color w:val="000000"/>
          <w:sz w:val="24"/>
          <w:szCs w:val="24"/>
        </w:rPr>
        <w:t>,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nejprve předložit tyto jízdní řády k odsouhlasení Koordinátorovi. Koordinátor stanoví dopravci formu a způsob předkládání změn jízdních řádů k odsouhlasení.</w:t>
      </w:r>
    </w:p>
    <w:p w:rsidR="005627BD" w:rsidRPr="00090A5F" w:rsidRDefault="005627BD" w:rsidP="00C029A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C090C" w:rsidRPr="00090A5F" w:rsidRDefault="008C090C" w:rsidP="008C090C">
      <w:pPr>
        <w:pStyle w:val="Odstavecseseznamem"/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>Dopravce je povinen, předložit předem Koordinátorovi případné změny v tarifu PAD.</w:t>
      </w:r>
    </w:p>
    <w:p w:rsidR="008C090C" w:rsidRPr="00090A5F" w:rsidRDefault="008C090C" w:rsidP="008C090C">
      <w:pPr>
        <w:ind w:firstLine="709"/>
        <w:jc w:val="both"/>
        <w:rPr>
          <w:rFonts w:ascii="Arial" w:hAnsi="Arial"/>
          <w:color w:val="000000"/>
          <w:sz w:val="24"/>
          <w:szCs w:val="24"/>
        </w:rPr>
      </w:pPr>
    </w:p>
    <w:p w:rsidR="008C090C" w:rsidRPr="00090A5F" w:rsidRDefault="008C090C" w:rsidP="008C090C">
      <w:pPr>
        <w:pStyle w:val="Odstavecseseznamem"/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 xml:space="preserve"> Za nesplnění některé ze svých povinností uvedených v této smlouvě ani po písemné výzvě objednatele, lze dopravci udělit smluvní pokutu až do výše 50.000,- Kč (slovy padesát tisíc korun českých) za každé porušení smlouvy a to do třiceti dnů po odeslání oznámení o uložení smluvní pokuty objednatelem. Nárok objednatele na náhradu škody způsobené porušením povinnosti zajištěné smluvní pokutou není nijak dotčen.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5627BD" w:rsidRPr="00090A5F" w:rsidRDefault="005627BD" w:rsidP="00880D1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Koordinátor je oprávněn, bez souhlasu dopravce, sdělovat informace, které od něj obdrží v souvislosti s plněním předmětu této smlouvy, objednateli.</w:t>
      </w:r>
    </w:p>
    <w:p w:rsidR="005627BD" w:rsidRPr="00090A5F" w:rsidRDefault="005627BD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5627BD" w:rsidRPr="00090A5F" w:rsidRDefault="005627BD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5627BD" w:rsidRPr="00090A5F" w:rsidRDefault="005627BD" w:rsidP="00023AC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 Finanční prostředky poskytnuté objednatelem dopravci nelze použít </w:t>
      </w:r>
      <w:proofErr w:type="gramStart"/>
      <w:r w:rsidRPr="00090A5F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090A5F">
        <w:rPr>
          <w:rFonts w:ascii="Arial" w:hAnsi="Arial" w:cs="Arial"/>
          <w:color w:val="000000"/>
          <w:sz w:val="24"/>
          <w:szCs w:val="24"/>
        </w:rPr>
        <w:t>: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nákup reklamy, reklamních předmětů a pronájmy reklamních ploch propagující dopravce;</w:t>
      </w:r>
    </w:p>
    <w:p w:rsidR="005627BD" w:rsidRPr="00090A5F" w:rsidRDefault="005627BD" w:rsidP="00501896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pronájmy školících a ubytovacích středisek (lze zahrnout pouze tehdy, pokud dopravce prokáže, že školení bylo uskutečněno na základě právních povinností dopravce a mělo vztah k výkonu povolání a k závazku veřejné služby);</w:t>
      </w:r>
    </w:p>
    <w:p w:rsidR="005627BD" w:rsidRPr="00090A5F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lastRenderedPageBreak/>
        <w:t>uhrazení nákladů spojených s konáním valných hromad přesahující částku 100 tis. Kč/rok;</w:t>
      </w:r>
    </w:p>
    <w:p w:rsidR="005627BD" w:rsidRPr="00090A5F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vyplácení zahraničního cestovného;</w:t>
      </w:r>
    </w:p>
    <w:p w:rsidR="005627BD" w:rsidRPr="00090A5F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úhradu zahraničních odvodů DPH;</w:t>
      </w:r>
    </w:p>
    <w:p w:rsidR="005627BD" w:rsidRPr="00090A5F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úhradu kurzových ztrát;</w:t>
      </w:r>
    </w:p>
    <w:p w:rsidR="005627BD" w:rsidRPr="00090A5F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úhradu silniční daně placené v cizině;</w:t>
      </w:r>
    </w:p>
    <w:p w:rsidR="005627BD" w:rsidRPr="00090A5F" w:rsidRDefault="005627BD" w:rsidP="00501896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úhradu nákladů za užívání autobusových nádraží mimo Zlínský kraj u linek mimo závazek veřejné služby.</w:t>
      </w:r>
    </w:p>
    <w:p w:rsidR="005627BD" w:rsidRPr="00090A5F" w:rsidRDefault="005627BD" w:rsidP="00501896">
      <w:pPr>
        <w:pStyle w:val="Odstavecseseznamem"/>
        <w:numPr>
          <w:ilvl w:val="0"/>
          <w:numId w:val="10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 Do závazku veřejné služby se nepočítají výnosy dopravce spojené s prodejem reklamy, reklamních předmětů a pronájmu reklamních ploch. Do závazku veřejné služby se nepočítají výnosy dopravce spojené s kurzovými zisky.</w:t>
      </w:r>
    </w:p>
    <w:p w:rsidR="005627BD" w:rsidRPr="00090A5F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 Za ekonomicky oprávněné náklady dopravce  se pro účely této smlouvy považují odměny za vykonanou práci, které jsou příjmem ze závislé činnosti skutečně vyplacené dopravcem v příslušném kalendářním roce vedoucím zaměstnancům dopravce, kteří jsou v přímé působnosti statutárního orgánu, a to v částce odpovídající 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5627BD" w:rsidRPr="00090A5F" w:rsidRDefault="005627BD" w:rsidP="00C029A0">
      <w:pPr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</w:p>
    <w:p w:rsidR="005627BD" w:rsidRPr="00090A5F" w:rsidRDefault="005627BD" w:rsidP="00501896">
      <w:pPr>
        <w:pStyle w:val="Odstavecseseznamem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090A5F">
        <w:rPr>
          <w:rFonts w:ascii="Arial" w:hAnsi="Arial" w:cs="Arial"/>
          <w:color w:val="000000"/>
          <w:sz w:val="24"/>
          <w:szCs w:val="24"/>
        </w:rPr>
        <w:t>dodavatelsky</w:t>
      </w:r>
      <w:proofErr w:type="spellEnd"/>
      <w:r w:rsidRPr="00090A5F">
        <w:rPr>
          <w:rFonts w:ascii="Arial" w:hAnsi="Arial" w:cs="Arial"/>
          <w:color w:val="000000"/>
          <w:sz w:val="24"/>
          <w:szCs w:val="24"/>
        </w:rPr>
        <w:t xml:space="preserve"> zajišťovaných prací a služeb dopravce zajistí a prokáže (na základě vyžádání kontrolního oddělení KÚ ZK), že náklad nepřesahuje cenu obvyklou.</w:t>
      </w:r>
    </w:p>
    <w:p w:rsidR="005627BD" w:rsidRPr="00090A5F" w:rsidRDefault="005627BD" w:rsidP="0049053E">
      <w:pPr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 Pro splnění závazku veřejné služby, podle této smlouvy, dopravce zajistí evidenci nákladů a výnosů pomocí analytických účtů a </w:t>
      </w:r>
      <w:proofErr w:type="spellStart"/>
      <w:r w:rsidRPr="00090A5F">
        <w:rPr>
          <w:rFonts w:ascii="Arial" w:hAnsi="Arial" w:cs="Arial"/>
          <w:color w:val="000000"/>
          <w:sz w:val="24"/>
          <w:szCs w:val="24"/>
        </w:rPr>
        <w:t>podílování</w:t>
      </w:r>
      <w:proofErr w:type="spellEnd"/>
      <w:r w:rsidRPr="00090A5F">
        <w:rPr>
          <w:rFonts w:ascii="Arial" w:hAnsi="Arial" w:cs="Arial"/>
          <w:color w:val="000000"/>
          <w:sz w:val="24"/>
          <w:szCs w:val="24"/>
        </w:rPr>
        <w:t xml:space="preserve"> nepřímých nákladů podle jednotlivých přepravních systémů (směrnice o vedení účetnictví bude obsahovat přehled účtů, které vstupují do závazku veřejné služby Zlínského kraje).</w:t>
      </w:r>
    </w:p>
    <w:p w:rsidR="00A66D82" w:rsidRPr="00090A5F" w:rsidRDefault="00A66D82" w:rsidP="00A66D82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663E67" w:rsidRPr="00090A5F" w:rsidRDefault="000E0DE1" w:rsidP="008C090C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>Pouze v</w:t>
      </w:r>
      <w:r w:rsidR="00663E67" w:rsidRPr="00090A5F">
        <w:rPr>
          <w:rFonts w:ascii="Arial" w:hAnsi="Arial"/>
          <w:color w:val="000000"/>
          <w:sz w:val="24"/>
          <w:szCs w:val="24"/>
        </w:rPr>
        <w:t xml:space="preserve"> případě pořízení nového odbavovacího zařízení do vozidel je Dopravce povinen </w:t>
      </w:r>
      <w:r w:rsidRPr="00090A5F">
        <w:rPr>
          <w:rFonts w:ascii="Arial" w:hAnsi="Arial"/>
          <w:color w:val="000000"/>
          <w:sz w:val="24"/>
          <w:szCs w:val="24"/>
        </w:rPr>
        <w:t>splnit i níže uvedené body č. 18 – 2</w:t>
      </w:r>
      <w:r w:rsidR="008C090C" w:rsidRPr="00090A5F">
        <w:rPr>
          <w:rFonts w:ascii="Arial" w:hAnsi="Arial"/>
          <w:color w:val="000000"/>
          <w:sz w:val="24"/>
          <w:szCs w:val="24"/>
        </w:rPr>
        <w:t>6</w:t>
      </w:r>
      <w:r w:rsidRPr="00090A5F">
        <w:rPr>
          <w:rFonts w:ascii="Arial" w:hAnsi="Arial"/>
          <w:color w:val="000000"/>
          <w:sz w:val="24"/>
          <w:szCs w:val="24"/>
        </w:rPr>
        <w:t xml:space="preserve"> a </w:t>
      </w:r>
      <w:r w:rsidR="00663E67" w:rsidRPr="00090A5F">
        <w:rPr>
          <w:rFonts w:ascii="Arial" w:hAnsi="Arial"/>
          <w:color w:val="000000"/>
          <w:sz w:val="24"/>
          <w:szCs w:val="24"/>
        </w:rPr>
        <w:t xml:space="preserve">zajistit, aby toto zařízení umožnilo zasílat informace ve stanoveném obsahu a struktuře tak, jak je uvedeno v příloze č. 5 </w:t>
      </w:r>
      <w:r w:rsidR="00506FA6" w:rsidRPr="00090A5F">
        <w:rPr>
          <w:rFonts w:ascii="Arial" w:hAnsi="Arial"/>
          <w:color w:val="000000"/>
          <w:sz w:val="24"/>
          <w:szCs w:val="24"/>
        </w:rPr>
        <w:t>k Dodatku č. 14</w:t>
      </w:r>
      <w:r w:rsidR="00663E67" w:rsidRPr="00090A5F">
        <w:rPr>
          <w:rFonts w:ascii="Arial" w:hAnsi="Arial"/>
          <w:color w:val="000000"/>
          <w:sz w:val="24"/>
          <w:szCs w:val="24"/>
        </w:rPr>
        <w:t>, na server Centrálního dispečinku Zlínského kraje (dále jen „CED“), jehož provozovatelem je Koordinátor.</w:t>
      </w:r>
      <w:r w:rsidRPr="00090A5F">
        <w:rPr>
          <w:color w:val="000000"/>
        </w:rPr>
        <w:t xml:space="preserve"> </w:t>
      </w:r>
      <w:r w:rsidRPr="00090A5F">
        <w:rPr>
          <w:rFonts w:ascii="Arial" w:hAnsi="Arial"/>
          <w:color w:val="000000"/>
          <w:sz w:val="24"/>
          <w:szCs w:val="24"/>
        </w:rPr>
        <w:t>V případě používání stávajících odbavovacích zařízení pro něj neplatí níže uvedené body č. 18 – 2</w:t>
      </w:r>
      <w:r w:rsidR="001F0028" w:rsidRPr="00090A5F">
        <w:rPr>
          <w:rFonts w:ascii="Arial" w:hAnsi="Arial"/>
          <w:color w:val="000000"/>
          <w:sz w:val="24"/>
          <w:szCs w:val="24"/>
        </w:rPr>
        <w:t>6</w:t>
      </w:r>
      <w:r w:rsidRPr="00090A5F">
        <w:rPr>
          <w:rFonts w:ascii="Arial" w:hAnsi="Arial"/>
          <w:color w:val="000000"/>
          <w:sz w:val="24"/>
          <w:szCs w:val="24"/>
        </w:rPr>
        <w:t>.</w:t>
      </w:r>
    </w:p>
    <w:p w:rsidR="00663E67" w:rsidRPr="00090A5F" w:rsidRDefault="00663E67" w:rsidP="00663E67">
      <w:pPr>
        <w:pStyle w:val="Odstavecseseznamem"/>
        <w:rPr>
          <w:rFonts w:ascii="Arial" w:hAnsi="Arial"/>
          <w:color w:val="000000"/>
          <w:sz w:val="24"/>
          <w:szCs w:val="24"/>
        </w:rPr>
      </w:pPr>
    </w:p>
    <w:p w:rsidR="00663E67" w:rsidRPr="00090A5F" w:rsidRDefault="00663E67" w:rsidP="00663E67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>Dopravce je povinen určit kontaktní osobu, která bude s Koordinátorem řešit jeho zapojení do systému CED a dále následný provoz tohoto systému.</w:t>
      </w:r>
    </w:p>
    <w:p w:rsidR="00663E67" w:rsidRPr="00090A5F" w:rsidRDefault="00663E67" w:rsidP="00663E67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:rsidR="00663E67" w:rsidRPr="00090A5F" w:rsidRDefault="00663E67" w:rsidP="00506FA6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 xml:space="preserve">Dopravce se zavazuje poskytnout bezúplatně online informace v dané struktuře a v pravidelných časových intervalech, dle přílohy č. 5 </w:t>
      </w:r>
      <w:r w:rsidR="00506FA6" w:rsidRPr="00090A5F">
        <w:rPr>
          <w:rFonts w:ascii="Arial" w:hAnsi="Arial"/>
          <w:color w:val="000000"/>
          <w:sz w:val="24"/>
          <w:szCs w:val="24"/>
        </w:rPr>
        <w:t>k Dodatku č. 14</w:t>
      </w:r>
      <w:r w:rsidRPr="00090A5F">
        <w:rPr>
          <w:rFonts w:ascii="Arial" w:hAnsi="Arial"/>
          <w:color w:val="000000"/>
          <w:sz w:val="24"/>
          <w:szCs w:val="24"/>
        </w:rPr>
        <w:t>, provozovateli CED, a to v případě, že bude zajištěn online přenos informací na smluvních linkách Dopravce.</w:t>
      </w:r>
    </w:p>
    <w:p w:rsidR="00663E67" w:rsidRPr="00090A5F" w:rsidRDefault="00663E67" w:rsidP="00663E67">
      <w:pPr>
        <w:pStyle w:val="Odstavecseseznamem"/>
        <w:ind w:left="426"/>
        <w:rPr>
          <w:rFonts w:ascii="Arial" w:hAnsi="Arial"/>
          <w:color w:val="000000"/>
          <w:sz w:val="24"/>
          <w:szCs w:val="24"/>
        </w:rPr>
      </w:pPr>
    </w:p>
    <w:p w:rsidR="00663E67" w:rsidRPr="00090A5F" w:rsidRDefault="00663E67" w:rsidP="000B0AF6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 xml:space="preserve">Dopravce souhlasí s poskytnutím informací, v souladu s čl. VII., bod 19. Dodatku, poskytovateli služeb CED, </w:t>
      </w:r>
      <w:r w:rsidR="000E0DE1" w:rsidRPr="00090A5F">
        <w:rPr>
          <w:rFonts w:ascii="Arial" w:hAnsi="Arial"/>
          <w:color w:val="000000"/>
          <w:sz w:val="24"/>
          <w:szCs w:val="24"/>
        </w:rPr>
        <w:t xml:space="preserve">se </w:t>
      </w:r>
      <w:r w:rsidR="003C5C5D" w:rsidRPr="00090A5F">
        <w:rPr>
          <w:rFonts w:ascii="Arial" w:hAnsi="Arial"/>
          <w:color w:val="000000"/>
          <w:sz w:val="24"/>
          <w:szCs w:val="24"/>
        </w:rPr>
        <w:t xml:space="preserve">kterým </w:t>
      </w:r>
      <w:r w:rsidR="000E0DE1" w:rsidRPr="00090A5F">
        <w:rPr>
          <w:rFonts w:ascii="Arial" w:hAnsi="Arial"/>
          <w:color w:val="000000"/>
          <w:sz w:val="24"/>
          <w:szCs w:val="24"/>
        </w:rPr>
        <w:t>má Koordinátor uzavřen</w:t>
      </w:r>
      <w:r w:rsidR="00E813CB" w:rsidRPr="00090A5F">
        <w:rPr>
          <w:rFonts w:ascii="Arial" w:hAnsi="Arial"/>
          <w:color w:val="000000"/>
          <w:sz w:val="24"/>
          <w:szCs w:val="24"/>
        </w:rPr>
        <w:t>o</w:t>
      </w:r>
      <w:r w:rsidR="000E0DE1" w:rsidRPr="00090A5F">
        <w:rPr>
          <w:rFonts w:ascii="Arial" w:hAnsi="Arial"/>
          <w:color w:val="000000"/>
          <w:sz w:val="24"/>
          <w:szCs w:val="24"/>
        </w:rPr>
        <w:t xml:space="preserve">u dohodu </w:t>
      </w:r>
      <w:r w:rsidR="00090A5F">
        <w:rPr>
          <w:rFonts w:ascii="Arial" w:hAnsi="Arial"/>
          <w:color w:val="000000"/>
          <w:sz w:val="24"/>
          <w:szCs w:val="24"/>
        </w:rPr>
        <w:br/>
      </w:r>
      <w:r w:rsidR="000E0DE1" w:rsidRPr="00090A5F">
        <w:rPr>
          <w:rFonts w:ascii="Arial" w:hAnsi="Arial"/>
          <w:color w:val="000000"/>
          <w:sz w:val="24"/>
          <w:szCs w:val="24"/>
        </w:rPr>
        <w:t>o mlčenlivosti.</w:t>
      </w:r>
    </w:p>
    <w:p w:rsidR="00663E67" w:rsidRPr="00090A5F" w:rsidRDefault="00663E67" w:rsidP="00663E67">
      <w:pPr>
        <w:pStyle w:val="Odstavecseseznamem"/>
        <w:ind w:left="426"/>
        <w:rPr>
          <w:rFonts w:ascii="Arial" w:hAnsi="Arial"/>
          <w:color w:val="000000"/>
          <w:sz w:val="24"/>
          <w:szCs w:val="24"/>
        </w:rPr>
      </w:pPr>
    </w:p>
    <w:p w:rsidR="00663E67" w:rsidRPr="00090A5F" w:rsidRDefault="00663E67" w:rsidP="00663E67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lastRenderedPageBreak/>
        <w:t>Dopravce dává souhlas s použitím informací o poloze svých vozidel, zapojených do systému CED, Koordinátorovi, který může tyto informace poskytnout dále, a to pouze ve veřejném zájmu, pomocí informačních technologií.</w:t>
      </w:r>
    </w:p>
    <w:p w:rsidR="00663E67" w:rsidRPr="00090A5F" w:rsidRDefault="00663E67" w:rsidP="00663E67">
      <w:pPr>
        <w:pStyle w:val="Odstavecseseznamem"/>
        <w:ind w:left="426"/>
        <w:rPr>
          <w:rFonts w:ascii="Arial" w:hAnsi="Arial"/>
          <w:color w:val="000000"/>
          <w:sz w:val="24"/>
          <w:szCs w:val="24"/>
        </w:rPr>
      </w:pPr>
    </w:p>
    <w:p w:rsidR="00663E67" w:rsidRPr="00090A5F" w:rsidRDefault="00663E67" w:rsidP="00506FA6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 xml:space="preserve">V případě, že nebude Koordinátor dostávat informace ve struktuře a v pravidelných časových intervalech, dle přílohy č. 5 </w:t>
      </w:r>
      <w:r w:rsidR="00506FA6" w:rsidRPr="00090A5F">
        <w:rPr>
          <w:rFonts w:ascii="Arial" w:hAnsi="Arial"/>
          <w:color w:val="000000"/>
          <w:sz w:val="24"/>
          <w:szCs w:val="24"/>
        </w:rPr>
        <w:t>k Dodatku č. 14</w:t>
      </w:r>
      <w:r w:rsidRPr="00090A5F">
        <w:rPr>
          <w:rFonts w:ascii="Arial" w:hAnsi="Arial"/>
          <w:color w:val="000000"/>
          <w:sz w:val="24"/>
          <w:szCs w:val="24"/>
        </w:rPr>
        <w:t>, po zapojení Dopravce do CED, je Dopravce povinen zajistit vyřešení těchto provozních problémů, nejpozději do 24 hodin (v pracovních dnech) od zjištění této skutečnosti.</w:t>
      </w:r>
    </w:p>
    <w:p w:rsidR="00663E67" w:rsidRPr="00090A5F" w:rsidRDefault="00663E67" w:rsidP="00663E67">
      <w:pPr>
        <w:pStyle w:val="Odstavecseseznamem"/>
        <w:ind w:left="426"/>
        <w:rPr>
          <w:rFonts w:ascii="Arial" w:hAnsi="Arial"/>
          <w:color w:val="000000"/>
          <w:sz w:val="24"/>
          <w:szCs w:val="24"/>
        </w:rPr>
      </w:pPr>
    </w:p>
    <w:p w:rsidR="00663E67" w:rsidRPr="00090A5F" w:rsidRDefault="00663E67" w:rsidP="00663E67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>Pokud jde o závadu, která neovlivňuje přímo provozuschopnost CED, zavazuje se Dopravce tuto závadu odstranit nejpozději do 5 dní ode dne obdržení reklamace. V případě, že závadu není možné do 5 dní odstranit, vydá Dopravce písemné stanovisko s analýzou problému a harmonogramem postupu prací směřujících k odstranění zjištěné závady.</w:t>
      </w:r>
    </w:p>
    <w:p w:rsidR="00663E67" w:rsidRPr="00090A5F" w:rsidRDefault="00663E67" w:rsidP="00663E67">
      <w:pPr>
        <w:pStyle w:val="Odstavecseseznamem"/>
        <w:ind w:left="426"/>
        <w:rPr>
          <w:rFonts w:ascii="Arial" w:hAnsi="Arial"/>
          <w:color w:val="000000"/>
          <w:sz w:val="24"/>
          <w:szCs w:val="24"/>
        </w:rPr>
      </w:pPr>
    </w:p>
    <w:p w:rsidR="008C090C" w:rsidRPr="00090A5F" w:rsidRDefault="008C090C" w:rsidP="008C090C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>V případě, že Dopravce nedodrží lhůty na odstranění reklamovaných závad, které jsou uvedeny v bodu 22, anebo 23 tohoto článku Dodatku, zavazuje se zaplatit Objednateli smluvní pokutu ve výši 2.000,-Kč (slovy: dva tisíce korun českých) za každý den prodlení. Tuto částku nemůže Dopravce požadovat proplatit od Objednatele v žádné podobě.</w:t>
      </w:r>
    </w:p>
    <w:p w:rsidR="00663E67" w:rsidRPr="00090A5F" w:rsidRDefault="00663E67" w:rsidP="00663E67">
      <w:pPr>
        <w:pStyle w:val="Odstavecseseznamem"/>
        <w:rPr>
          <w:rFonts w:ascii="Arial" w:hAnsi="Arial"/>
          <w:color w:val="000000"/>
          <w:sz w:val="24"/>
          <w:szCs w:val="24"/>
        </w:rPr>
      </w:pPr>
    </w:p>
    <w:p w:rsidR="001F0028" w:rsidRPr="00090A5F" w:rsidRDefault="001F0028" w:rsidP="00664596">
      <w:pPr>
        <w:numPr>
          <w:ilvl w:val="0"/>
          <w:numId w:val="10"/>
        </w:numPr>
        <w:jc w:val="both"/>
        <w:rPr>
          <w:rFonts w:ascii="Arial" w:hAnsi="Arial"/>
          <w:color w:val="000000"/>
          <w:sz w:val="24"/>
          <w:szCs w:val="24"/>
        </w:rPr>
      </w:pPr>
      <w:r w:rsidRPr="00090A5F">
        <w:rPr>
          <w:rFonts w:ascii="Arial" w:hAnsi="Arial"/>
          <w:color w:val="000000"/>
          <w:sz w:val="24"/>
          <w:szCs w:val="24"/>
        </w:rPr>
        <w:t>Pro správu číselníků vozidel zapojených do CED slouží Dopravci aplikace „MPV Desktop“</w:t>
      </w:r>
      <w:r w:rsidR="006F68B3" w:rsidRPr="00090A5F">
        <w:rPr>
          <w:rFonts w:ascii="Arial" w:hAnsi="Arial"/>
          <w:color w:val="000000"/>
          <w:sz w:val="24"/>
          <w:szCs w:val="24"/>
        </w:rPr>
        <w:t xml:space="preserve"> (nebo jiná aplikace poskytnuta Koordinátorem)</w:t>
      </w:r>
      <w:r w:rsidRPr="00090A5F">
        <w:rPr>
          <w:rFonts w:ascii="Arial" w:hAnsi="Arial"/>
          <w:color w:val="000000"/>
          <w:sz w:val="24"/>
          <w:szCs w:val="24"/>
        </w:rPr>
        <w:t>, kterou Dopravce obdrží od Koordinátora. Tuto databázi číselníků svých vozidel je dopravce povinen naplnit nejpozději v den zapojení Dopravce do CED.</w:t>
      </w:r>
    </w:p>
    <w:p w:rsidR="002E1CBE" w:rsidRPr="00090A5F" w:rsidRDefault="002E1CBE" w:rsidP="002E1CBE">
      <w:pPr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1F0028" w:rsidRPr="00090A5F" w:rsidRDefault="001F0028" w:rsidP="001F002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CED bude sloužit také jako nástroj pro sledování návazností ve veřejné linkové dopravě na území Zlínského kraje. Pro tyto účely Koordinátor vytvoří dokument s názvem „Garance návazností VLD ZK“, který bude sloužit jako závazný manuál pro dispečerská stanoviště a bude v něm zakotvena funkce CED jako hlavního garanta návazností ve veřejné linkové dopravě na území Zlínského kraje. Pokyny CED, týkající se kontroly návazností, budou nadřazeny jednotlivým lokálním dispečinkům.</w:t>
      </w:r>
    </w:p>
    <w:p w:rsidR="00E813CB" w:rsidRPr="00090A5F" w:rsidRDefault="00E813CB" w:rsidP="00E813CB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E813CB" w:rsidRPr="00090A5F" w:rsidRDefault="00E813CB" w:rsidP="001F002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90A5F">
        <w:rPr>
          <w:rFonts w:ascii="Arial" w:hAnsi="Arial" w:cs="Arial"/>
          <w:sz w:val="24"/>
          <w:szCs w:val="24"/>
        </w:rPr>
        <w:t>Koordinátor si vyhrazuje právo na změnu obsahu a struktury informací, které dopravce zasílá do systému CED,</w:t>
      </w:r>
      <w:r w:rsidRPr="00090A5F">
        <w:rPr>
          <w:rFonts w:ascii="Arial" w:hAnsi="Arial"/>
          <w:sz w:val="24"/>
          <w:szCs w:val="24"/>
        </w:rPr>
        <w:t xml:space="preserve"> než jak je uvedeno v příloze č. 5 k Dodatku č. </w:t>
      </w:r>
      <w:r w:rsidR="003C5C5D" w:rsidRPr="00090A5F">
        <w:rPr>
          <w:rFonts w:ascii="Arial" w:hAnsi="Arial"/>
          <w:sz w:val="24"/>
          <w:szCs w:val="24"/>
        </w:rPr>
        <w:t>14</w:t>
      </w:r>
      <w:r w:rsidRPr="00090A5F">
        <w:rPr>
          <w:rFonts w:ascii="Arial" w:hAnsi="Arial"/>
          <w:sz w:val="24"/>
          <w:szCs w:val="24"/>
        </w:rPr>
        <w:t>.</w:t>
      </w:r>
      <w:r w:rsidR="00FB7669" w:rsidRPr="00090A5F">
        <w:rPr>
          <w:rFonts w:ascii="Arial" w:hAnsi="Arial"/>
          <w:sz w:val="24"/>
          <w:szCs w:val="24"/>
        </w:rPr>
        <w:t xml:space="preserve"> </w:t>
      </w:r>
    </w:p>
    <w:p w:rsidR="000E0DE1" w:rsidRPr="00090A5F" w:rsidRDefault="000E0DE1" w:rsidP="00C029A0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325AA" w:rsidRPr="00090A5F" w:rsidRDefault="00E325AA" w:rsidP="00C029A0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VIII.</w:t>
      </w: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Platnost a účinnost smlouvy</w:t>
      </w: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7BD" w:rsidRPr="00090A5F" w:rsidRDefault="005627BD" w:rsidP="00A66D8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Smlouva se uzavírá na dobu určitou do 1</w:t>
      </w:r>
      <w:r w:rsidR="00C551C2" w:rsidRPr="00090A5F">
        <w:rPr>
          <w:rFonts w:ascii="Arial" w:hAnsi="Arial" w:cs="Arial"/>
          <w:color w:val="000000"/>
          <w:sz w:val="24"/>
          <w:szCs w:val="24"/>
        </w:rPr>
        <w:t>4</w:t>
      </w:r>
      <w:r w:rsidRPr="00090A5F">
        <w:rPr>
          <w:rFonts w:ascii="Arial" w:hAnsi="Arial" w:cs="Arial"/>
          <w:color w:val="000000"/>
          <w:sz w:val="24"/>
          <w:szCs w:val="24"/>
        </w:rPr>
        <w:t>. 12. 2019. Smluvní strany budou písemným dodatkem k této smlouvě</w:t>
      </w:r>
      <w:r w:rsidR="00E10DD9" w:rsidRPr="00090A5F">
        <w:rPr>
          <w:rFonts w:ascii="Arial" w:hAnsi="Arial" w:cs="Arial"/>
          <w:color w:val="000000"/>
          <w:sz w:val="24"/>
          <w:szCs w:val="24"/>
        </w:rPr>
        <w:t>,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aktualizovat její text pro příslušný kalendářní rok. Ke každému dodatku smlouvy platnému pro příslušný kalendářní rok pak budou aktuálně připojeny rovněž přílohy č. 1, </w:t>
      </w:r>
      <w:r w:rsidR="0097068E" w:rsidRPr="00090A5F">
        <w:rPr>
          <w:rFonts w:ascii="Arial" w:hAnsi="Arial" w:cs="Arial"/>
          <w:color w:val="000000"/>
          <w:sz w:val="24"/>
          <w:szCs w:val="24"/>
        </w:rPr>
        <w:t xml:space="preserve">2 a 3 </w:t>
      </w:r>
      <w:r w:rsidRPr="00090A5F">
        <w:rPr>
          <w:rFonts w:ascii="Arial" w:hAnsi="Arial" w:cs="Arial"/>
          <w:color w:val="000000"/>
          <w:sz w:val="24"/>
          <w:szCs w:val="24"/>
        </w:rPr>
        <w:t>platné pro příslušný kalendářní rok. Tyto přílohy dopravce dodá objednateli ke schválení vždy v termínu do 15. listopadu pře</w:t>
      </w:r>
      <w:r w:rsidR="00B9731B" w:rsidRPr="00090A5F">
        <w:rPr>
          <w:rFonts w:ascii="Arial" w:hAnsi="Arial" w:cs="Arial"/>
          <w:color w:val="000000"/>
          <w:sz w:val="24"/>
          <w:szCs w:val="24"/>
        </w:rPr>
        <w:t>d</w:t>
      </w:r>
      <w:r w:rsidRPr="00090A5F">
        <w:rPr>
          <w:rFonts w:ascii="Arial" w:hAnsi="Arial" w:cs="Arial"/>
          <w:color w:val="000000"/>
          <w:sz w:val="24"/>
          <w:szCs w:val="24"/>
        </w:rPr>
        <w:t>cházejícímu příslušnému kalendářnímu roku.</w:t>
      </w:r>
      <w:r w:rsidR="00A66D82" w:rsidRPr="00090A5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664596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lastRenderedPageBreak/>
        <w:t>Povinnosti dopravce k finančnímu zúčtování, finančnímu vypořádání, případně k vrácení finančních prostředků ve vztahu k úhradám uskutečněným objednatelem přede dnem nabytí platnosti dodatku pro příslušný kalendářní rok nebo podle tohoto dodatku ve vztahu k předchozím kalendářním rokům, nejsou tímto dotčeny a zůstávají</w:t>
      </w:r>
      <w:r w:rsidR="00F772EE" w:rsidRPr="00090A5F">
        <w:rPr>
          <w:rFonts w:ascii="Arial" w:hAnsi="Arial" w:cs="Arial"/>
          <w:color w:val="000000"/>
          <w:sz w:val="24"/>
          <w:szCs w:val="24"/>
        </w:rPr>
        <w:t>,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co do obsahu a termínu plnění těchto povinností</w:t>
      </w:r>
      <w:r w:rsidR="00F772EE" w:rsidRPr="00090A5F">
        <w:rPr>
          <w:rFonts w:ascii="Arial" w:hAnsi="Arial" w:cs="Arial"/>
          <w:color w:val="000000"/>
          <w:sz w:val="24"/>
          <w:szCs w:val="24"/>
        </w:rPr>
        <w:t>,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platné.   </w:t>
      </w:r>
    </w:p>
    <w:p w:rsidR="008D658A" w:rsidRPr="00090A5F" w:rsidRDefault="008D658A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325AA" w:rsidRPr="00090A5F" w:rsidRDefault="00E325AA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6068" w:rsidRPr="00090A5F" w:rsidRDefault="00EC6068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IX.</w:t>
      </w:r>
    </w:p>
    <w:p w:rsidR="005627BD" w:rsidRPr="00090A5F" w:rsidRDefault="005627BD" w:rsidP="00C029A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>Výpověď smlouvy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6645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Obě smluvní strany mohou tuto smlouvu vypovědět, a to i bez udání důvodu </w:t>
      </w:r>
      <w:r w:rsidR="00473B59" w:rsidRPr="00090A5F">
        <w:rPr>
          <w:rFonts w:ascii="Arial" w:hAnsi="Arial" w:cs="Arial"/>
          <w:color w:val="000000"/>
          <w:sz w:val="24"/>
          <w:szCs w:val="24"/>
        </w:rPr>
        <w:t xml:space="preserve">pouze formou </w:t>
      </w:r>
      <w:r w:rsidRPr="00090A5F">
        <w:rPr>
          <w:rFonts w:ascii="Arial" w:hAnsi="Arial" w:cs="Arial"/>
          <w:color w:val="000000"/>
          <w:sz w:val="24"/>
          <w:szCs w:val="24"/>
        </w:rPr>
        <w:t>písemn</w:t>
      </w:r>
      <w:r w:rsidR="00473B59" w:rsidRPr="00090A5F">
        <w:rPr>
          <w:rFonts w:ascii="Arial" w:hAnsi="Arial" w:cs="Arial"/>
          <w:color w:val="000000"/>
          <w:sz w:val="24"/>
          <w:szCs w:val="24"/>
        </w:rPr>
        <w:t>é výpovědi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, přičemž výpovědní doba činí šest měsíců. Výpovědní doba začíná běžet od prvého dne měsíce následujícího po měsíci, v němž byla doručena výpověď druhé smluvní straně. </w:t>
      </w:r>
      <w:r w:rsidRPr="00090A5F">
        <w:rPr>
          <w:rFonts w:ascii="Arial" w:hAnsi="Arial" w:cs="Arial"/>
          <w:color w:val="000000"/>
          <w:sz w:val="24"/>
          <w:szCs w:val="24"/>
        </w:rPr>
        <w:tab/>
      </w:r>
    </w:p>
    <w:p w:rsidR="00907E15" w:rsidRPr="00090A5F" w:rsidRDefault="00907E15" w:rsidP="006645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07E15" w:rsidRPr="00090A5F" w:rsidRDefault="00907E15" w:rsidP="006645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X.</w:t>
      </w:r>
    </w:p>
    <w:p w:rsidR="005627BD" w:rsidRPr="00090A5F" w:rsidRDefault="005627BD" w:rsidP="00C029A0">
      <w:pPr>
        <w:spacing w:line="48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90A5F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Závěrečná ustanovení</w:t>
      </w:r>
    </w:p>
    <w:p w:rsidR="005627BD" w:rsidRPr="00090A5F" w:rsidRDefault="005627BD" w:rsidP="0050189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Tato smlouva může být změněna písemnými vzestupně číslovanými dodatky.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50189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Tato smlouva je vyhotovena ve čtyřech stejnopisech s platností originálu, přičemž každá strana obdrží po dvou vyhotoveních.  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pStyle w:val="Zkladntext"/>
        <w:rPr>
          <w:rFonts w:ascii="Arial" w:hAnsi="Arial" w:cs="Arial"/>
          <w:color w:val="000000"/>
        </w:rPr>
      </w:pPr>
    </w:p>
    <w:p w:rsidR="005627BD" w:rsidRPr="00090A5F" w:rsidRDefault="005627BD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Doložka dle § 23 zákona č. 129/2000 Sb., o krajích, ve znění pozdějších předpisů</w:t>
      </w:r>
    </w:p>
    <w:p w:rsidR="005627BD" w:rsidRPr="00090A5F" w:rsidRDefault="005627BD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Dodatek ke smlouvě schválen Zastupitelstvem Zlínského kraje</w:t>
      </w:r>
    </w:p>
    <w:p w:rsidR="005627BD" w:rsidRPr="00090A5F" w:rsidRDefault="005627BD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Dne</w:t>
      </w:r>
      <w:r w:rsidR="00A3424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3424E">
        <w:rPr>
          <w:rFonts w:ascii="Arial" w:hAnsi="Arial" w:cs="Arial"/>
          <w:color w:val="000000"/>
          <w:sz w:val="24"/>
          <w:szCs w:val="24"/>
        </w:rPr>
        <w:t>17.12.2018</w:t>
      </w:r>
      <w:proofErr w:type="gramEnd"/>
      <w:r w:rsidR="00C551C2" w:rsidRPr="00090A5F">
        <w:rPr>
          <w:rFonts w:ascii="Arial" w:hAnsi="Arial" w:cs="Arial"/>
          <w:color w:val="000000"/>
          <w:sz w:val="24"/>
          <w:szCs w:val="24"/>
        </w:rPr>
        <w:tab/>
      </w:r>
      <w:r w:rsidR="00192919" w:rsidRPr="00090A5F">
        <w:rPr>
          <w:rFonts w:ascii="Arial" w:hAnsi="Arial" w:cs="Arial"/>
          <w:color w:val="000000"/>
          <w:sz w:val="24"/>
          <w:szCs w:val="24"/>
        </w:rPr>
        <w:tab/>
      </w:r>
      <w:r w:rsidR="00192919" w:rsidRPr="00090A5F">
        <w:rPr>
          <w:rFonts w:ascii="Arial" w:hAnsi="Arial" w:cs="Arial"/>
          <w:color w:val="000000"/>
          <w:sz w:val="24"/>
          <w:szCs w:val="24"/>
        </w:rPr>
        <w:tab/>
      </w:r>
      <w:r w:rsidR="00192919" w:rsidRPr="00090A5F">
        <w:rPr>
          <w:rFonts w:ascii="Arial" w:hAnsi="Arial" w:cs="Arial"/>
          <w:color w:val="000000"/>
          <w:sz w:val="24"/>
          <w:szCs w:val="24"/>
        </w:rPr>
        <w:tab/>
      </w:r>
      <w:r w:rsidRPr="00090A5F">
        <w:rPr>
          <w:rFonts w:ascii="Arial" w:hAnsi="Arial" w:cs="Arial"/>
          <w:color w:val="000000"/>
          <w:sz w:val="24"/>
          <w:szCs w:val="24"/>
        </w:rPr>
        <w:t xml:space="preserve">, číslo usnesení </w:t>
      </w:r>
      <w:r w:rsidR="00A3424E">
        <w:rPr>
          <w:rFonts w:ascii="Arial" w:hAnsi="Arial" w:cs="Arial"/>
          <w:color w:val="000000"/>
          <w:sz w:val="24"/>
          <w:szCs w:val="24"/>
        </w:rPr>
        <w:t>0494/Z16/18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 xml:space="preserve">V Ostravě, dne  </w:t>
      </w:r>
      <w:r w:rsidR="00D36CCA">
        <w:rPr>
          <w:rFonts w:ascii="Arial" w:hAnsi="Arial" w:cs="Arial"/>
          <w:color w:val="000000"/>
          <w:sz w:val="24"/>
          <w:szCs w:val="24"/>
        </w:rPr>
        <w:t>7.12.2018</w:t>
      </w:r>
      <w:r w:rsidR="0027510E">
        <w:rPr>
          <w:rFonts w:ascii="Arial" w:hAnsi="Arial" w:cs="Arial"/>
          <w:color w:val="000000"/>
          <w:sz w:val="24"/>
          <w:szCs w:val="24"/>
        </w:rPr>
        <w:t xml:space="preserve">   </w:t>
      </w:r>
      <w:bookmarkStart w:id="0" w:name="_GoBack"/>
      <w:bookmarkEnd w:id="0"/>
      <w:r w:rsidR="000B6278" w:rsidRPr="00090A5F">
        <w:rPr>
          <w:rFonts w:ascii="Arial" w:hAnsi="Arial" w:cs="Arial"/>
          <w:color w:val="000000"/>
          <w:sz w:val="24"/>
          <w:szCs w:val="24"/>
        </w:rPr>
        <w:tab/>
      </w:r>
      <w:r w:rsidR="000B6278" w:rsidRPr="00090A5F">
        <w:rPr>
          <w:rFonts w:ascii="Arial" w:hAnsi="Arial" w:cs="Arial"/>
          <w:color w:val="000000"/>
          <w:sz w:val="24"/>
          <w:szCs w:val="24"/>
        </w:rPr>
        <w:tab/>
      </w:r>
      <w:r w:rsidR="000B6278" w:rsidRPr="00090A5F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Pr="00090A5F">
        <w:rPr>
          <w:rFonts w:ascii="Arial" w:hAnsi="Arial" w:cs="Arial"/>
          <w:color w:val="000000"/>
          <w:sz w:val="24"/>
          <w:szCs w:val="24"/>
        </w:rPr>
        <w:t xml:space="preserve">   </w:t>
      </w:r>
      <w:r w:rsidR="00192919" w:rsidRPr="00090A5F">
        <w:rPr>
          <w:rFonts w:ascii="Arial" w:hAnsi="Arial" w:cs="Arial"/>
          <w:color w:val="000000"/>
          <w:sz w:val="24"/>
          <w:szCs w:val="24"/>
        </w:rPr>
        <w:t xml:space="preserve">   </w:t>
      </w:r>
      <w:r w:rsidR="004F5CD3" w:rsidRPr="00090A5F">
        <w:rPr>
          <w:rFonts w:ascii="Arial" w:hAnsi="Arial" w:cs="Arial"/>
          <w:color w:val="000000"/>
          <w:sz w:val="24"/>
          <w:szCs w:val="24"/>
        </w:rPr>
        <w:t>Ve Zlíně, dne</w:t>
      </w:r>
      <w:r w:rsidR="004E4975" w:rsidRPr="00090A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3424E">
        <w:rPr>
          <w:rFonts w:ascii="Arial" w:hAnsi="Arial" w:cs="Arial"/>
          <w:color w:val="000000"/>
          <w:sz w:val="24"/>
          <w:szCs w:val="24"/>
        </w:rPr>
        <w:t>20.12.2018</w:t>
      </w:r>
      <w:proofErr w:type="gramEnd"/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……………………………………..                                  …………………………………..</w:t>
      </w:r>
    </w:p>
    <w:p w:rsidR="005627BD" w:rsidRPr="00090A5F" w:rsidRDefault="005627BD" w:rsidP="00C029A0">
      <w:pPr>
        <w:rPr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podpis a razítko dopravce                                               podpis a razítko objednatele</w:t>
      </w: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627BD" w:rsidRPr="00090A5F" w:rsidRDefault="005627BD" w:rsidP="00C029A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92919" w:rsidRPr="00090A5F" w:rsidRDefault="005627BD" w:rsidP="00192919">
      <w:pPr>
        <w:ind w:left="2123" w:hanging="2123"/>
        <w:jc w:val="both"/>
        <w:rPr>
          <w:rFonts w:ascii="Arial" w:hAnsi="Arial" w:cs="Arial"/>
          <w:color w:val="000000"/>
          <w:sz w:val="24"/>
          <w:szCs w:val="24"/>
        </w:rPr>
      </w:pPr>
      <w:r w:rsidRPr="00090A5F">
        <w:rPr>
          <w:rFonts w:ascii="Arial" w:hAnsi="Arial" w:cs="Arial"/>
          <w:color w:val="000000"/>
          <w:sz w:val="24"/>
          <w:szCs w:val="24"/>
        </w:rPr>
        <w:t>Přílohy:</w:t>
      </w:r>
    </w:p>
    <w:p w:rsidR="00192919" w:rsidRPr="00090A5F" w:rsidRDefault="00192919" w:rsidP="00192919">
      <w:pPr>
        <w:ind w:left="2123" w:hanging="705"/>
        <w:jc w:val="both"/>
        <w:rPr>
          <w:rFonts w:ascii="Arial" w:hAnsi="Arial"/>
          <w:sz w:val="24"/>
          <w:szCs w:val="24"/>
        </w:rPr>
      </w:pPr>
      <w:proofErr w:type="gramStart"/>
      <w:r w:rsidRPr="00090A5F">
        <w:rPr>
          <w:rFonts w:ascii="Arial" w:hAnsi="Arial"/>
          <w:sz w:val="24"/>
          <w:szCs w:val="24"/>
        </w:rPr>
        <w:t>č.1:</w:t>
      </w:r>
      <w:proofErr w:type="gramEnd"/>
      <w:r w:rsidRPr="00090A5F">
        <w:rPr>
          <w:rFonts w:ascii="Arial" w:hAnsi="Arial"/>
          <w:sz w:val="24"/>
          <w:szCs w:val="24"/>
        </w:rPr>
        <w:t xml:space="preserve"> </w:t>
      </w:r>
      <w:r w:rsidRPr="00090A5F">
        <w:rPr>
          <w:rFonts w:ascii="Arial" w:hAnsi="Arial"/>
          <w:sz w:val="24"/>
          <w:szCs w:val="24"/>
        </w:rPr>
        <w:tab/>
        <w:t>Seznam linek a spojů zařazených do základní dopravní</w:t>
      </w:r>
      <w:r w:rsidRPr="00090A5F">
        <w:rPr>
          <w:rFonts w:ascii="Arial" w:hAnsi="Arial"/>
          <w:sz w:val="24"/>
          <w:szCs w:val="24"/>
        </w:rPr>
        <w:br/>
      </w:r>
      <w:r w:rsidRPr="00090A5F">
        <w:rPr>
          <w:rFonts w:ascii="Arial" w:hAnsi="Arial"/>
          <w:sz w:val="24"/>
          <w:szCs w:val="24"/>
        </w:rPr>
        <w:tab/>
        <w:t>obslužnosti Zlínského kraje a dotčených mezikrajských linek zajišťovaných podle objednávky Zlínského kraje</w:t>
      </w:r>
    </w:p>
    <w:p w:rsidR="00192919" w:rsidRPr="00090A5F" w:rsidRDefault="00192919" w:rsidP="00192919">
      <w:pPr>
        <w:ind w:left="2123" w:hanging="705"/>
        <w:jc w:val="both"/>
        <w:rPr>
          <w:rFonts w:ascii="Arial" w:hAnsi="Arial"/>
          <w:sz w:val="24"/>
          <w:szCs w:val="24"/>
        </w:rPr>
      </w:pPr>
      <w:proofErr w:type="gramStart"/>
      <w:r w:rsidRPr="00090A5F">
        <w:rPr>
          <w:rFonts w:ascii="Arial" w:hAnsi="Arial"/>
          <w:sz w:val="24"/>
          <w:szCs w:val="24"/>
        </w:rPr>
        <w:t>č.2:</w:t>
      </w:r>
      <w:proofErr w:type="gramEnd"/>
      <w:r w:rsidRPr="00090A5F">
        <w:rPr>
          <w:rFonts w:ascii="Arial" w:hAnsi="Arial"/>
          <w:sz w:val="24"/>
          <w:szCs w:val="24"/>
        </w:rPr>
        <w:t xml:space="preserve"> </w:t>
      </w:r>
      <w:r w:rsidRPr="00090A5F">
        <w:rPr>
          <w:rFonts w:ascii="Arial" w:hAnsi="Arial"/>
          <w:sz w:val="24"/>
          <w:szCs w:val="24"/>
        </w:rPr>
        <w:tab/>
      </w:r>
      <w:r w:rsidRPr="00090A5F">
        <w:rPr>
          <w:rFonts w:ascii="Arial" w:hAnsi="Arial"/>
          <w:sz w:val="24"/>
          <w:szCs w:val="24"/>
        </w:rPr>
        <w:tab/>
        <w:t xml:space="preserve">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 </w:t>
      </w:r>
    </w:p>
    <w:p w:rsidR="00192919" w:rsidRPr="00090A5F" w:rsidRDefault="00192919" w:rsidP="00192919">
      <w:pPr>
        <w:ind w:left="1843" w:hanging="425"/>
        <w:jc w:val="both"/>
        <w:rPr>
          <w:rFonts w:ascii="Arial" w:hAnsi="Arial"/>
          <w:sz w:val="24"/>
          <w:szCs w:val="24"/>
        </w:rPr>
      </w:pPr>
      <w:proofErr w:type="gramStart"/>
      <w:r w:rsidRPr="00090A5F">
        <w:rPr>
          <w:rFonts w:ascii="Arial" w:hAnsi="Arial"/>
          <w:sz w:val="24"/>
          <w:szCs w:val="24"/>
        </w:rPr>
        <w:t>č.3:</w:t>
      </w:r>
      <w:proofErr w:type="gramEnd"/>
      <w:r w:rsidRPr="00090A5F">
        <w:rPr>
          <w:rFonts w:ascii="Arial" w:hAnsi="Arial"/>
          <w:sz w:val="24"/>
          <w:szCs w:val="24"/>
        </w:rPr>
        <w:t xml:space="preserve"> </w:t>
      </w:r>
      <w:r w:rsidRPr="00090A5F">
        <w:rPr>
          <w:rFonts w:ascii="Arial" w:hAnsi="Arial"/>
          <w:sz w:val="24"/>
          <w:szCs w:val="24"/>
        </w:rPr>
        <w:tab/>
        <w:t>Ce</w:t>
      </w:r>
      <w:r w:rsidR="00C551C2" w:rsidRPr="00090A5F">
        <w:rPr>
          <w:rFonts w:ascii="Arial" w:hAnsi="Arial"/>
          <w:sz w:val="24"/>
          <w:szCs w:val="24"/>
        </w:rPr>
        <w:t>ník jízdného platný k 1. 1. 2019</w:t>
      </w:r>
      <w:r w:rsidRPr="00090A5F">
        <w:rPr>
          <w:rFonts w:ascii="Arial" w:hAnsi="Arial"/>
          <w:sz w:val="24"/>
          <w:szCs w:val="24"/>
        </w:rPr>
        <w:t xml:space="preserve">  </w:t>
      </w:r>
    </w:p>
    <w:p w:rsidR="00192919" w:rsidRPr="008F6715" w:rsidRDefault="00192919" w:rsidP="00192919">
      <w:pPr>
        <w:ind w:left="1843" w:hanging="425"/>
        <w:jc w:val="both"/>
        <w:rPr>
          <w:rFonts w:ascii="Arial" w:hAnsi="Arial"/>
          <w:sz w:val="24"/>
          <w:szCs w:val="24"/>
        </w:rPr>
      </w:pPr>
      <w:proofErr w:type="gramStart"/>
      <w:r w:rsidRPr="00090A5F">
        <w:rPr>
          <w:rFonts w:ascii="Arial" w:hAnsi="Arial"/>
          <w:sz w:val="24"/>
          <w:szCs w:val="24"/>
        </w:rPr>
        <w:t>č.4:</w:t>
      </w:r>
      <w:proofErr w:type="gramEnd"/>
      <w:r w:rsidRPr="00090A5F">
        <w:rPr>
          <w:rFonts w:ascii="Arial" w:hAnsi="Arial"/>
          <w:sz w:val="24"/>
          <w:szCs w:val="24"/>
        </w:rPr>
        <w:t xml:space="preserve"> </w:t>
      </w:r>
      <w:r w:rsidRPr="00090A5F">
        <w:rPr>
          <w:rFonts w:ascii="Arial" w:hAnsi="Arial"/>
          <w:sz w:val="24"/>
          <w:szCs w:val="24"/>
        </w:rPr>
        <w:tab/>
        <w:t>Vzor Výkazu skutečně ujetých km a tržeb podle linek</w:t>
      </w:r>
    </w:p>
    <w:p w:rsidR="00A66D82" w:rsidRPr="008F6715" w:rsidRDefault="00A66D82" w:rsidP="00192919">
      <w:pPr>
        <w:ind w:left="1425" w:hanging="1425"/>
        <w:jc w:val="both"/>
        <w:rPr>
          <w:rFonts w:ascii="Arial" w:hAnsi="Arial"/>
          <w:sz w:val="24"/>
          <w:szCs w:val="24"/>
        </w:rPr>
      </w:pPr>
    </w:p>
    <w:sectPr w:rsidR="00A66D82" w:rsidRPr="008F6715" w:rsidSect="00964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1F" w:rsidRDefault="00DA761F" w:rsidP="0049053E">
      <w:r>
        <w:separator/>
      </w:r>
    </w:p>
  </w:endnote>
  <w:endnote w:type="continuationSeparator" w:id="0">
    <w:p w:rsidR="00DA761F" w:rsidRDefault="00DA761F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BD" w:rsidRDefault="0096227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10E">
      <w:rPr>
        <w:noProof/>
      </w:rPr>
      <w:t>8</w:t>
    </w:r>
    <w:r>
      <w:rPr>
        <w:noProof/>
      </w:rPr>
      <w:fldChar w:fldCharType="end"/>
    </w:r>
  </w:p>
  <w:p w:rsidR="005627BD" w:rsidRDefault="005627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1F" w:rsidRDefault="00DA761F" w:rsidP="0049053E">
      <w:r>
        <w:separator/>
      </w:r>
    </w:p>
  </w:footnote>
  <w:footnote w:type="continuationSeparator" w:id="0">
    <w:p w:rsidR="00DA761F" w:rsidRDefault="00DA761F" w:rsidP="0049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915" w:rsidRDefault="00EE391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C85"/>
    <w:multiLevelType w:val="hybridMultilevel"/>
    <w:tmpl w:val="F93ABC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301D"/>
    <w:multiLevelType w:val="hybridMultilevel"/>
    <w:tmpl w:val="CA7A54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F2A90"/>
    <w:multiLevelType w:val="hybridMultilevel"/>
    <w:tmpl w:val="211C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CA2"/>
    <w:multiLevelType w:val="hybridMultilevel"/>
    <w:tmpl w:val="55B092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E505A"/>
    <w:multiLevelType w:val="hybridMultilevel"/>
    <w:tmpl w:val="B80AC600"/>
    <w:lvl w:ilvl="0" w:tplc="D08062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C82156"/>
    <w:multiLevelType w:val="hybridMultilevel"/>
    <w:tmpl w:val="4E98A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A5240"/>
    <w:multiLevelType w:val="hybridMultilevel"/>
    <w:tmpl w:val="943AE0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B2046"/>
    <w:multiLevelType w:val="hybridMultilevel"/>
    <w:tmpl w:val="9488AC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D717E"/>
    <w:multiLevelType w:val="hybridMultilevel"/>
    <w:tmpl w:val="9760B3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5E71B4"/>
    <w:multiLevelType w:val="hybridMultilevel"/>
    <w:tmpl w:val="0628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32B79"/>
    <w:multiLevelType w:val="hybridMultilevel"/>
    <w:tmpl w:val="08FE4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91E92"/>
    <w:multiLevelType w:val="hybridMultilevel"/>
    <w:tmpl w:val="CB889A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C11BCC"/>
    <w:multiLevelType w:val="hybridMultilevel"/>
    <w:tmpl w:val="47DE9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04CE"/>
    <w:multiLevelType w:val="hybridMultilevel"/>
    <w:tmpl w:val="0D667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7063B"/>
    <w:multiLevelType w:val="hybridMultilevel"/>
    <w:tmpl w:val="B726C0F0"/>
    <w:lvl w:ilvl="0" w:tplc="AAD2A75A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8"/>
  </w:num>
  <w:num w:numId="16">
    <w:abstractNumId w:val="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1B1C"/>
    <w:rsid w:val="000075B9"/>
    <w:rsid w:val="00010223"/>
    <w:rsid w:val="00021D72"/>
    <w:rsid w:val="000234A3"/>
    <w:rsid w:val="00023AC0"/>
    <w:rsid w:val="000258D6"/>
    <w:rsid w:val="00027F43"/>
    <w:rsid w:val="000310A6"/>
    <w:rsid w:val="00035BAB"/>
    <w:rsid w:val="00040648"/>
    <w:rsid w:val="000430B2"/>
    <w:rsid w:val="000500A6"/>
    <w:rsid w:val="00052FFB"/>
    <w:rsid w:val="00054D07"/>
    <w:rsid w:val="0005754B"/>
    <w:rsid w:val="00060691"/>
    <w:rsid w:val="000671EF"/>
    <w:rsid w:val="00072737"/>
    <w:rsid w:val="0007375E"/>
    <w:rsid w:val="00077B76"/>
    <w:rsid w:val="00077BC3"/>
    <w:rsid w:val="00081E7E"/>
    <w:rsid w:val="000845F6"/>
    <w:rsid w:val="00086028"/>
    <w:rsid w:val="000868B7"/>
    <w:rsid w:val="0008740F"/>
    <w:rsid w:val="00087CAA"/>
    <w:rsid w:val="00087F51"/>
    <w:rsid w:val="00090A5F"/>
    <w:rsid w:val="000B0AF6"/>
    <w:rsid w:val="000B3387"/>
    <w:rsid w:val="000B5795"/>
    <w:rsid w:val="000B6278"/>
    <w:rsid w:val="000C1CA4"/>
    <w:rsid w:val="000C2DA5"/>
    <w:rsid w:val="000C3FAD"/>
    <w:rsid w:val="000C52D1"/>
    <w:rsid w:val="000D0D78"/>
    <w:rsid w:val="000D2494"/>
    <w:rsid w:val="000D513C"/>
    <w:rsid w:val="000E0DE1"/>
    <w:rsid w:val="000F3C7E"/>
    <w:rsid w:val="000F7956"/>
    <w:rsid w:val="00102A1C"/>
    <w:rsid w:val="001039EA"/>
    <w:rsid w:val="00110CE3"/>
    <w:rsid w:val="0011111B"/>
    <w:rsid w:val="00114322"/>
    <w:rsid w:val="0011444F"/>
    <w:rsid w:val="00114970"/>
    <w:rsid w:val="00114B13"/>
    <w:rsid w:val="0011640E"/>
    <w:rsid w:val="00116411"/>
    <w:rsid w:val="00120E43"/>
    <w:rsid w:val="001307E1"/>
    <w:rsid w:val="0013202B"/>
    <w:rsid w:val="001431C0"/>
    <w:rsid w:val="00144DEA"/>
    <w:rsid w:val="00146D07"/>
    <w:rsid w:val="00146D0C"/>
    <w:rsid w:val="0015561F"/>
    <w:rsid w:val="001558EA"/>
    <w:rsid w:val="00161183"/>
    <w:rsid w:val="00162F00"/>
    <w:rsid w:val="00170C2D"/>
    <w:rsid w:val="00171A83"/>
    <w:rsid w:val="001729EF"/>
    <w:rsid w:val="00180C7F"/>
    <w:rsid w:val="00181E8C"/>
    <w:rsid w:val="00183338"/>
    <w:rsid w:val="00184FCF"/>
    <w:rsid w:val="00185562"/>
    <w:rsid w:val="001858CB"/>
    <w:rsid w:val="00187DFA"/>
    <w:rsid w:val="00192608"/>
    <w:rsid w:val="00192919"/>
    <w:rsid w:val="001934B2"/>
    <w:rsid w:val="00193546"/>
    <w:rsid w:val="0019452F"/>
    <w:rsid w:val="001A1084"/>
    <w:rsid w:val="001A1231"/>
    <w:rsid w:val="001A41A4"/>
    <w:rsid w:val="001A7345"/>
    <w:rsid w:val="001B09D1"/>
    <w:rsid w:val="001B583C"/>
    <w:rsid w:val="001C17FC"/>
    <w:rsid w:val="001C1CAA"/>
    <w:rsid w:val="001C3894"/>
    <w:rsid w:val="001C5BB8"/>
    <w:rsid w:val="001C6F69"/>
    <w:rsid w:val="001C72F1"/>
    <w:rsid w:val="001D1F5E"/>
    <w:rsid w:val="001E2411"/>
    <w:rsid w:val="001F0028"/>
    <w:rsid w:val="001F3D4D"/>
    <w:rsid w:val="001F60BE"/>
    <w:rsid w:val="002010D7"/>
    <w:rsid w:val="00204ACF"/>
    <w:rsid w:val="00211E2F"/>
    <w:rsid w:val="0021301A"/>
    <w:rsid w:val="00214649"/>
    <w:rsid w:val="002147C9"/>
    <w:rsid w:val="00217760"/>
    <w:rsid w:val="00220C74"/>
    <w:rsid w:val="0022125C"/>
    <w:rsid w:val="0022150E"/>
    <w:rsid w:val="0022254C"/>
    <w:rsid w:val="00224D51"/>
    <w:rsid w:val="00225881"/>
    <w:rsid w:val="00226EF6"/>
    <w:rsid w:val="00227C84"/>
    <w:rsid w:val="00233B1A"/>
    <w:rsid w:val="00236DF6"/>
    <w:rsid w:val="0023743B"/>
    <w:rsid w:val="00240CA6"/>
    <w:rsid w:val="00243E7A"/>
    <w:rsid w:val="00244F59"/>
    <w:rsid w:val="00251839"/>
    <w:rsid w:val="00251D51"/>
    <w:rsid w:val="002558BA"/>
    <w:rsid w:val="0025778C"/>
    <w:rsid w:val="0026111E"/>
    <w:rsid w:val="00262021"/>
    <w:rsid w:val="00263F93"/>
    <w:rsid w:val="00270F6A"/>
    <w:rsid w:val="002741DC"/>
    <w:rsid w:val="0027510E"/>
    <w:rsid w:val="00275A8F"/>
    <w:rsid w:val="002779CD"/>
    <w:rsid w:val="00280A92"/>
    <w:rsid w:val="00284F5F"/>
    <w:rsid w:val="002879F2"/>
    <w:rsid w:val="00291D27"/>
    <w:rsid w:val="002A1294"/>
    <w:rsid w:val="002A1945"/>
    <w:rsid w:val="002A1E0E"/>
    <w:rsid w:val="002A1F91"/>
    <w:rsid w:val="002B18E3"/>
    <w:rsid w:val="002B4173"/>
    <w:rsid w:val="002B4CF0"/>
    <w:rsid w:val="002B4E34"/>
    <w:rsid w:val="002C4FC2"/>
    <w:rsid w:val="002D463B"/>
    <w:rsid w:val="002D6DDA"/>
    <w:rsid w:val="002D7A58"/>
    <w:rsid w:val="002E0DC8"/>
    <w:rsid w:val="002E1101"/>
    <w:rsid w:val="002E1CBE"/>
    <w:rsid w:val="002F2E4F"/>
    <w:rsid w:val="002F3AD7"/>
    <w:rsid w:val="002F3E39"/>
    <w:rsid w:val="002F59A3"/>
    <w:rsid w:val="002F7CC8"/>
    <w:rsid w:val="003003D5"/>
    <w:rsid w:val="00310CE1"/>
    <w:rsid w:val="0031148C"/>
    <w:rsid w:val="003120DC"/>
    <w:rsid w:val="00321DB1"/>
    <w:rsid w:val="003226B9"/>
    <w:rsid w:val="0032785F"/>
    <w:rsid w:val="00327E3F"/>
    <w:rsid w:val="00330064"/>
    <w:rsid w:val="003309ED"/>
    <w:rsid w:val="00332CEF"/>
    <w:rsid w:val="00334920"/>
    <w:rsid w:val="003423BA"/>
    <w:rsid w:val="00352758"/>
    <w:rsid w:val="00354C66"/>
    <w:rsid w:val="00357785"/>
    <w:rsid w:val="00361142"/>
    <w:rsid w:val="003647B5"/>
    <w:rsid w:val="00365682"/>
    <w:rsid w:val="003662BC"/>
    <w:rsid w:val="003668C0"/>
    <w:rsid w:val="00371857"/>
    <w:rsid w:val="0037610E"/>
    <w:rsid w:val="003803C9"/>
    <w:rsid w:val="00380A8A"/>
    <w:rsid w:val="00396B36"/>
    <w:rsid w:val="003A2223"/>
    <w:rsid w:val="003A3290"/>
    <w:rsid w:val="003A45E4"/>
    <w:rsid w:val="003A4FE8"/>
    <w:rsid w:val="003A686E"/>
    <w:rsid w:val="003A78AE"/>
    <w:rsid w:val="003B021F"/>
    <w:rsid w:val="003B245D"/>
    <w:rsid w:val="003B24A2"/>
    <w:rsid w:val="003B33E9"/>
    <w:rsid w:val="003B3C66"/>
    <w:rsid w:val="003B5B0F"/>
    <w:rsid w:val="003B6479"/>
    <w:rsid w:val="003B738E"/>
    <w:rsid w:val="003C02E7"/>
    <w:rsid w:val="003C3498"/>
    <w:rsid w:val="003C381D"/>
    <w:rsid w:val="003C55F3"/>
    <w:rsid w:val="003C5C5D"/>
    <w:rsid w:val="003C66F8"/>
    <w:rsid w:val="003D0AAE"/>
    <w:rsid w:val="003D5F37"/>
    <w:rsid w:val="003D7816"/>
    <w:rsid w:val="003E0261"/>
    <w:rsid w:val="003E21C4"/>
    <w:rsid w:val="003E5F4F"/>
    <w:rsid w:val="003E6F35"/>
    <w:rsid w:val="003F26B7"/>
    <w:rsid w:val="00403766"/>
    <w:rsid w:val="00403C66"/>
    <w:rsid w:val="004072E7"/>
    <w:rsid w:val="004126AB"/>
    <w:rsid w:val="004146DA"/>
    <w:rsid w:val="00414734"/>
    <w:rsid w:val="0043164C"/>
    <w:rsid w:val="00434B71"/>
    <w:rsid w:val="00436A4D"/>
    <w:rsid w:val="00440DC0"/>
    <w:rsid w:val="0044183E"/>
    <w:rsid w:val="004442D2"/>
    <w:rsid w:val="00457AEB"/>
    <w:rsid w:val="00463951"/>
    <w:rsid w:val="00467225"/>
    <w:rsid w:val="00470F5A"/>
    <w:rsid w:val="0047185D"/>
    <w:rsid w:val="004734A1"/>
    <w:rsid w:val="00473B59"/>
    <w:rsid w:val="00473E49"/>
    <w:rsid w:val="00474795"/>
    <w:rsid w:val="00474BE8"/>
    <w:rsid w:val="00475250"/>
    <w:rsid w:val="00477E86"/>
    <w:rsid w:val="00480337"/>
    <w:rsid w:val="0049053E"/>
    <w:rsid w:val="004A4184"/>
    <w:rsid w:val="004A5D8F"/>
    <w:rsid w:val="004B5566"/>
    <w:rsid w:val="004B71EE"/>
    <w:rsid w:val="004B7E76"/>
    <w:rsid w:val="004C0675"/>
    <w:rsid w:val="004C25AF"/>
    <w:rsid w:val="004C4B71"/>
    <w:rsid w:val="004D1487"/>
    <w:rsid w:val="004D2B22"/>
    <w:rsid w:val="004D437E"/>
    <w:rsid w:val="004D48F4"/>
    <w:rsid w:val="004D6157"/>
    <w:rsid w:val="004E1384"/>
    <w:rsid w:val="004E4335"/>
    <w:rsid w:val="004E4975"/>
    <w:rsid w:val="004F48BE"/>
    <w:rsid w:val="004F58A0"/>
    <w:rsid w:val="004F5CD3"/>
    <w:rsid w:val="00500B75"/>
    <w:rsid w:val="0050135A"/>
    <w:rsid w:val="00501896"/>
    <w:rsid w:val="00506757"/>
    <w:rsid w:val="00506864"/>
    <w:rsid w:val="00506FA6"/>
    <w:rsid w:val="0050782F"/>
    <w:rsid w:val="00514604"/>
    <w:rsid w:val="00526D3C"/>
    <w:rsid w:val="005272D3"/>
    <w:rsid w:val="00532738"/>
    <w:rsid w:val="005338FB"/>
    <w:rsid w:val="005508BF"/>
    <w:rsid w:val="00554669"/>
    <w:rsid w:val="0055664D"/>
    <w:rsid w:val="005627BD"/>
    <w:rsid w:val="00563D13"/>
    <w:rsid w:val="00566A73"/>
    <w:rsid w:val="00567382"/>
    <w:rsid w:val="00580A48"/>
    <w:rsid w:val="005817D6"/>
    <w:rsid w:val="005839A6"/>
    <w:rsid w:val="00586704"/>
    <w:rsid w:val="0059007D"/>
    <w:rsid w:val="005912F5"/>
    <w:rsid w:val="0059149D"/>
    <w:rsid w:val="00593A82"/>
    <w:rsid w:val="0059702A"/>
    <w:rsid w:val="005A1E75"/>
    <w:rsid w:val="005A554A"/>
    <w:rsid w:val="005A7723"/>
    <w:rsid w:val="005C2B66"/>
    <w:rsid w:val="005C393B"/>
    <w:rsid w:val="005C5B0E"/>
    <w:rsid w:val="005D1396"/>
    <w:rsid w:val="005D3320"/>
    <w:rsid w:val="005D598F"/>
    <w:rsid w:val="005D5D97"/>
    <w:rsid w:val="005E21CA"/>
    <w:rsid w:val="005E5638"/>
    <w:rsid w:val="005E5E2C"/>
    <w:rsid w:val="005F0F61"/>
    <w:rsid w:val="005F3626"/>
    <w:rsid w:val="00604331"/>
    <w:rsid w:val="006063D7"/>
    <w:rsid w:val="00606AF9"/>
    <w:rsid w:val="006077E3"/>
    <w:rsid w:val="00610555"/>
    <w:rsid w:val="00610F02"/>
    <w:rsid w:val="00611E25"/>
    <w:rsid w:val="00612B9F"/>
    <w:rsid w:val="00613AFA"/>
    <w:rsid w:val="0061567C"/>
    <w:rsid w:val="006159E6"/>
    <w:rsid w:val="00616A33"/>
    <w:rsid w:val="006221A8"/>
    <w:rsid w:val="00634419"/>
    <w:rsid w:val="006362E3"/>
    <w:rsid w:val="00640B52"/>
    <w:rsid w:val="006537A2"/>
    <w:rsid w:val="00653E59"/>
    <w:rsid w:val="006556C3"/>
    <w:rsid w:val="00662A88"/>
    <w:rsid w:val="00663E67"/>
    <w:rsid w:val="00664596"/>
    <w:rsid w:val="00665E3B"/>
    <w:rsid w:val="006726A2"/>
    <w:rsid w:val="00676760"/>
    <w:rsid w:val="006810C5"/>
    <w:rsid w:val="006813C5"/>
    <w:rsid w:val="00681564"/>
    <w:rsid w:val="00684180"/>
    <w:rsid w:val="00685081"/>
    <w:rsid w:val="006857B1"/>
    <w:rsid w:val="006866A5"/>
    <w:rsid w:val="00686CD3"/>
    <w:rsid w:val="00695D1F"/>
    <w:rsid w:val="006A3FA1"/>
    <w:rsid w:val="006A7907"/>
    <w:rsid w:val="006B07EB"/>
    <w:rsid w:val="006B4915"/>
    <w:rsid w:val="006D67D4"/>
    <w:rsid w:val="006D793C"/>
    <w:rsid w:val="006E25E5"/>
    <w:rsid w:val="006E4528"/>
    <w:rsid w:val="006E4753"/>
    <w:rsid w:val="006E4CCF"/>
    <w:rsid w:val="006E4E94"/>
    <w:rsid w:val="006E7F0F"/>
    <w:rsid w:val="006F3223"/>
    <w:rsid w:val="006F68B3"/>
    <w:rsid w:val="007011C6"/>
    <w:rsid w:val="00702C4C"/>
    <w:rsid w:val="00713713"/>
    <w:rsid w:val="0071676B"/>
    <w:rsid w:val="0071732D"/>
    <w:rsid w:val="00722F14"/>
    <w:rsid w:val="007260F2"/>
    <w:rsid w:val="0072641D"/>
    <w:rsid w:val="00730C54"/>
    <w:rsid w:val="007363EC"/>
    <w:rsid w:val="00741294"/>
    <w:rsid w:val="00743D07"/>
    <w:rsid w:val="007558ED"/>
    <w:rsid w:val="00756CE1"/>
    <w:rsid w:val="007570D9"/>
    <w:rsid w:val="00763086"/>
    <w:rsid w:val="00773536"/>
    <w:rsid w:val="00773DC6"/>
    <w:rsid w:val="007760BB"/>
    <w:rsid w:val="007762B9"/>
    <w:rsid w:val="00783518"/>
    <w:rsid w:val="0078394D"/>
    <w:rsid w:val="00791FDB"/>
    <w:rsid w:val="007946CA"/>
    <w:rsid w:val="007954A6"/>
    <w:rsid w:val="00796201"/>
    <w:rsid w:val="007A41EA"/>
    <w:rsid w:val="007A5DFC"/>
    <w:rsid w:val="007B17EE"/>
    <w:rsid w:val="007B33CC"/>
    <w:rsid w:val="007C4038"/>
    <w:rsid w:val="007C68DC"/>
    <w:rsid w:val="007D091D"/>
    <w:rsid w:val="007D1172"/>
    <w:rsid w:val="007E06C0"/>
    <w:rsid w:val="007E08CA"/>
    <w:rsid w:val="007E2226"/>
    <w:rsid w:val="007E647C"/>
    <w:rsid w:val="007E70ED"/>
    <w:rsid w:val="007F1721"/>
    <w:rsid w:val="007F6DCA"/>
    <w:rsid w:val="007F7A84"/>
    <w:rsid w:val="00801BAA"/>
    <w:rsid w:val="00801EC5"/>
    <w:rsid w:val="00803031"/>
    <w:rsid w:val="00804971"/>
    <w:rsid w:val="0080720F"/>
    <w:rsid w:val="008103B1"/>
    <w:rsid w:val="00811845"/>
    <w:rsid w:val="00811AEB"/>
    <w:rsid w:val="00812187"/>
    <w:rsid w:val="008128D9"/>
    <w:rsid w:val="00816012"/>
    <w:rsid w:val="008172BB"/>
    <w:rsid w:val="008255B1"/>
    <w:rsid w:val="008273F6"/>
    <w:rsid w:val="00827FFC"/>
    <w:rsid w:val="00830C4D"/>
    <w:rsid w:val="00831CCE"/>
    <w:rsid w:val="008345D9"/>
    <w:rsid w:val="00840784"/>
    <w:rsid w:val="00843D6A"/>
    <w:rsid w:val="00847714"/>
    <w:rsid w:val="00853FCA"/>
    <w:rsid w:val="008643F0"/>
    <w:rsid w:val="00864AF1"/>
    <w:rsid w:val="00874192"/>
    <w:rsid w:val="00876632"/>
    <w:rsid w:val="00880250"/>
    <w:rsid w:val="00880D11"/>
    <w:rsid w:val="008819DB"/>
    <w:rsid w:val="00882466"/>
    <w:rsid w:val="0088577B"/>
    <w:rsid w:val="00885BEE"/>
    <w:rsid w:val="00886F9D"/>
    <w:rsid w:val="00887FF5"/>
    <w:rsid w:val="00895B8D"/>
    <w:rsid w:val="0089625A"/>
    <w:rsid w:val="008A6806"/>
    <w:rsid w:val="008A732F"/>
    <w:rsid w:val="008B121F"/>
    <w:rsid w:val="008C090C"/>
    <w:rsid w:val="008C0A38"/>
    <w:rsid w:val="008C3EA7"/>
    <w:rsid w:val="008D658A"/>
    <w:rsid w:val="008D6EEE"/>
    <w:rsid w:val="008E0497"/>
    <w:rsid w:val="008E11A1"/>
    <w:rsid w:val="008E3BA0"/>
    <w:rsid w:val="008E4F21"/>
    <w:rsid w:val="008E50BD"/>
    <w:rsid w:val="008E65DE"/>
    <w:rsid w:val="008E7180"/>
    <w:rsid w:val="008F14C2"/>
    <w:rsid w:val="008F1527"/>
    <w:rsid w:val="008F1AD2"/>
    <w:rsid w:val="008F2C36"/>
    <w:rsid w:val="008F560C"/>
    <w:rsid w:val="008F59AF"/>
    <w:rsid w:val="008F6715"/>
    <w:rsid w:val="009030D6"/>
    <w:rsid w:val="00905083"/>
    <w:rsid w:val="009054AE"/>
    <w:rsid w:val="00907E15"/>
    <w:rsid w:val="00911C70"/>
    <w:rsid w:val="00914C7F"/>
    <w:rsid w:val="0093296E"/>
    <w:rsid w:val="0094293D"/>
    <w:rsid w:val="009469AF"/>
    <w:rsid w:val="009478C1"/>
    <w:rsid w:val="00952F5C"/>
    <w:rsid w:val="00957FA3"/>
    <w:rsid w:val="00962279"/>
    <w:rsid w:val="00963C5A"/>
    <w:rsid w:val="00964B92"/>
    <w:rsid w:val="00964D73"/>
    <w:rsid w:val="00967548"/>
    <w:rsid w:val="0097068E"/>
    <w:rsid w:val="00974EF7"/>
    <w:rsid w:val="0098549C"/>
    <w:rsid w:val="009920E4"/>
    <w:rsid w:val="009A01B6"/>
    <w:rsid w:val="009A07D9"/>
    <w:rsid w:val="009A138A"/>
    <w:rsid w:val="009A516F"/>
    <w:rsid w:val="009A5FC3"/>
    <w:rsid w:val="009B203C"/>
    <w:rsid w:val="009B37DE"/>
    <w:rsid w:val="009B398E"/>
    <w:rsid w:val="009B3E97"/>
    <w:rsid w:val="009B5E98"/>
    <w:rsid w:val="009C1B8E"/>
    <w:rsid w:val="009C28CD"/>
    <w:rsid w:val="009C7053"/>
    <w:rsid w:val="009D0C64"/>
    <w:rsid w:val="009D1A6C"/>
    <w:rsid w:val="009D26D5"/>
    <w:rsid w:val="009D551D"/>
    <w:rsid w:val="009D59D7"/>
    <w:rsid w:val="009E63E1"/>
    <w:rsid w:val="009F29D3"/>
    <w:rsid w:val="009F6C7C"/>
    <w:rsid w:val="00A01608"/>
    <w:rsid w:val="00A01B3E"/>
    <w:rsid w:val="00A028A9"/>
    <w:rsid w:val="00A03838"/>
    <w:rsid w:val="00A04FE2"/>
    <w:rsid w:val="00A07885"/>
    <w:rsid w:val="00A12D09"/>
    <w:rsid w:val="00A130FA"/>
    <w:rsid w:val="00A15D9A"/>
    <w:rsid w:val="00A206B4"/>
    <w:rsid w:val="00A22AD4"/>
    <w:rsid w:val="00A244AB"/>
    <w:rsid w:val="00A2537D"/>
    <w:rsid w:val="00A3424E"/>
    <w:rsid w:val="00A37EE9"/>
    <w:rsid w:val="00A41A80"/>
    <w:rsid w:val="00A436D7"/>
    <w:rsid w:val="00A45402"/>
    <w:rsid w:val="00A4645B"/>
    <w:rsid w:val="00A544C7"/>
    <w:rsid w:val="00A54A87"/>
    <w:rsid w:val="00A65D77"/>
    <w:rsid w:val="00A66D82"/>
    <w:rsid w:val="00A66F69"/>
    <w:rsid w:val="00A70740"/>
    <w:rsid w:val="00A7090C"/>
    <w:rsid w:val="00A72272"/>
    <w:rsid w:val="00A84849"/>
    <w:rsid w:val="00A859B0"/>
    <w:rsid w:val="00A8740D"/>
    <w:rsid w:val="00A90D41"/>
    <w:rsid w:val="00A93EC7"/>
    <w:rsid w:val="00A95085"/>
    <w:rsid w:val="00AA121D"/>
    <w:rsid w:val="00AA16DE"/>
    <w:rsid w:val="00AA39E2"/>
    <w:rsid w:val="00AB4245"/>
    <w:rsid w:val="00AB5C02"/>
    <w:rsid w:val="00AC0808"/>
    <w:rsid w:val="00AC0F7F"/>
    <w:rsid w:val="00AC7EBE"/>
    <w:rsid w:val="00AD49A7"/>
    <w:rsid w:val="00AD52F1"/>
    <w:rsid w:val="00AD7BC5"/>
    <w:rsid w:val="00AE10FE"/>
    <w:rsid w:val="00AE1354"/>
    <w:rsid w:val="00AE235B"/>
    <w:rsid w:val="00AF15DF"/>
    <w:rsid w:val="00AF5069"/>
    <w:rsid w:val="00AF54CE"/>
    <w:rsid w:val="00AF66BB"/>
    <w:rsid w:val="00B00E47"/>
    <w:rsid w:val="00B135DA"/>
    <w:rsid w:val="00B14308"/>
    <w:rsid w:val="00B2198C"/>
    <w:rsid w:val="00B225B3"/>
    <w:rsid w:val="00B237D9"/>
    <w:rsid w:val="00B30BA1"/>
    <w:rsid w:val="00B30BA9"/>
    <w:rsid w:val="00B31C5D"/>
    <w:rsid w:val="00B36847"/>
    <w:rsid w:val="00B36865"/>
    <w:rsid w:val="00B47078"/>
    <w:rsid w:val="00B47929"/>
    <w:rsid w:val="00B51E92"/>
    <w:rsid w:val="00B521A1"/>
    <w:rsid w:val="00B5489E"/>
    <w:rsid w:val="00B54B7D"/>
    <w:rsid w:val="00B5572E"/>
    <w:rsid w:val="00B56ADF"/>
    <w:rsid w:val="00B56D85"/>
    <w:rsid w:val="00B62226"/>
    <w:rsid w:val="00B6449C"/>
    <w:rsid w:val="00B678C7"/>
    <w:rsid w:val="00B71703"/>
    <w:rsid w:val="00B76DD3"/>
    <w:rsid w:val="00B815D8"/>
    <w:rsid w:val="00B82743"/>
    <w:rsid w:val="00B82905"/>
    <w:rsid w:val="00B82F48"/>
    <w:rsid w:val="00B85F1A"/>
    <w:rsid w:val="00B8795C"/>
    <w:rsid w:val="00B90AFD"/>
    <w:rsid w:val="00B90EA4"/>
    <w:rsid w:val="00B936D5"/>
    <w:rsid w:val="00B9731B"/>
    <w:rsid w:val="00BA250D"/>
    <w:rsid w:val="00BB0625"/>
    <w:rsid w:val="00BB5A6D"/>
    <w:rsid w:val="00BB67BE"/>
    <w:rsid w:val="00BC169E"/>
    <w:rsid w:val="00BC2065"/>
    <w:rsid w:val="00BC5571"/>
    <w:rsid w:val="00BC68A9"/>
    <w:rsid w:val="00BC6A62"/>
    <w:rsid w:val="00BE0EFD"/>
    <w:rsid w:val="00BE30E2"/>
    <w:rsid w:val="00BE7A48"/>
    <w:rsid w:val="00BF21A0"/>
    <w:rsid w:val="00BF358F"/>
    <w:rsid w:val="00C029A0"/>
    <w:rsid w:val="00C0386A"/>
    <w:rsid w:val="00C1390F"/>
    <w:rsid w:val="00C213F8"/>
    <w:rsid w:val="00C223DF"/>
    <w:rsid w:val="00C22A4C"/>
    <w:rsid w:val="00C24B7A"/>
    <w:rsid w:val="00C3193A"/>
    <w:rsid w:val="00C319D9"/>
    <w:rsid w:val="00C3406D"/>
    <w:rsid w:val="00C34E65"/>
    <w:rsid w:val="00C435D9"/>
    <w:rsid w:val="00C50A6C"/>
    <w:rsid w:val="00C51E7A"/>
    <w:rsid w:val="00C52F1F"/>
    <w:rsid w:val="00C53583"/>
    <w:rsid w:val="00C551C2"/>
    <w:rsid w:val="00C5551C"/>
    <w:rsid w:val="00C604D1"/>
    <w:rsid w:val="00C72E62"/>
    <w:rsid w:val="00C77668"/>
    <w:rsid w:val="00C817DF"/>
    <w:rsid w:val="00C82485"/>
    <w:rsid w:val="00C83773"/>
    <w:rsid w:val="00C84169"/>
    <w:rsid w:val="00C850E1"/>
    <w:rsid w:val="00C8643A"/>
    <w:rsid w:val="00C931F6"/>
    <w:rsid w:val="00C97120"/>
    <w:rsid w:val="00CA01AB"/>
    <w:rsid w:val="00CA2078"/>
    <w:rsid w:val="00CA2ABF"/>
    <w:rsid w:val="00CA5AA0"/>
    <w:rsid w:val="00CA7321"/>
    <w:rsid w:val="00CB0075"/>
    <w:rsid w:val="00CB5006"/>
    <w:rsid w:val="00CB726F"/>
    <w:rsid w:val="00CC3AD2"/>
    <w:rsid w:val="00CC5C67"/>
    <w:rsid w:val="00CD0D87"/>
    <w:rsid w:val="00CD21FE"/>
    <w:rsid w:val="00CD3CCF"/>
    <w:rsid w:val="00CD669C"/>
    <w:rsid w:val="00CE1284"/>
    <w:rsid w:val="00CE2E00"/>
    <w:rsid w:val="00CE65F3"/>
    <w:rsid w:val="00CE7CC7"/>
    <w:rsid w:val="00CF2796"/>
    <w:rsid w:val="00D071C2"/>
    <w:rsid w:val="00D077E1"/>
    <w:rsid w:val="00D1112C"/>
    <w:rsid w:val="00D1390B"/>
    <w:rsid w:val="00D17945"/>
    <w:rsid w:val="00D17E99"/>
    <w:rsid w:val="00D228C8"/>
    <w:rsid w:val="00D22C2C"/>
    <w:rsid w:val="00D36CCA"/>
    <w:rsid w:val="00D432EF"/>
    <w:rsid w:val="00D4571D"/>
    <w:rsid w:val="00D45F75"/>
    <w:rsid w:val="00D52B2B"/>
    <w:rsid w:val="00D87E7F"/>
    <w:rsid w:val="00D90DBC"/>
    <w:rsid w:val="00D91F98"/>
    <w:rsid w:val="00D935F0"/>
    <w:rsid w:val="00DA28AC"/>
    <w:rsid w:val="00DA4486"/>
    <w:rsid w:val="00DA5191"/>
    <w:rsid w:val="00DA761F"/>
    <w:rsid w:val="00DB0A77"/>
    <w:rsid w:val="00DB7F09"/>
    <w:rsid w:val="00DC0136"/>
    <w:rsid w:val="00DC3980"/>
    <w:rsid w:val="00DC5229"/>
    <w:rsid w:val="00DC52D0"/>
    <w:rsid w:val="00DC652C"/>
    <w:rsid w:val="00DD09FC"/>
    <w:rsid w:val="00DD3CCB"/>
    <w:rsid w:val="00DD4B5B"/>
    <w:rsid w:val="00DD505D"/>
    <w:rsid w:val="00DE6237"/>
    <w:rsid w:val="00DF6EB2"/>
    <w:rsid w:val="00E02DDE"/>
    <w:rsid w:val="00E03891"/>
    <w:rsid w:val="00E0396D"/>
    <w:rsid w:val="00E0697C"/>
    <w:rsid w:val="00E10DD9"/>
    <w:rsid w:val="00E11B0D"/>
    <w:rsid w:val="00E1441E"/>
    <w:rsid w:val="00E20D93"/>
    <w:rsid w:val="00E21AB9"/>
    <w:rsid w:val="00E236E7"/>
    <w:rsid w:val="00E23FE1"/>
    <w:rsid w:val="00E26124"/>
    <w:rsid w:val="00E325AA"/>
    <w:rsid w:val="00E4175C"/>
    <w:rsid w:val="00E43B03"/>
    <w:rsid w:val="00E43EDF"/>
    <w:rsid w:val="00E45724"/>
    <w:rsid w:val="00E56189"/>
    <w:rsid w:val="00E61575"/>
    <w:rsid w:val="00E61715"/>
    <w:rsid w:val="00E635C6"/>
    <w:rsid w:val="00E65935"/>
    <w:rsid w:val="00E72FEE"/>
    <w:rsid w:val="00E73231"/>
    <w:rsid w:val="00E813CB"/>
    <w:rsid w:val="00E8336E"/>
    <w:rsid w:val="00E9185F"/>
    <w:rsid w:val="00E92A24"/>
    <w:rsid w:val="00E9542D"/>
    <w:rsid w:val="00E97B57"/>
    <w:rsid w:val="00EA2582"/>
    <w:rsid w:val="00EB3070"/>
    <w:rsid w:val="00EC6068"/>
    <w:rsid w:val="00EC699A"/>
    <w:rsid w:val="00ED0C1B"/>
    <w:rsid w:val="00ED65F7"/>
    <w:rsid w:val="00ED7935"/>
    <w:rsid w:val="00EE3915"/>
    <w:rsid w:val="00EE5E6B"/>
    <w:rsid w:val="00EE6677"/>
    <w:rsid w:val="00EF1FF2"/>
    <w:rsid w:val="00EF401B"/>
    <w:rsid w:val="00F03857"/>
    <w:rsid w:val="00F03C68"/>
    <w:rsid w:val="00F03E1D"/>
    <w:rsid w:val="00F04C5B"/>
    <w:rsid w:val="00F058B7"/>
    <w:rsid w:val="00F07403"/>
    <w:rsid w:val="00F105B7"/>
    <w:rsid w:val="00F10793"/>
    <w:rsid w:val="00F10B25"/>
    <w:rsid w:val="00F135AE"/>
    <w:rsid w:val="00F16FB6"/>
    <w:rsid w:val="00F1733C"/>
    <w:rsid w:val="00F21134"/>
    <w:rsid w:val="00F2343D"/>
    <w:rsid w:val="00F24D30"/>
    <w:rsid w:val="00F2500B"/>
    <w:rsid w:val="00F26756"/>
    <w:rsid w:val="00F34036"/>
    <w:rsid w:val="00F34EED"/>
    <w:rsid w:val="00F40786"/>
    <w:rsid w:val="00F411D1"/>
    <w:rsid w:val="00F414A4"/>
    <w:rsid w:val="00F44A5E"/>
    <w:rsid w:val="00F514DD"/>
    <w:rsid w:val="00F52157"/>
    <w:rsid w:val="00F5347F"/>
    <w:rsid w:val="00F5350A"/>
    <w:rsid w:val="00F54567"/>
    <w:rsid w:val="00F5702B"/>
    <w:rsid w:val="00F62170"/>
    <w:rsid w:val="00F64B5C"/>
    <w:rsid w:val="00F66F00"/>
    <w:rsid w:val="00F76E6C"/>
    <w:rsid w:val="00F772EE"/>
    <w:rsid w:val="00F81FB6"/>
    <w:rsid w:val="00F861C3"/>
    <w:rsid w:val="00F90691"/>
    <w:rsid w:val="00F90798"/>
    <w:rsid w:val="00F91FC5"/>
    <w:rsid w:val="00F9378F"/>
    <w:rsid w:val="00F9572E"/>
    <w:rsid w:val="00F96766"/>
    <w:rsid w:val="00F9757C"/>
    <w:rsid w:val="00FA3F35"/>
    <w:rsid w:val="00FA6A61"/>
    <w:rsid w:val="00FB168B"/>
    <w:rsid w:val="00FB58DB"/>
    <w:rsid w:val="00FB7669"/>
    <w:rsid w:val="00FC2EC7"/>
    <w:rsid w:val="00FC3785"/>
    <w:rsid w:val="00FD003C"/>
    <w:rsid w:val="00FD1EAC"/>
    <w:rsid w:val="00FE63E8"/>
    <w:rsid w:val="00FF7A2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8EC50"/>
  <w15:docId w15:val="{572D17C1-9816-4FBA-9170-F39BD5F0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uiPriority w:val="99"/>
    <w:qFormat/>
    <w:rsid w:val="00C029A0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aliases w:val="Ctrl+3"/>
    <w:basedOn w:val="Normln"/>
    <w:next w:val="Normln"/>
    <w:link w:val="Nadpis3Char"/>
    <w:uiPriority w:val="99"/>
    <w:qFormat/>
    <w:rsid w:val="00C029A0"/>
    <w:pPr>
      <w:keepNext/>
      <w:jc w:val="both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link w:val="Nadpis2"/>
    <w:uiPriority w:val="99"/>
    <w:rsid w:val="00C029A0"/>
    <w:rPr>
      <w:b/>
      <w:bCs/>
      <w:sz w:val="28"/>
      <w:szCs w:val="28"/>
    </w:rPr>
  </w:style>
  <w:style w:type="character" w:customStyle="1" w:styleId="Nadpis3Char">
    <w:name w:val="Nadpis 3 Char"/>
    <w:aliases w:val="Ctrl+3 Char"/>
    <w:link w:val="Nadpis3"/>
    <w:uiPriority w:val="99"/>
    <w:rsid w:val="00C029A0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C029A0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C029A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uiPriority w:val="99"/>
    <w:semiHidden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42D2"/>
  </w:style>
  <w:style w:type="character" w:customStyle="1" w:styleId="TextkomenteChar">
    <w:name w:val="Text komentáře Char"/>
    <w:basedOn w:val="Standardnpsmoodstavce"/>
    <w:link w:val="Textkomente"/>
    <w:uiPriority w:val="99"/>
    <w:rsid w:val="004442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42D2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4442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442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663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C7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8A20-17E5-42D0-B0C2-49A37E68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2767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fusek</dc:creator>
  <cp:keywords/>
  <dc:description/>
  <cp:lastModifiedBy>Novák Martin</cp:lastModifiedBy>
  <cp:revision>4</cp:revision>
  <cp:lastPrinted>2018-11-09T06:32:00Z</cp:lastPrinted>
  <dcterms:created xsi:type="dcterms:W3CDTF">2018-12-20T14:12:00Z</dcterms:created>
  <dcterms:modified xsi:type="dcterms:W3CDTF">2018-12-20T14:46:00Z</dcterms:modified>
</cp:coreProperties>
</file>