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AA39FBD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>
          <w:rPr>
            <w:b w:val="0"/>
          </w:rPr>
        </w:sdtEndPr>
        <w:sdtContent>
          <w:r w:rsidR="00295705">
            <w:rPr>
              <w:rFonts w:ascii="Times New Roman" w:hAnsi="Times New Roman"/>
              <w:b/>
              <w:sz w:val="20"/>
              <w:szCs w:val="20"/>
            </w:rPr>
            <w:t>IM0254486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295705">
            <w:rPr>
              <w:rFonts w:ascii="Times New Roman" w:hAnsi="Times New Roman"/>
              <w:b/>
              <w:sz w:val="20"/>
              <w:szCs w:val="20"/>
            </w:rPr>
            <w:t>2018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3EB404F2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295705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379E3C1E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623F6">
        <w:rPr>
          <w:rFonts w:ascii="Times New Roman" w:hAnsi="Times New Roman"/>
          <w:sz w:val="20"/>
          <w:szCs w:val="20"/>
        </w:rPr>
        <w:t>x</w:t>
      </w:r>
    </w:p>
    <w:p w14:paraId="5D588656" w14:textId="4579938C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623F6">
        <w:rPr>
          <w:rFonts w:ascii="Times New Roman" w:hAnsi="Times New Roman"/>
          <w:sz w:val="20"/>
          <w:szCs w:val="20"/>
        </w:rPr>
        <w:t>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6F932CA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623F6">
        <w:rPr>
          <w:rFonts w:ascii="Times New Roman" w:hAnsi="Times New Roman"/>
          <w:sz w:val="20"/>
          <w:szCs w:val="20"/>
        </w:rPr>
        <w:t>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19076F85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623F6">
        <w:rPr>
          <w:rFonts w:ascii="Times New Roman" w:hAnsi="Times New Roman"/>
          <w:sz w:val="20"/>
          <w:szCs w:val="20"/>
        </w:rPr>
        <w:t>x</w:t>
      </w:r>
    </w:p>
    <w:p w14:paraId="5D588661" w14:textId="42A68211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2623F6">
        <w:rPr>
          <w:rFonts w:ascii="Times New Roman" w:hAnsi="Times New Roman"/>
          <w:sz w:val="20"/>
          <w:szCs w:val="20"/>
        </w:rPr>
        <w:t>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3D784BC5" w:rsidR="00005106" w:rsidRPr="00116F46" w:rsidRDefault="002F111C" w:rsidP="00295705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295705" w:rsidRPr="00295705">
            <w:rPr>
              <w:rFonts w:ascii="Times New Roman" w:hAnsi="Times New Roman"/>
              <w:sz w:val="20"/>
              <w:szCs w:val="20"/>
            </w:rPr>
            <w:t xml:space="preserve">IM0254486 - Financování 2018 - podmínky výpočtu bonifikací za </w:t>
          </w:r>
          <w:proofErr w:type="spellStart"/>
          <w:r w:rsidR="00295705" w:rsidRPr="00295705">
            <w:rPr>
              <w:rFonts w:ascii="Times New Roman" w:hAnsi="Times New Roman"/>
              <w:sz w:val="20"/>
              <w:szCs w:val="20"/>
            </w:rPr>
            <w:t>eRecepty</w:t>
          </w:r>
          <w:proofErr w:type="spellEnd"/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336B6587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295705">
            <w:rPr>
              <w:rFonts w:ascii="Times New Roman" w:hAnsi="Times New Roman"/>
              <w:sz w:val="20"/>
              <w:szCs w:val="20"/>
            </w:rPr>
            <w:t>79 200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80F72BC" w:rsidR="00295705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03B17C6E" w14:textId="77777777" w:rsidR="00295705" w:rsidRDefault="002957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3A2B254B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295705">
            <w:rPr>
              <w:rFonts w:ascii="Times New Roman" w:hAnsi="Times New Roman"/>
              <w:sz w:val="20"/>
              <w:szCs w:val="20"/>
            </w:rPr>
            <w:t>7 pracovních dní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76C50A8C" w:rsidR="00734C21" w:rsidRPr="001110F1" w:rsidRDefault="002623F6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1475A68" w:rsidR="003E6E94" w:rsidRPr="001110F1" w:rsidRDefault="002623F6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E196413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295705" w:rsidRPr="00295705">
            <w:rPr>
              <w:rFonts w:ascii="Times New Roman" w:hAnsi="Times New Roman"/>
              <w:sz w:val="20"/>
              <w:szCs w:val="20"/>
            </w:rPr>
            <w:t>IM0254486_J0</w:t>
          </w:r>
          <w:r w:rsidR="00295705">
            <w:rPr>
              <w:rFonts w:ascii="Times New Roman" w:hAnsi="Times New Roman"/>
              <w:sz w:val="20"/>
              <w:szCs w:val="20"/>
            </w:rPr>
            <w:t>0485_2018_tracksheet_v1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54B12D7D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623F6">
        <w:rPr>
          <w:rFonts w:ascii="Times New Roman" w:hAnsi="Times New Roman"/>
          <w:sz w:val="20"/>
          <w:szCs w:val="20"/>
        </w:rPr>
        <w:t>17.12.2018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19641F4D" w:rsidR="00EC2D52" w:rsidRPr="00116F46" w:rsidRDefault="002623F6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1545576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295705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51145F3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2623F6">
        <w:rPr>
          <w:rFonts w:ascii="Times New Roman" w:hAnsi="Times New Roman"/>
          <w:sz w:val="20"/>
          <w:szCs w:val="20"/>
        </w:rPr>
        <w:t>17.12.2018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311194D5" w:rsidR="00140B23" w:rsidRPr="00116F46" w:rsidRDefault="002623F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804D06E" w:rsidR="00140B23" w:rsidRPr="00116F46" w:rsidRDefault="002623F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D8046" w14:textId="77777777" w:rsidR="000E081D" w:rsidRDefault="000E081D" w:rsidP="00E02EED">
      <w:pPr>
        <w:spacing w:after="0" w:line="240" w:lineRule="auto"/>
      </w:pPr>
      <w:r>
        <w:separator/>
      </w:r>
    </w:p>
  </w:endnote>
  <w:endnote w:type="continuationSeparator" w:id="0">
    <w:p w14:paraId="68C814F4" w14:textId="77777777" w:rsidR="000E081D" w:rsidRDefault="000E081D" w:rsidP="00E02EED">
      <w:pPr>
        <w:spacing w:after="0" w:line="240" w:lineRule="auto"/>
      </w:pPr>
      <w:r>
        <w:continuationSeparator/>
      </w:r>
    </w:p>
  </w:endnote>
  <w:endnote w:type="continuationNotice" w:id="1">
    <w:p w14:paraId="3FB4F0C7" w14:textId="77777777" w:rsidR="000E081D" w:rsidRDefault="000E0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A9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D7FC8" w14:textId="77777777" w:rsidR="000E081D" w:rsidRDefault="000E081D" w:rsidP="00E02EED">
      <w:pPr>
        <w:spacing w:after="0" w:line="240" w:lineRule="auto"/>
      </w:pPr>
      <w:r>
        <w:separator/>
      </w:r>
    </w:p>
  </w:footnote>
  <w:footnote w:type="continuationSeparator" w:id="0">
    <w:p w14:paraId="306261B4" w14:textId="77777777" w:rsidR="000E081D" w:rsidRDefault="000E081D" w:rsidP="00E02EED">
      <w:pPr>
        <w:spacing w:after="0" w:line="240" w:lineRule="auto"/>
      </w:pPr>
      <w:r>
        <w:continuationSeparator/>
      </w:r>
    </w:p>
  </w:footnote>
  <w:footnote w:type="continuationNotice" w:id="1">
    <w:p w14:paraId="5F952649" w14:textId="77777777" w:rsidR="000E081D" w:rsidRDefault="000E0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09C9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081D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23F6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5705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23A41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0CA9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0329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C390A"/>
    <w:rsid w:val="00415923"/>
    <w:rsid w:val="00526A24"/>
    <w:rsid w:val="007F145D"/>
    <w:rsid w:val="00857A79"/>
    <w:rsid w:val="00C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9DA346-7A39-4289-A09D-A963B8D7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2018-12-19T14:50:00Z</dcterms:created>
  <dcterms:modified xsi:type="dcterms:W3CDTF">2018-12-19T14:50:00Z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