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E4" w:rsidRPr="0027740F" w:rsidRDefault="00A211E4" w:rsidP="00A211E4">
      <w:pPr>
        <w:pStyle w:val="Nzev"/>
        <w:rPr>
          <w:sz w:val="32"/>
          <w:szCs w:val="32"/>
        </w:rPr>
      </w:pPr>
      <w:r w:rsidRPr="0027740F">
        <w:rPr>
          <w:sz w:val="32"/>
          <w:szCs w:val="32"/>
        </w:rPr>
        <w:t>Příkazní smlouva na „Provedení výkonu činnosti zadavatele“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uzavřená podle § 2430 a násl. zákona č. 89/2012 Sb., občanského zákoníku, ve znění pozdějších předpisů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  <w:u w:val="single"/>
        </w:rPr>
      </w:pPr>
      <w:r>
        <w:rPr>
          <w:sz w:val="20"/>
          <w:szCs w:val="20"/>
        </w:rPr>
        <w:t>Smluvní strany</w:t>
      </w:r>
      <w:r>
        <w:rPr>
          <w:sz w:val="20"/>
          <w:szCs w:val="20"/>
        </w:rPr>
        <w:br/>
      </w: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Příkazce:</w:t>
      </w: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07065">
        <w:rPr>
          <w:b/>
          <w:sz w:val="20"/>
          <w:szCs w:val="20"/>
        </w:rPr>
        <w:t>Univerzita Karlova v Praze, Ústav jazykové a odborné přípravy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se sídlem Vratislavova 10/29, 128 00 Praha 2 </w:t>
      </w:r>
      <w:r>
        <w:rPr>
          <w:sz w:val="20"/>
          <w:szCs w:val="20"/>
        </w:rPr>
        <w:br/>
        <w:t>zastoupený: ředitelem ústavu Mgr. Janem Podroužkem</w:t>
      </w:r>
      <w:r>
        <w:rPr>
          <w:sz w:val="20"/>
          <w:szCs w:val="20"/>
        </w:rPr>
        <w:br/>
        <w:t>IČ: 00216208, DIČ: CZ00216208</w:t>
      </w:r>
      <w:r>
        <w:rPr>
          <w:sz w:val="20"/>
          <w:szCs w:val="20"/>
        </w:rPr>
        <w:br/>
        <w:t>bank. spojení: Komerční banka a.s.</w:t>
      </w:r>
      <w:r>
        <w:rPr>
          <w:sz w:val="20"/>
          <w:szCs w:val="20"/>
        </w:rPr>
        <w:br/>
        <w:t>č. účtu: 83732011 / 0100</w:t>
      </w: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Příkazník:</w:t>
      </w:r>
    </w:p>
    <w:p w:rsidR="00A211E4" w:rsidRPr="00EE794A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D92861">
        <w:rPr>
          <w:b/>
          <w:sz w:val="20"/>
          <w:szCs w:val="20"/>
        </w:rPr>
        <w:t>VALUE ADDED, a.s.</w:t>
      </w:r>
      <w:r w:rsidRPr="00D92861">
        <w:rPr>
          <w:sz w:val="20"/>
          <w:szCs w:val="20"/>
        </w:rPr>
        <w:br/>
        <w:t>se sídlem Opletalova 958/27, 11000 Praha 1</w:t>
      </w:r>
      <w:r w:rsidRPr="00D92861">
        <w:rPr>
          <w:sz w:val="20"/>
          <w:szCs w:val="20"/>
        </w:rPr>
        <w:br/>
        <w:t>jednající  ing. Petrem Čermákem, členem představenstva</w:t>
      </w:r>
      <w:r w:rsidRPr="00D92861">
        <w:rPr>
          <w:sz w:val="20"/>
          <w:szCs w:val="20"/>
        </w:rPr>
        <w:br/>
        <w:t>IČ: 26130521, DIČ: CZ26130521</w:t>
      </w:r>
      <w:r w:rsidRPr="00D92861">
        <w:rPr>
          <w:sz w:val="20"/>
          <w:szCs w:val="20"/>
        </w:rPr>
        <w:br/>
        <w:t>bank. spojení: ČSOB, a.s.</w:t>
      </w:r>
      <w:r w:rsidRPr="00D92861">
        <w:rPr>
          <w:sz w:val="20"/>
          <w:szCs w:val="20"/>
        </w:rPr>
        <w:br/>
        <w:t xml:space="preserve">č. účtu: </w:t>
      </w:r>
      <w:r w:rsidRPr="00D92861">
        <w:rPr>
          <w:bCs/>
          <w:sz w:val="20"/>
          <w:szCs w:val="20"/>
        </w:rPr>
        <w:t>482 973 023 / 0300</w:t>
      </w:r>
      <w:r w:rsidRPr="00D92861">
        <w:rPr>
          <w:sz w:val="20"/>
          <w:szCs w:val="20"/>
        </w:rPr>
        <w:br/>
        <w:t>zapsaná v obch. rejstříku vedeném Městským. soudem v Praze v oddíle B, vložka 9756</w:t>
      </w:r>
      <w:r w:rsidRPr="00D92861">
        <w:rPr>
          <w:sz w:val="20"/>
          <w:szCs w:val="20"/>
        </w:rPr>
        <w:br/>
        <w:t xml:space="preserve">tel.: </w:t>
      </w:r>
      <w:r>
        <w:rPr>
          <w:sz w:val="20"/>
          <w:szCs w:val="20"/>
        </w:rPr>
        <w:t>xxxxxxxxxxxxxx</w:t>
      </w:r>
      <w:r w:rsidRPr="00D92861">
        <w:rPr>
          <w:sz w:val="20"/>
          <w:szCs w:val="20"/>
        </w:rPr>
        <w:t xml:space="preserve">, fax.: </w:t>
      </w:r>
      <w:r>
        <w:rPr>
          <w:sz w:val="20"/>
          <w:szCs w:val="20"/>
        </w:rPr>
        <w:t>xxxxxxxxxxxxxxxxx</w:t>
      </w:r>
    </w:p>
    <w:p w:rsidR="00A211E4" w:rsidRDefault="00A211E4" w:rsidP="00A211E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uzavírají tuto příkazní smlouvu: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902F11">
        <w:rPr>
          <w:b/>
          <w:sz w:val="20"/>
          <w:szCs w:val="20"/>
        </w:rPr>
        <w:t>Předmět smlouvy</w:t>
      </w:r>
    </w:p>
    <w:p w:rsidR="00A211E4" w:rsidRPr="00902F11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 xml:space="preserve">Předmětem smlouvy je zajištění a realizace zadavatelských činností vyplývajících ze znění zákona </w:t>
      </w:r>
      <w:r>
        <w:rPr>
          <w:sz w:val="20"/>
          <w:szCs w:val="20"/>
        </w:rPr>
        <w:br/>
        <w:t>č. 137/2006 Sb., o veřejných zakázkách, ve znění pozdějších předpisů (dále jen „ZVZ“), pro zadání nadlimitní veřejné zakázky na služby „</w:t>
      </w:r>
      <w:r>
        <w:rPr>
          <w:b/>
          <w:sz w:val="20"/>
          <w:szCs w:val="20"/>
        </w:rPr>
        <w:t>UK – ÚJOP – projektová dokumentace na rekonstrukci zámku Zahrádky</w:t>
      </w:r>
      <w:r>
        <w:rPr>
          <w:sz w:val="20"/>
          <w:szCs w:val="20"/>
        </w:rPr>
        <w:t>“.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 xml:space="preserve">Zajištěním a realizací zadavatelské činnosti se podle této smlouvy rozumí uskutečnění v tomto článku dále uvedených právních úkonů jménem příkazce nebo uskutečnění jiné, dále uvedené činnosti, a to na účet příkazce. 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Kde plnění úkolu nevyžaduje provedení právního úkonu, předání zprávy příkazci apod., je příkazník povinen příkazci na jeho žádost splnění svého úkolu dostatečně prokázat. Tím není dotčena povinnost příkazníka informovat příkazce o plnění této smlouvy.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Příkazce současně podpisem této smlouvy uděluje příkazníkovi plnou moc ke všem právním úkonům, které bude příkazník jménem příkazce vykonávat na základě této smlouvy.</w:t>
      </w:r>
    </w:p>
    <w:p w:rsidR="00A211E4" w:rsidRPr="00BB738B" w:rsidRDefault="00A211E4" w:rsidP="00A211E4">
      <w:pPr>
        <w:widowControl w:val="0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BB738B">
        <w:rPr>
          <w:sz w:val="20"/>
          <w:szCs w:val="20"/>
        </w:rPr>
        <w:t xml:space="preserve">5. </w:t>
      </w:r>
      <w:r w:rsidRPr="00BB738B">
        <w:rPr>
          <w:sz w:val="20"/>
          <w:szCs w:val="20"/>
        </w:rPr>
        <w:tab/>
        <w:t xml:space="preserve">Příkazník se zavazuje v rámci výše uvedeného </w:t>
      </w:r>
      <w:r w:rsidRPr="00BB738B">
        <w:rPr>
          <w:bCs/>
          <w:sz w:val="20"/>
          <w:szCs w:val="20"/>
        </w:rPr>
        <w:t>řízení k provedení</w:t>
      </w:r>
      <w:r w:rsidRPr="00BB738B">
        <w:rPr>
          <w:sz w:val="20"/>
          <w:szCs w:val="20"/>
        </w:rPr>
        <w:t xml:space="preserve">: </w:t>
      </w:r>
    </w:p>
    <w:p w:rsidR="00A211E4" w:rsidRDefault="00A211E4" w:rsidP="00A211E4">
      <w:pPr>
        <w:ind w:left="426"/>
        <w:jc w:val="both"/>
        <w:rPr>
          <w:sz w:val="20"/>
          <w:szCs w:val="20"/>
        </w:rPr>
      </w:pPr>
    </w:p>
    <w:p w:rsidR="00A211E4" w:rsidRDefault="00A211E4" w:rsidP="00A211E4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I. etapa: Činnosti spojené s přípravou Zadávací dokumentace: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>zpracování návrhu zadávacích podmínek, harmonogramu zadávacího řízení a jejich konzultace se zadavatelem,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>kontrola úplnosti projektové dokumentace či podkladů od jiných subjektů, které budou součástí zadávací dokumentace,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>zpracování a zveřejnění předběžného oznámení,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>zpracování a zveřejnění odůvodnění účelnosti veřejné zakázky,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>zpracování návrhu požadavků na prokázání kvalifikace a jejich konzultace se zadavatelem,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zpracování návrhu dílčích hodnotících kritérií a jejich konzultace se zadavatelem (v případě zvolení ekonomické výhodnosti nabídky jako základního hodnotícího kritéria),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>zpracování a zveřejnění oznámení o zakázce,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sestavení zadávací dokumentace, v případě listinné podoby kompletace a rozmnožení zadávací dokumentace v potřebném počtu,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sestavení formulářů pro doložení údajů, které jsou předmětem doložení </w:t>
      </w:r>
      <w:r w:rsidRPr="000330FF">
        <w:rPr>
          <w:sz w:val="20"/>
          <w:szCs w:val="20"/>
        </w:rPr>
        <w:t>dokladů prokazujících splnění</w:t>
      </w:r>
      <w:r>
        <w:rPr>
          <w:sz w:val="20"/>
          <w:szCs w:val="20"/>
        </w:rPr>
        <w:t xml:space="preserve"> kvalifikace vybraným dodavatelem před uzavřením smlouvy,</w:t>
      </w:r>
    </w:p>
    <w:p w:rsidR="00A211E4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>
        <w:rPr>
          <w:sz w:val="20"/>
          <w:szCs w:val="20"/>
        </w:rPr>
        <w:t>sestavení formulářů pro doložení údajů, které jsou předmětem hodnocení dílčích hodnotících kritérií,</w:t>
      </w:r>
    </w:p>
    <w:p w:rsidR="00A211E4" w:rsidRPr="00BB738B" w:rsidRDefault="00A211E4" w:rsidP="00A211E4">
      <w:pPr>
        <w:numPr>
          <w:ilvl w:val="0"/>
          <w:numId w:val="3"/>
        </w:numPr>
        <w:tabs>
          <w:tab w:val="clear" w:pos="2356"/>
          <w:tab w:val="num" w:pos="993"/>
          <w:tab w:val="num" w:pos="1134"/>
        </w:tabs>
        <w:ind w:left="993" w:hanging="142"/>
        <w:jc w:val="both"/>
        <w:rPr>
          <w:sz w:val="20"/>
          <w:szCs w:val="20"/>
        </w:rPr>
      </w:pPr>
      <w:r w:rsidRPr="00826C2C">
        <w:rPr>
          <w:sz w:val="20"/>
          <w:szCs w:val="20"/>
        </w:rPr>
        <w:t>sestavení podmínek a požadavků na zpracování nabídky dle ch</w:t>
      </w:r>
      <w:r>
        <w:rPr>
          <w:sz w:val="20"/>
          <w:szCs w:val="20"/>
        </w:rPr>
        <w:t>arakteru plnění veřejné zakázky</w:t>
      </w:r>
      <w:r w:rsidRPr="00BB738B">
        <w:rPr>
          <w:sz w:val="20"/>
          <w:szCs w:val="20"/>
        </w:rPr>
        <w:t>.</w:t>
      </w:r>
    </w:p>
    <w:p w:rsidR="00A211E4" w:rsidRDefault="00A211E4" w:rsidP="00A211E4">
      <w:pPr>
        <w:tabs>
          <w:tab w:val="num" w:pos="709"/>
        </w:tabs>
        <w:ind w:left="709" w:hanging="283"/>
        <w:jc w:val="both"/>
        <w:rPr>
          <w:sz w:val="20"/>
          <w:szCs w:val="20"/>
        </w:rPr>
      </w:pPr>
    </w:p>
    <w:p w:rsidR="00A211E4" w:rsidRDefault="00A211E4" w:rsidP="00A211E4">
      <w:pPr>
        <w:pStyle w:val="Nadpis1"/>
        <w:ind w:left="426"/>
        <w:rPr>
          <w:b w:val="0"/>
        </w:rPr>
      </w:pPr>
      <w:r>
        <w:rPr>
          <w:b w:val="0"/>
        </w:rPr>
        <w:t xml:space="preserve">II. etapa: Činnosti spojené s průběhem lhůty pro podání nabídek: 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zveřejnění zadávací dokumentace a dalších dokladů dle ZVZ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předání zadávací dokumentace zájemcům, včetně zajištění Předávacích protokolů a Potvrzení o předání a převzetí zadávací dokumentace, není-li dostupná dálkovým přístupem na profilu zadavatele,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zpracování odpovědí na dotazy k zadávacím podmínkám,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zajištění doručení odpovědí na dotazy k zadávacím podmínkám zájemcům, kteří </w:t>
      </w:r>
      <w:r w:rsidRPr="001B16C0">
        <w:rPr>
          <w:sz w:val="20"/>
          <w:szCs w:val="20"/>
        </w:rPr>
        <w:t>požádali o poskytnutí zadávací dokumentace nebo kterým byla zadávací dokumentace poskytnuta</w:t>
      </w:r>
      <w:r>
        <w:rPr>
          <w:sz w:val="20"/>
          <w:szCs w:val="20"/>
        </w:rPr>
        <w:t>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zabezpečení přijímání obálek s nabídkami,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zpracování potvrzení o přijetí nabídek,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zpracování seznamu doručených a přijatých nabídek,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příprava formulářů pro jmenování komise pro otevírání obálek s nabídkami, včetně podkladů nutných a potřebných k řádnému průběhu jednání komise pro otevírání obálek s nabídkami,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příprava formulářů pro jmenování hodnotící komise, včetně podkladů nutných a potřebných k řádnému průběhu jednání hodnotící komise,</w:t>
      </w:r>
    </w:p>
    <w:p w:rsidR="00A211E4" w:rsidRDefault="00A211E4" w:rsidP="00A211E4">
      <w:pPr>
        <w:numPr>
          <w:ilvl w:val="0"/>
          <w:numId w:val="4"/>
        </w:numPr>
        <w:tabs>
          <w:tab w:val="clear" w:pos="2073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vypracování a zajištění jmenovacích dekretů a čestných prohlášení pro členy a u hodnotící komise i náhradníky členů komisí.</w:t>
      </w:r>
    </w:p>
    <w:p w:rsidR="00A211E4" w:rsidRDefault="00A211E4" w:rsidP="00A211E4">
      <w:pPr>
        <w:jc w:val="both"/>
        <w:rPr>
          <w:sz w:val="20"/>
          <w:szCs w:val="20"/>
        </w:rPr>
      </w:pPr>
    </w:p>
    <w:p w:rsidR="00A211E4" w:rsidRDefault="00A211E4" w:rsidP="00A211E4">
      <w:pPr>
        <w:pStyle w:val="Nadpis1"/>
        <w:ind w:left="426"/>
        <w:rPr>
          <w:b w:val="0"/>
        </w:rPr>
      </w:pPr>
      <w:r>
        <w:rPr>
          <w:b w:val="0"/>
        </w:rPr>
        <w:t>III. etapa: Činnosti spojené s průběhem zadávací lhůty: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zajištění zasedání hodnotící komise,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řízení komisí do volby předsedy a místopředsedy komise, organizační řízení hodnotící komise v průběhu jejích jednotlivých zasedání,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zajištění zasedání komise pro otevírání obálek s nabídkami,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zajištění vlastního aktu otevírání obálek s nabídkami jednotlivých uchazečů,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zpracování protokolu o zasedání komise pro otevírání obálek s nabídkami,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zajištění oznámení vyloučení uchazečů, jejichž nabídky komise pro otevírání obálek s nabídkami vyřadila z další účasti v zadávacím řízení, na profilu zadavatele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zajištění zasedání hodnotící komise,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rozbor nabídek uchazečů z hlediska řádné formulace prohlášení uchazečů o splnění kvalifikace,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rozbor nabídek z hlediska splnění zadávacích podmínek,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zajištění průběhu posuzování nabídek,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zpracování protokolu/ů o zasedání hodnotící komise,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vyhotovení žádosti o písemné vysvětlení nabídky,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vyhotovení žádosti o písemné zdůvodnění mimořádně nízké nabídkové ceny,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zpracování podkladů pro rozhodnutí zadavatele o vyloučení uchazečů,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zajištění oznámení </w:t>
      </w:r>
      <w:r w:rsidRPr="007642EB">
        <w:rPr>
          <w:sz w:val="20"/>
          <w:szCs w:val="20"/>
        </w:rPr>
        <w:t>na profilu zadavatele</w:t>
      </w:r>
      <w:r>
        <w:rPr>
          <w:sz w:val="20"/>
          <w:szCs w:val="20"/>
        </w:rPr>
        <w:t xml:space="preserve"> vyloučení uchazečů, jejichž nabídky hodnotící komise vyřadila a zadavatel následně vyloučil příslušné uchazeče z  účasti v zadávacím řízení,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rozbor nabídek z hlediska dílčích hodnotících kritérií,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zajištění průběhu hodnocení nabídek,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zabezpečení příslušných hodnotících tabulek dle jednotlivých dílčích hodnotících kritérií pro členy hodnotící komise, souhrnných tabulek dílčích hodnotících kritérií a tabulky celkového pořadí, 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organizační zajištění všech dalších potřebných a nutných zasedání hodnotící komise včetně zpracování protokolů o jednání hodnotící komise,</w:t>
      </w:r>
    </w:p>
    <w:p w:rsidR="00A211E4" w:rsidRDefault="00A211E4" w:rsidP="00A211E4">
      <w:pPr>
        <w:numPr>
          <w:ilvl w:val="0"/>
          <w:numId w:val="5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vypracování zprávy o posouzení a hodnocení nabídek.</w:t>
      </w:r>
    </w:p>
    <w:p w:rsidR="00A211E4" w:rsidRDefault="00A211E4" w:rsidP="00A211E4">
      <w:pPr>
        <w:tabs>
          <w:tab w:val="left" w:pos="1134"/>
        </w:tabs>
        <w:ind w:left="20"/>
        <w:jc w:val="both"/>
        <w:rPr>
          <w:sz w:val="20"/>
          <w:szCs w:val="20"/>
        </w:rPr>
      </w:pPr>
    </w:p>
    <w:p w:rsidR="00A211E4" w:rsidRDefault="00A211E4" w:rsidP="00A211E4">
      <w:pPr>
        <w:pStyle w:val="Nadpis1"/>
        <w:ind w:left="426"/>
        <w:rPr>
          <w:b w:val="0"/>
        </w:rPr>
      </w:pPr>
      <w:r>
        <w:rPr>
          <w:b w:val="0"/>
        </w:rPr>
        <w:t>IV. etapa: Činnosti spojené s ukončením zadávacího řízení:</w:t>
      </w:r>
    </w:p>
    <w:p w:rsidR="00A211E4" w:rsidRDefault="00A211E4" w:rsidP="00A211E4">
      <w:pPr>
        <w:numPr>
          <w:ilvl w:val="0"/>
          <w:numId w:val="6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vypracování podkladů pro rozhodnutí zadavatele o vyloučení uchazeče,</w:t>
      </w:r>
    </w:p>
    <w:p w:rsidR="00A211E4" w:rsidRDefault="00A211E4" w:rsidP="00A211E4">
      <w:pPr>
        <w:numPr>
          <w:ilvl w:val="0"/>
          <w:numId w:val="6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vypracování podkladů pro rozhodnutí zadavatele o výběru nejvhodnější nabídky,</w:t>
      </w:r>
    </w:p>
    <w:p w:rsidR="00A211E4" w:rsidRDefault="00A211E4" w:rsidP="00A211E4">
      <w:pPr>
        <w:numPr>
          <w:ilvl w:val="0"/>
          <w:numId w:val="6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zpracování oznámení o výběru nejvhodnější nabídky, zajištění uveřejnění tohoto oznámení na profilu zadavatele,</w:t>
      </w:r>
    </w:p>
    <w:p w:rsidR="00A211E4" w:rsidRDefault="00A211E4" w:rsidP="00A211E4">
      <w:pPr>
        <w:numPr>
          <w:ilvl w:val="0"/>
          <w:numId w:val="6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doručení oznámení o uzavření smlouvy uchazečům dle § 82 odst. 5 ZVZ</w:t>
      </w:r>
    </w:p>
    <w:p w:rsidR="00A211E4" w:rsidRDefault="00A211E4" w:rsidP="00A211E4">
      <w:pPr>
        <w:numPr>
          <w:ilvl w:val="0"/>
          <w:numId w:val="6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zpracování a zajištění zveřejnění oznámení o výsledku zadávacího řízení,</w:t>
      </w:r>
    </w:p>
    <w:p w:rsidR="00A211E4" w:rsidRPr="00A15CED" w:rsidRDefault="00A211E4" w:rsidP="00A211E4">
      <w:pPr>
        <w:numPr>
          <w:ilvl w:val="0"/>
          <w:numId w:val="6"/>
        </w:numPr>
        <w:tabs>
          <w:tab w:val="clear" w:pos="851"/>
          <w:tab w:val="num" w:pos="709"/>
          <w:tab w:val="num" w:pos="1134"/>
        </w:tabs>
        <w:ind w:left="1134" w:hanging="283"/>
        <w:jc w:val="both"/>
        <w:rPr>
          <w:sz w:val="20"/>
        </w:rPr>
      </w:pPr>
      <w:r w:rsidRPr="00A15CED">
        <w:rPr>
          <w:sz w:val="20"/>
          <w:szCs w:val="20"/>
        </w:rPr>
        <w:t>zajištění vrácení případných ukázek a vzorků,</w:t>
      </w:r>
    </w:p>
    <w:p w:rsidR="00A211E4" w:rsidRPr="00A15CED" w:rsidRDefault="00A211E4" w:rsidP="00A211E4">
      <w:pPr>
        <w:numPr>
          <w:ilvl w:val="0"/>
          <w:numId w:val="6"/>
        </w:numPr>
        <w:tabs>
          <w:tab w:val="clear" w:pos="851"/>
          <w:tab w:val="num" w:pos="1134"/>
        </w:tabs>
        <w:ind w:left="1134" w:hanging="283"/>
        <w:jc w:val="both"/>
        <w:rPr>
          <w:sz w:val="20"/>
        </w:rPr>
      </w:pPr>
      <w:r w:rsidRPr="00A15CED">
        <w:rPr>
          <w:sz w:val="20"/>
          <w:szCs w:val="20"/>
        </w:rPr>
        <w:t>v případě zrušení zadávacího řízení zajištění zpracování oznámení o zrušení zadávacího řízení a zajištění jeho zveřejnění,</w:t>
      </w:r>
    </w:p>
    <w:p w:rsidR="00A211E4" w:rsidRPr="00A15CED" w:rsidRDefault="00A211E4" w:rsidP="00A211E4">
      <w:pPr>
        <w:numPr>
          <w:ilvl w:val="0"/>
          <w:numId w:val="6"/>
        </w:numPr>
        <w:tabs>
          <w:tab w:val="clear" w:pos="851"/>
          <w:tab w:val="num" w:pos="1134"/>
        </w:tabs>
        <w:ind w:left="1134" w:hanging="283"/>
        <w:jc w:val="both"/>
        <w:rPr>
          <w:sz w:val="20"/>
        </w:rPr>
      </w:pPr>
      <w:r w:rsidRPr="00A15CED">
        <w:rPr>
          <w:sz w:val="20"/>
          <w:szCs w:val="20"/>
        </w:rPr>
        <w:lastRenderedPageBreak/>
        <w:t>sumarizace, uspořádání a předání veškeré dokumentace z průběhu zadávacího řízení zadavateli.</w:t>
      </w:r>
    </w:p>
    <w:p w:rsidR="00A211E4" w:rsidRPr="00A15CED" w:rsidRDefault="00A211E4" w:rsidP="00A211E4">
      <w:pPr>
        <w:jc w:val="both"/>
        <w:rPr>
          <w:sz w:val="20"/>
          <w:szCs w:val="20"/>
        </w:rPr>
      </w:pPr>
    </w:p>
    <w:p w:rsidR="00A211E4" w:rsidRDefault="00A211E4" w:rsidP="00A211E4">
      <w:pPr>
        <w:jc w:val="both"/>
        <w:rPr>
          <w:sz w:val="20"/>
          <w:szCs w:val="20"/>
        </w:rPr>
      </w:pPr>
      <w:r w:rsidRPr="00A15CED">
        <w:rPr>
          <w:sz w:val="20"/>
          <w:szCs w:val="20"/>
        </w:rPr>
        <w:t>Činnosti dle této smlouvy</w:t>
      </w:r>
      <w:r>
        <w:rPr>
          <w:sz w:val="20"/>
          <w:szCs w:val="20"/>
        </w:rPr>
        <w:t xml:space="preserve"> nezahrnují zpracování technické části zadávací dokumentace a návrhu smlouvy o dílo, která bude přílohou zadávací dokumentace. Za technickou část zadávací dokumentace a za zpracování smlouvy o dílo a za její soulad se zadávacími podmínkami odpovídá příkazce, pokud bude smlouvu o dílo připravovat příkazce.</w:t>
      </w:r>
    </w:p>
    <w:p w:rsidR="00A211E4" w:rsidRDefault="00A211E4" w:rsidP="00A211E4">
      <w:pPr>
        <w:tabs>
          <w:tab w:val="left" w:pos="360"/>
        </w:tabs>
        <w:jc w:val="both"/>
        <w:rPr>
          <w:sz w:val="20"/>
          <w:szCs w:val="20"/>
        </w:rPr>
      </w:pPr>
    </w:p>
    <w:p w:rsidR="00A211E4" w:rsidRPr="0027740F" w:rsidRDefault="00A211E4" w:rsidP="00A211E4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 xml:space="preserve"> Spolupráce při uzavření smlouvy s vybraným uchazečem:</w:t>
      </w:r>
    </w:p>
    <w:p w:rsidR="00A211E4" w:rsidRDefault="00A211E4" w:rsidP="00A211E4">
      <w:pPr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zpracování analýzy předložené smlouvy,</w:t>
      </w:r>
    </w:p>
    <w:p w:rsidR="00A211E4" w:rsidRDefault="00A211E4" w:rsidP="00A211E4">
      <w:pPr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posouzení úplnosti a správnosti dokladů, které mají být součástí smlouvy.</w:t>
      </w:r>
    </w:p>
    <w:p w:rsidR="00A211E4" w:rsidRDefault="00A211E4" w:rsidP="00A211E4">
      <w:pPr>
        <w:jc w:val="both"/>
        <w:rPr>
          <w:sz w:val="20"/>
          <w:szCs w:val="20"/>
        </w:rPr>
      </w:pPr>
    </w:p>
    <w:p w:rsidR="00A211E4" w:rsidRDefault="00A211E4" w:rsidP="00A211E4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Poskytování odborných konzultací:</w:t>
      </w:r>
    </w:p>
    <w:p w:rsidR="00A211E4" w:rsidRDefault="00A211E4" w:rsidP="00A211E4">
      <w:pPr>
        <w:numPr>
          <w:ilvl w:val="0"/>
          <w:numId w:val="8"/>
        </w:numPr>
        <w:tabs>
          <w:tab w:val="clear" w:pos="720"/>
          <w:tab w:val="num" w:pos="1134"/>
        </w:tabs>
        <w:ind w:firstLine="1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poskytování odborných konzultací, včetně komentáře k ZVZ,      </w:t>
      </w:r>
    </w:p>
    <w:p w:rsidR="00A211E4" w:rsidRDefault="00A211E4" w:rsidP="00A211E4">
      <w:pPr>
        <w:pStyle w:val="BodyText2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ind w:left="1134" w:hanging="283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 případě podání námitek či návrhů ze strany stěžovatelů příkazník aktivně spolupracuje s příkazcem: </w:t>
      </w:r>
    </w:p>
    <w:p w:rsidR="00A211E4" w:rsidRDefault="00A211E4" w:rsidP="00A211E4">
      <w:pPr>
        <w:tabs>
          <w:tab w:val="num" w:pos="1134"/>
        </w:tabs>
        <w:ind w:firstLine="131"/>
        <w:jc w:val="both"/>
        <w:rPr>
          <w:sz w:val="20"/>
          <w:szCs w:val="20"/>
        </w:rPr>
      </w:pPr>
      <w:r>
        <w:rPr>
          <w:sz w:val="20"/>
          <w:szCs w:val="20"/>
        </w:rPr>
        <w:tab/>
        <w:t>- při zpracování písemného rozhodnutí o námitce stěžovatelů,</w:t>
      </w:r>
    </w:p>
    <w:p w:rsidR="00A211E4" w:rsidRDefault="00A211E4" w:rsidP="00A211E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- při zpracování vyjádření zadavatele k podanému návrhu,</w:t>
      </w:r>
    </w:p>
    <w:p w:rsidR="00A211E4" w:rsidRDefault="00A211E4" w:rsidP="00A211E4">
      <w:pPr>
        <w:tabs>
          <w:tab w:val="left" w:pos="1134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- při řešení návrhu s Úřadem pro ochranu hospodářské soutěže,</w:t>
      </w:r>
    </w:p>
    <w:p w:rsidR="00A211E4" w:rsidRDefault="00A211E4" w:rsidP="00A211E4">
      <w:pPr>
        <w:tabs>
          <w:tab w:val="left" w:pos="1134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- při řádném ukončení zadávacího řízení po vydání rozhodnutí o podaném návrhu.</w:t>
      </w:r>
    </w:p>
    <w:p w:rsidR="00A211E4" w:rsidRDefault="00A211E4" w:rsidP="00A211E4">
      <w:pPr>
        <w:widowControl w:val="0"/>
        <w:numPr>
          <w:ilvl w:val="1"/>
          <w:numId w:val="2"/>
        </w:numPr>
        <w:tabs>
          <w:tab w:val="clear" w:pos="1222"/>
          <w:tab w:val="num" w:pos="851"/>
        </w:tabs>
        <w:autoSpaceDE w:val="0"/>
        <w:autoSpaceDN w:val="0"/>
        <w:adjustRightInd w:val="0"/>
        <w:spacing w:before="12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Příkazník se dále zavazuje poskytnout příkazci za úplatu součinnost při případném opakování zadávacího řízení po jeho předchozím zrušení. Tato problematika bude upravena novou smlouvou s příkazníkem nebo dodatkem k této smlouvě. 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II. </w:t>
      </w:r>
      <w:r>
        <w:rPr>
          <w:b/>
          <w:sz w:val="20"/>
          <w:szCs w:val="20"/>
        </w:rPr>
        <w:t>Odměna příkazníka</w:t>
      </w:r>
    </w:p>
    <w:p w:rsidR="00A211E4" w:rsidRPr="00EA1CA8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Pr="00EA1CA8" w:rsidRDefault="00A211E4" w:rsidP="00A211E4">
      <w:pPr>
        <w:numPr>
          <w:ilvl w:val="1"/>
          <w:numId w:val="1"/>
        </w:numPr>
        <w:tabs>
          <w:tab w:val="clear" w:pos="1440"/>
          <w:tab w:val="num" w:pos="851"/>
        </w:tabs>
        <w:ind w:left="0" w:firstLine="66"/>
        <w:jc w:val="both"/>
        <w:rPr>
          <w:sz w:val="20"/>
          <w:szCs w:val="20"/>
        </w:rPr>
      </w:pPr>
      <w:r w:rsidRPr="00EA1CA8">
        <w:rPr>
          <w:sz w:val="20"/>
          <w:szCs w:val="20"/>
        </w:rPr>
        <w:t xml:space="preserve">Odměna za splnění předmětu smlouvy činí </w:t>
      </w:r>
      <w:r w:rsidRPr="008D717A">
        <w:rPr>
          <w:b/>
          <w:sz w:val="20"/>
          <w:szCs w:val="20"/>
        </w:rPr>
        <w:t>149.000,- Kč</w:t>
      </w:r>
      <w:r w:rsidRPr="00EA1CA8">
        <w:rPr>
          <w:sz w:val="20"/>
          <w:szCs w:val="20"/>
        </w:rPr>
        <w:t xml:space="preserve"> (slovy sto čtyřicet devět tisíc korun českých) bez DPH. Odměna je splatná na základě plnění jednotlivých etap ve dvou splátkách: </w:t>
      </w:r>
    </w:p>
    <w:p w:rsidR="00A211E4" w:rsidRPr="00EA1CA8" w:rsidRDefault="00A211E4" w:rsidP="00A211E4">
      <w:pPr>
        <w:ind w:left="1134" w:hanging="283"/>
        <w:jc w:val="both"/>
        <w:rPr>
          <w:sz w:val="20"/>
          <w:szCs w:val="20"/>
        </w:rPr>
      </w:pPr>
      <w:r w:rsidRPr="00EA1CA8">
        <w:rPr>
          <w:sz w:val="20"/>
          <w:szCs w:val="20"/>
        </w:rPr>
        <w:t xml:space="preserve">a) Odměna za I. a II. etapu zadání veřejné zakázky, je stanovena ve výši </w:t>
      </w:r>
      <w:r w:rsidRPr="00EA1CA8">
        <w:rPr>
          <w:bCs/>
          <w:sz w:val="20"/>
          <w:szCs w:val="20"/>
        </w:rPr>
        <w:t>70.000</w:t>
      </w:r>
      <w:r w:rsidRPr="00EA1CA8">
        <w:rPr>
          <w:sz w:val="20"/>
          <w:szCs w:val="20"/>
        </w:rPr>
        <w:t>,- Kč bez DPH a bude vyúčtována daňovým dokladem vystaveným do deseti kalendářních dnů ode dne zveřejnění oznámení o zakázce ve věstníku veřejných zakázek.</w:t>
      </w:r>
    </w:p>
    <w:p w:rsidR="00A211E4" w:rsidRPr="00EA1CA8" w:rsidRDefault="00A211E4" w:rsidP="00A211E4">
      <w:pPr>
        <w:ind w:left="1134" w:hanging="283"/>
        <w:jc w:val="both"/>
        <w:rPr>
          <w:sz w:val="20"/>
          <w:szCs w:val="20"/>
        </w:rPr>
      </w:pPr>
      <w:r w:rsidRPr="00EA1CA8">
        <w:rPr>
          <w:sz w:val="20"/>
          <w:szCs w:val="20"/>
        </w:rPr>
        <w:t xml:space="preserve">b) Odměna za III. a IV. etapu zadání veřejné zakázky je stanovena ve výši </w:t>
      </w:r>
      <w:r w:rsidRPr="00EA1CA8">
        <w:rPr>
          <w:bCs/>
          <w:sz w:val="20"/>
          <w:szCs w:val="20"/>
        </w:rPr>
        <w:t>79.000</w:t>
      </w:r>
      <w:r w:rsidRPr="00EA1CA8">
        <w:rPr>
          <w:sz w:val="20"/>
          <w:szCs w:val="20"/>
        </w:rPr>
        <w:t>,- Kč bez DPH a bude vyúčtována daňovým dokladem vystaveným do deseti kalendářních dnů ode dne sumarizace, uspořádání a předání veškeré dokumentace z průběhu zadávacího řízení příkazci za podmínky splnění všech činností nutných k úspěšnému ukončení IV. etapy.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r w:rsidRPr="00913671">
        <w:rPr>
          <w:sz w:val="20"/>
          <w:szCs w:val="20"/>
        </w:rPr>
        <w:t xml:space="preserve">Odměna za činnosti uvedené v dle čl. I. odst. 7 je stanovena na základě hodinové </w:t>
      </w:r>
      <w:r>
        <w:rPr>
          <w:sz w:val="20"/>
          <w:szCs w:val="20"/>
        </w:rPr>
        <w:t>sazb</w:t>
      </w:r>
      <w:r w:rsidRPr="00913671">
        <w:rPr>
          <w:sz w:val="20"/>
          <w:szCs w:val="20"/>
        </w:rPr>
        <w:t xml:space="preserve">y. Sazba za jednu, byť jen započatou, hodinu vykonané práce a jednoho zaměstnance </w:t>
      </w:r>
      <w:r>
        <w:rPr>
          <w:sz w:val="20"/>
          <w:szCs w:val="20"/>
        </w:rPr>
        <w:t>příkazníka</w:t>
      </w:r>
      <w:r w:rsidRPr="00913671">
        <w:rPr>
          <w:sz w:val="20"/>
          <w:szCs w:val="20"/>
        </w:rPr>
        <w:t xml:space="preserve"> činí 1.5</w:t>
      </w:r>
      <w:r>
        <w:rPr>
          <w:sz w:val="20"/>
          <w:szCs w:val="20"/>
        </w:rPr>
        <w:t>00</w:t>
      </w:r>
      <w:r w:rsidRPr="00913671">
        <w:rPr>
          <w:sz w:val="20"/>
          <w:szCs w:val="20"/>
        </w:rPr>
        <w:t xml:space="preserve">,- Kč bez DPH. V případě, že se na uvedené činnosti bude podílet více zaměstnanců </w:t>
      </w:r>
      <w:r>
        <w:rPr>
          <w:sz w:val="20"/>
          <w:szCs w:val="20"/>
        </w:rPr>
        <w:t>příkazníka</w:t>
      </w:r>
      <w:r w:rsidRPr="00913671">
        <w:rPr>
          <w:sz w:val="20"/>
          <w:szCs w:val="20"/>
        </w:rPr>
        <w:t xml:space="preserve">, hodinová odměna se násobí poměrně jejich počtu. </w:t>
      </w:r>
      <w:r>
        <w:rPr>
          <w:sz w:val="20"/>
          <w:szCs w:val="20"/>
        </w:rPr>
        <w:t>Příkazník</w:t>
      </w:r>
      <w:r w:rsidRPr="00913671">
        <w:rPr>
          <w:sz w:val="20"/>
          <w:szCs w:val="20"/>
        </w:rPr>
        <w:t xml:space="preserve"> vždy oznámí </w:t>
      </w:r>
      <w:r>
        <w:rPr>
          <w:sz w:val="20"/>
          <w:szCs w:val="20"/>
        </w:rPr>
        <w:t>příkazc</w:t>
      </w:r>
      <w:r w:rsidRPr="00913671">
        <w:rPr>
          <w:sz w:val="20"/>
          <w:szCs w:val="20"/>
        </w:rPr>
        <w:t>i předpokládaný počet konzumovaných hodin.</w:t>
      </w:r>
      <w:r>
        <w:rPr>
          <w:sz w:val="20"/>
          <w:szCs w:val="20"/>
        </w:rPr>
        <w:t xml:space="preserve"> Tato odměna bude fakturována vždy ke konci měsíce, ve kterém k dané činnosti došlo.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Pokud se do zadávacího řízení nepřihlásí žádný uchazeč, či žádný nesplní jeho kritéria nebo nebyl z jakéhokoliv důvodu příkazcem vybrán, přestože příkazník jinak řádně splnil své povinnosti dle čl. I. této smlouvy, náleží příkazníkovi odměna za všechny 4 etapy v plné výši. Pokud by se </w:t>
      </w:r>
      <w:r w:rsidRPr="00BB738B">
        <w:rPr>
          <w:sz w:val="20"/>
          <w:szCs w:val="20"/>
        </w:rPr>
        <w:t xml:space="preserve">zadavatel rozhodl ukončit výše uvedenou veřejnou zakázku kdykoli před ukončením III. etapy, náleží příkazníkovi odměna ve výši </w:t>
      </w:r>
      <w:r>
        <w:rPr>
          <w:sz w:val="20"/>
          <w:szCs w:val="20"/>
        </w:rPr>
        <w:t>10</w:t>
      </w:r>
      <w:r w:rsidRPr="00BB738B">
        <w:rPr>
          <w:sz w:val="20"/>
          <w:szCs w:val="20"/>
        </w:rPr>
        <w:t xml:space="preserve">0.000 Kč. </w:t>
      </w:r>
    </w:p>
    <w:p w:rsidR="00A211E4" w:rsidRPr="00BB738B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Pr="00BB738B">
        <w:rPr>
          <w:sz w:val="20"/>
          <w:szCs w:val="20"/>
        </w:rPr>
        <w:t xml:space="preserve">Pokud bude mít příkazce zájem o přípravu </w:t>
      </w:r>
      <w:r w:rsidRPr="008D717A">
        <w:rPr>
          <w:b/>
          <w:sz w:val="20"/>
          <w:szCs w:val="20"/>
        </w:rPr>
        <w:t>vzorové smlouvy o dílo</w:t>
      </w:r>
      <w:r w:rsidRPr="00BB738B">
        <w:rPr>
          <w:sz w:val="20"/>
          <w:szCs w:val="20"/>
        </w:rPr>
        <w:t xml:space="preserve">, která by byla součástí zadávací dokumentace, bude odměna za I. </w:t>
      </w:r>
      <w:r>
        <w:rPr>
          <w:sz w:val="20"/>
          <w:szCs w:val="20"/>
        </w:rPr>
        <w:t xml:space="preserve">a II. </w:t>
      </w:r>
      <w:r w:rsidRPr="00BB738B">
        <w:rPr>
          <w:sz w:val="20"/>
          <w:szCs w:val="20"/>
        </w:rPr>
        <w:t xml:space="preserve">etapu navýšena o </w:t>
      </w:r>
      <w:r w:rsidRPr="008D717A">
        <w:rPr>
          <w:b/>
          <w:sz w:val="20"/>
          <w:szCs w:val="20"/>
        </w:rPr>
        <w:t>15.000 Kč</w:t>
      </w:r>
      <w:r w:rsidRPr="00BB738B">
        <w:rPr>
          <w:sz w:val="20"/>
          <w:szCs w:val="20"/>
        </w:rPr>
        <w:t xml:space="preserve">. Pokud podá nabídku více než 5 uchazečů, bude navýšena odměna za </w:t>
      </w:r>
      <w:r>
        <w:rPr>
          <w:sz w:val="20"/>
          <w:szCs w:val="20"/>
        </w:rPr>
        <w:t xml:space="preserve">III. a </w:t>
      </w:r>
      <w:r w:rsidRPr="00BB738B">
        <w:rPr>
          <w:sz w:val="20"/>
          <w:szCs w:val="20"/>
        </w:rPr>
        <w:t>IV. etapu o 1.</w:t>
      </w:r>
      <w:r>
        <w:rPr>
          <w:sz w:val="20"/>
          <w:szCs w:val="20"/>
        </w:rPr>
        <w:t>7</w:t>
      </w:r>
      <w:r w:rsidRPr="00BB738B">
        <w:rPr>
          <w:sz w:val="20"/>
          <w:szCs w:val="20"/>
        </w:rPr>
        <w:t>00,- Kč za každou nabídku nad uvedený počet.</w:t>
      </w:r>
    </w:p>
    <w:p w:rsidR="00A211E4" w:rsidRDefault="00A211E4" w:rsidP="00A211E4">
      <w:pPr>
        <w:pStyle w:val="Zkladntext"/>
        <w:tabs>
          <w:tab w:val="clear" w:pos="283"/>
        </w:tabs>
      </w:pPr>
      <w:r>
        <w:t xml:space="preserve">5. </w:t>
      </w:r>
      <w:r>
        <w:tab/>
        <w:t>Příkazce uhradí sjednanou odměnu nebo její část na účet příkazníka na základě jeho faktury. Termín splatnosti faktury se stanoví na 14 dní od jejího doručení příkazci.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  <w:t>Ke všem výše uvedeným finančním částkám bude příkazník účtovat příkazci DPH ve výši stanovené zákonem o dani z přidané hodnoty.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  <w:t>Součástí odměny jsou veškeré náklady, které vzniknou příkazníkovi při plnění nebo v souvislosti s plněním této smlouvy. Úkony prováděné na účet příkazce je příkazce povinen hradit dle informací a podkladů předaných mu příkazníkem.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III. </w:t>
      </w:r>
      <w:r w:rsidRPr="00902F11">
        <w:rPr>
          <w:b/>
          <w:sz w:val="20"/>
          <w:szCs w:val="20"/>
        </w:rPr>
        <w:t xml:space="preserve">Povinnosti </w:t>
      </w:r>
      <w:r>
        <w:rPr>
          <w:b/>
          <w:sz w:val="20"/>
          <w:szCs w:val="20"/>
        </w:rPr>
        <w:t>příkazníka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Příkazník je při zařizování záležitostí dle této smlouvy povinen:</w:t>
      </w:r>
    </w:p>
    <w:p w:rsidR="00A211E4" w:rsidRDefault="00A211E4" w:rsidP="00A211E4">
      <w:pPr>
        <w:widowControl w:val="0"/>
        <w:autoSpaceDE w:val="0"/>
        <w:autoSpaceDN w:val="0"/>
        <w:adjustRightInd w:val="0"/>
        <w:ind w:left="1134" w:hanging="283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sz w:val="20"/>
          <w:szCs w:val="20"/>
        </w:rPr>
        <w:tab/>
        <w:t>postupovat při zařizování záležitostí s odbornou péčí,</w:t>
      </w:r>
    </w:p>
    <w:p w:rsidR="00A211E4" w:rsidRDefault="00A211E4" w:rsidP="00A211E4">
      <w:pPr>
        <w:widowControl w:val="0"/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>
        <w:rPr>
          <w:sz w:val="20"/>
          <w:szCs w:val="20"/>
        </w:rPr>
        <w:tab/>
        <w:t>vykonávat příslušné činnosti podle pokynů příkazce a v souladu s jeho zájmy, které příkazník zná nebo musí znát. Od těchto pokynů se může odchýlit jen, je-li to naléhavé a nezbytné v zájmu příkazce a příkazník nemůže včas obdržet jeho souhlas. Ani v těchto případech se nesmí od pokynů odchýlit, jestliže je to zakázáno smlouvou nebo příkazcem,</w:t>
      </w:r>
    </w:p>
    <w:p w:rsidR="00A211E4" w:rsidRDefault="00A211E4" w:rsidP="00A211E4">
      <w:pPr>
        <w:widowControl w:val="0"/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>
        <w:rPr>
          <w:sz w:val="20"/>
          <w:szCs w:val="20"/>
        </w:rPr>
        <w:tab/>
        <w:t xml:space="preserve">oznámit příkazci všechny okolnosti, které zjistil při zařizování záležitostí podle této smlouvy a jež mohou mít vliv na změnu pokynů příkazce. </w:t>
      </w:r>
    </w:p>
    <w:p w:rsidR="00A211E4" w:rsidRDefault="00A211E4" w:rsidP="00A211E4">
      <w:pPr>
        <w:widowControl w:val="0"/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>Zjistí-li příkazník, že pokyny příkazce jsou nevhodné či neúčelné, je povinen příkazce na tuto skutečnost upozornit. Bude-li příkazce přes toto upozornění na splnění svých pokynů trvat, má příkazce právo:</w:t>
      </w:r>
    </w:p>
    <w:p w:rsidR="00A211E4" w:rsidRDefault="00A211E4" w:rsidP="00A211E4">
      <w:pPr>
        <w:widowControl w:val="0"/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sz w:val="20"/>
          <w:szCs w:val="20"/>
        </w:rPr>
        <w:tab/>
        <w:t>požádat o písemné potvrzení pokynu,</w:t>
      </w:r>
    </w:p>
    <w:p w:rsidR="00A211E4" w:rsidRDefault="00A211E4" w:rsidP="00A211E4">
      <w:pPr>
        <w:widowControl w:val="0"/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>
        <w:rPr>
          <w:sz w:val="20"/>
          <w:szCs w:val="20"/>
        </w:rPr>
        <w:tab/>
        <w:t>odstoupit od smlouvy za předpokladu, že pokyny příkazce jsou v rozporu s touto smlouvou.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Stejně je příkazník povinen a oprávněn postupovat v případě, že pokyny příkazce jsou v rozporu se zákonem nebo jinými právními předpisy.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 xml:space="preserve">Příkazník je povinen informovat příkazce o zásadních otázkách postupu při zařizování záležitostí dle této smlouvy a dále pak o svém postupu ve všech případech, kdy o to bude příkazcem požádán. 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Příkazník je povinen předat bez zbytečného odkladu příkazci věci, které za něj převzal při vyřizování záležitostí podle této smlouvy.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  <w:t xml:space="preserve">Příkazník je povinen v případě zániku smlouvy jejím splněním či jinak, zdokladovat průběh zadání veřejné zakázky a veškerou dokumentaci předat příkazci a předat mu i veškeré věci, které od něj k zajištění plnění této smlouvy převzal. 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  <w:t xml:space="preserve">Příkazník je povinen zařídit záležitosti dle této smlouvy osobně nebo se souhlasem příkazce </w:t>
      </w:r>
      <w:r>
        <w:rPr>
          <w:sz w:val="20"/>
          <w:szCs w:val="20"/>
        </w:rPr>
        <w:br/>
        <w:t xml:space="preserve">i prostřednictvím jiných osob. V takovém případě odpovídá příkazci, jakoby záležitost zařizoval sám. Souhlas příkazce je dán ke schválení materiálů, které takovéto skutečnosti obsahují. 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  <w:t xml:space="preserve">Příkazník je povinen chránit a zachovávat obchodní, hospodářské a služební tajemství příkazce, jakož </w:t>
      </w:r>
      <w:r>
        <w:rPr>
          <w:sz w:val="20"/>
          <w:szCs w:val="20"/>
        </w:rPr>
        <w:br/>
        <w:t xml:space="preserve">i zachovávat mlčenlivost o skutečnostech, které se při své činnosti dle této smlouvy dozvěděl a které tvoří předmět těchto utajovaných skutečností, jakož i o skutečnostech, které by mohly poškodit dobré jméno příkazce. Tuto povinnost má příkazník i po skončení platnosti smlouvy. 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IV. </w:t>
      </w:r>
      <w:r w:rsidRPr="00902F11">
        <w:rPr>
          <w:b/>
          <w:sz w:val="20"/>
          <w:szCs w:val="20"/>
        </w:rPr>
        <w:t xml:space="preserve">Povinnosti </w:t>
      </w:r>
      <w:r>
        <w:rPr>
          <w:b/>
          <w:sz w:val="20"/>
          <w:szCs w:val="20"/>
        </w:rPr>
        <w:t>příkazce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Příkazce je povinen:</w:t>
      </w:r>
    </w:p>
    <w:p w:rsidR="00A211E4" w:rsidRDefault="00A211E4" w:rsidP="00A211E4">
      <w:pPr>
        <w:widowControl w:val="0"/>
        <w:tabs>
          <w:tab w:val="left" w:pos="284"/>
        </w:tabs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sz w:val="20"/>
          <w:szCs w:val="20"/>
        </w:rPr>
        <w:tab/>
        <w:t>předat příkazníkovi včas věci a informace, jež jsou nutné k zařízení záležitostí podle této smlouvy, pokud z jejich povahy a této smlouvy nevyplývá, že je má obstarat příkazník nebo by měly být příkazníkovi známy. Je zejména povinen upozornit jej na problémy právní, věcné i osobní, které by mohly při zařizování záležitostí vzniknout,</w:t>
      </w:r>
    </w:p>
    <w:p w:rsidR="00A211E4" w:rsidRDefault="00A211E4" w:rsidP="00A211E4">
      <w:pPr>
        <w:widowControl w:val="0"/>
        <w:tabs>
          <w:tab w:val="left" w:pos="284"/>
        </w:tabs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>
        <w:rPr>
          <w:sz w:val="20"/>
          <w:szCs w:val="20"/>
        </w:rPr>
        <w:tab/>
        <w:t>poskytnout a zajistit příkazníkovi nezbytnou spolupráci a součinnost včas a v míře nutné pro řádné plnění záležitostí podmíněných spoluprací či součinností ze strany příkazce,</w:t>
      </w:r>
    </w:p>
    <w:p w:rsidR="00A211E4" w:rsidRDefault="00A211E4" w:rsidP="00A211E4">
      <w:pPr>
        <w:widowControl w:val="0"/>
        <w:tabs>
          <w:tab w:val="left" w:pos="284"/>
        </w:tabs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>
        <w:rPr>
          <w:sz w:val="20"/>
          <w:szCs w:val="20"/>
        </w:rPr>
        <w:tab/>
        <w:t xml:space="preserve">vytvořit příkazníkovi podmínky pro jeho práci v případech, kdy je příkazník povinen plnit své úkoly v místě sídla příkazce. </w:t>
      </w: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V. </w:t>
      </w:r>
      <w:r w:rsidRPr="00902F11">
        <w:rPr>
          <w:b/>
          <w:sz w:val="20"/>
          <w:szCs w:val="20"/>
        </w:rPr>
        <w:t>Odpovědnost smluvních stran, sankce</w:t>
      </w:r>
    </w:p>
    <w:p w:rsidR="00A211E4" w:rsidRPr="00902F11" w:rsidRDefault="00A211E4" w:rsidP="00A211E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</w:p>
    <w:p w:rsidR="00A211E4" w:rsidRDefault="00A211E4" w:rsidP="00A211E4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Příkazník odpovídá za škodu, kterou způsobil příkazci na věcech, které od něj převzal k zařízení záležitostí a na věcech převzatých při jejich zařizování od třetích osob.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Při nedodržení termínu splatnosti dohodnuté odměny či její části uhradí příkazce příkazníkovi úrok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z prodlení ve výši 0,05 % z neuhrazené částky denně.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případě, že příkazník porušuje smlouvu způsobem, který zákon či tato smlouva (čl. VI odst. 7) považují za podstatný, uhradí příkazci smluvní pokutu ve výši 50% z celkové odměny sjednané v čl. II. odst. 1. této smlouvy. Uložením této pokuty nejsou dotčena ostatní práva příkazce včetně práva na náhradu škody a práva na odstoupení od smlouvy. Příkazník prohlašuje, že má uzavřenou pojistnou smlouvu u České pojišťovny a.s. s pojistným plněním na škodnou událost z administrace veřejných zakázek ve výši 20 mil Kč.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Příkazník odpovídá příkazci za to, že jeho činností podle této smlouvy nebudou porušena ustanovení zákona ani ustanovení obecně závazných právních předpisů. V případě, že dojde k takovému porušení právních předpisů příkazníkem, má příkazce právo na okamžité odstoupení od smlouvy a právo na zaplacení smluvní pokuty dle čl. V. odst. 3. této smlouvy. 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případě, že příkazník poruší podmínky dohodnuté v této smlouvě nebo v jejích dodatcích takovým způsobem, že jsou ohroženy majetkové zájmy nebo dobré jméno příkazce, má příkazce rovněž právo odstoupit od smlouvy a právo na zaplacení shora uvedené smluvní pokuty.</w:t>
      </w:r>
    </w:p>
    <w:p w:rsidR="00A211E4" w:rsidRPr="005E0F49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</w:rPr>
        <w:t xml:space="preserve">6. </w:t>
      </w:r>
      <w:r>
        <w:rPr>
          <w:sz w:val="20"/>
        </w:rPr>
        <w:tab/>
      </w:r>
      <w:r>
        <w:rPr>
          <w:sz w:val="20"/>
        </w:rPr>
        <w:tab/>
      </w:r>
      <w:r w:rsidRPr="00902CE4">
        <w:rPr>
          <w:sz w:val="20"/>
        </w:rPr>
        <w:t xml:space="preserve">Je-li příjemcem </w:t>
      </w:r>
      <w:r>
        <w:rPr>
          <w:sz w:val="20"/>
        </w:rPr>
        <w:t>příkazce</w:t>
      </w:r>
      <w:r w:rsidRPr="00902CE4">
        <w:rPr>
          <w:sz w:val="20"/>
        </w:rPr>
        <w:t xml:space="preserve">, je odpovědnou osobou níže uvedený zástupce </w:t>
      </w:r>
      <w:r>
        <w:rPr>
          <w:sz w:val="20"/>
        </w:rPr>
        <w:t>příkazce</w:t>
      </w:r>
      <w:r w:rsidRPr="00902CE4">
        <w:rPr>
          <w:sz w:val="20"/>
        </w:rPr>
        <w:t>. Korespondenční adresou je adresa sídla smluvní strany.</w:t>
      </w:r>
    </w:p>
    <w:p w:rsidR="00A211E4" w:rsidRPr="00902CE4" w:rsidRDefault="00A211E4" w:rsidP="00A211E4">
      <w:pPr>
        <w:ind w:left="708" w:right="281"/>
        <w:rPr>
          <w:sz w:val="20"/>
          <w:szCs w:val="20"/>
        </w:rPr>
      </w:pPr>
      <w:r w:rsidRPr="00902CE4">
        <w:rPr>
          <w:sz w:val="20"/>
          <w:szCs w:val="20"/>
        </w:rPr>
        <w:t xml:space="preserve">Odpovědná osoba:     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>
        <w:rPr>
          <w:sz w:val="20"/>
          <w:szCs w:val="20"/>
        </w:rPr>
        <w:t>xxxxxxxxxxxxxxx</w:t>
      </w:r>
    </w:p>
    <w:p w:rsidR="00A211E4" w:rsidRPr="00902CE4" w:rsidRDefault="00A211E4" w:rsidP="00A211E4">
      <w:pPr>
        <w:ind w:left="708" w:right="281"/>
        <w:rPr>
          <w:sz w:val="20"/>
          <w:szCs w:val="20"/>
        </w:rPr>
      </w:pPr>
      <w:r w:rsidRPr="00902CE4">
        <w:rPr>
          <w:sz w:val="20"/>
          <w:szCs w:val="20"/>
        </w:rPr>
        <w:t xml:space="preserve">Postavení v organizaci: 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  <w:t xml:space="preserve">tajemnice </w:t>
      </w:r>
    </w:p>
    <w:p w:rsidR="00A211E4" w:rsidRPr="00902CE4" w:rsidRDefault="00A211E4" w:rsidP="00A211E4">
      <w:pPr>
        <w:ind w:left="708" w:right="281"/>
        <w:rPr>
          <w:sz w:val="20"/>
          <w:szCs w:val="20"/>
        </w:rPr>
      </w:pPr>
      <w:r w:rsidRPr="00902CE4">
        <w:rPr>
          <w:sz w:val="20"/>
          <w:szCs w:val="20"/>
        </w:rPr>
        <w:t>Telefon: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>
        <w:rPr>
          <w:sz w:val="20"/>
          <w:szCs w:val="20"/>
        </w:rPr>
        <w:tab/>
        <w:t>xxxxxxxxx</w:t>
      </w:r>
    </w:p>
    <w:p w:rsidR="00A211E4" w:rsidRPr="00902CE4" w:rsidRDefault="00A211E4" w:rsidP="00A211E4">
      <w:pPr>
        <w:ind w:left="708" w:right="281"/>
        <w:rPr>
          <w:sz w:val="20"/>
          <w:szCs w:val="20"/>
        </w:rPr>
      </w:pPr>
      <w:r w:rsidRPr="00902CE4">
        <w:rPr>
          <w:sz w:val="20"/>
          <w:szCs w:val="20"/>
        </w:rPr>
        <w:t>Mobil: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>
        <w:rPr>
          <w:sz w:val="20"/>
          <w:szCs w:val="20"/>
        </w:rPr>
        <w:t>xxxxxxxxx</w:t>
      </w:r>
    </w:p>
    <w:p w:rsidR="00A211E4" w:rsidRDefault="00A211E4" w:rsidP="00A211E4">
      <w:pPr>
        <w:ind w:firstLine="708"/>
        <w:rPr>
          <w:sz w:val="20"/>
          <w:szCs w:val="20"/>
        </w:rPr>
      </w:pPr>
      <w:r w:rsidRPr="00902CE4">
        <w:rPr>
          <w:sz w:val="20"/>
          <w:szCs w:val="20"/>
        </w:rPr>
        <w:t>E-mail: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hyperlink r:id="rId5" w:history="1">
        <w:r>
          <w:rPr>
            <w:rStyle w:val="Hypertextovodkaz"/>
            <w:sz w:val="20"/>
            <w:szCs w:val="20"/>
          </w:rPr>
          <w:t>xxxxxxxxxxxxxxxxxxxxxx</w:t>
        </w:r>
      </w:hyperlink>
    </w:p>
    <w:p w:rsidR="00A211E4" w:rsidRPr="00902CE4" w:rsidRDefault="00A211E4" w:rsidP="00A211E4">
      <w:pPr>
        <w:tabs>
          <w:tab w:val="left" w:pos="2110"/>
        </w:tabs>
        <w:ind w:left="708" w:right="281"/>
        <w:rPr>
          <w:sz w:val="20"/>
          <w:szCs w:val="20"/>
        </w:rPr>
      </w:pPr>
      <w:r w:rsidRPr="00902CE4">
        <w:rPr>
          <w:sz w:val="20"/>
          <w:szCs w:val="20"/>
        </w:rPr>
        <w:tab/>
      </w:r>
    </w:p>
    <w:p w:rsidR="00A211E4" w:rsidRDefault="00A211E4" w:rsidP="00A211E4">
      <w:pPr>
        <w:pStyle w:val="Textvbloku"/>
        <w:tabs>
          <w:tab w:val="clear" w:pos="709"/>
          <w:tab w:val="left" w:pos="0"/>
        </w:tabs>
        <w:ind w:left="0" w:right="0" w:firstLine="0"/>
        <w:rPr>
          <w:sz w:val="20"/>
        </w:rPr>
      </w:pPr>
      <w:r>
        <w:rPr>
          <w:sz w:val="20"/>
        </w:rPr>
        <w:t xml:space="preserve">7. </w:t>
      </w:r>
      <w:r>
        <w:rPr>
          <w:sz w:val="20"/>
        </w:rPr>
        <w:tab/>
      </w:r>
      <w:r w:rsidRPr="00902CE4">
        <w:rPr>
          <w:sz w:val="20"/>
        </w:rPr>
        <w:t xml:space="preserve">Je-li příjemcem </w:t>
      </w:r>
      <w:r>
        <w:rPr>
          <w:sz w:val="20"/>
        </w:rPr>
        <w:t>příkazník</w:t>
      </w:r>
      <w:r w:rsidRPr="00902CE4">
        <w:rPr>
          <w:sz w:val="20"/>
        </w:rPr>
        <w:t>, je odpovědnou osobou níže uvedený zástupce firmy VALUE ADDED, a.s. Korespondenční adresou je adresa sídla firmy.</w:t>
      </w:r>
    </w:p>
    <w:p w:rsidR="00A211E4" w:rsidRPr="00902CE4" w:rsidRDefault="00A211E4" w:rsidP="00A211E4">
      <w:pPr>
        <w:pStyle w:val="Textvbloku"/>
        <w:tabs>
          <w:tab w:val="clear" w:pos="709"/>
          <w:tab w:val="left" w:pos="0"/>
        </w:tabs>
        <w:ind w:left="0" w:right="0" w:firstLine="0"/>
        <w:rPr>
          <w:sz w:val="20"/>
        </w:rPr>
      </w:pPr>
      <w:r>
        <w:rPr>
          <w:sz w:val="20"/>
        </w:rPr>
        <w:tab/>
        <w:t>O</w:t>
      </w:r>
      <w:r w:rsidRPr="00902CE4">
        <w:rPr>
          <w:sz w:val="20"/>
        </w:rPr>
        <w:t>dpovědná osoba:</w:t>
      </w:r>
      <w:r w:rsidRPr="00902CE4">
        <w:rPr>
          <w:sz w:val="20"/>
        </w:rPr>
        <w:tab/>
      </w:r>
      <w:r w:rsidRPr="00902CE4">
        <w:rPr>
          <w:sz w:val="20"/>
        </w:rPr>
        <w:tab/>
      </w:r>
      <w:r>
        <w:rPr>
          <w:sz w:val="20"/>
        </w:rPr>
        <w:t>xxxxxxxxxxxxxxxxxxxxx</w:t>
      </w:r>
    </w:p>
    <w:p w:rsidR="00A211E4" w:rsidRPr="00902CE4" w:rsidRDefault="00A211E4" w:rsidP="00A211E4">
      <w:pPr>
        <w:ind w:firstLine="720"/>
        <w:rPr>
          <w:sz w:val="20"/>
          <w:szCs w:val="20"/>
        </w:rPr>
      </w:pPr>
      <w:r w:rsidRPr="00902CE4">
        <w:rPr>
          <w:sz w:val="20"/>
          <w:szCs w:val="20"/>
        </w:rPr>
        <w:t>Postavení ve firmě: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  <w:t>partner</w:t>
      </w:r>
    </w:p>
    <w:p w:rsidR="00A211E4" w:rsidRPr="00902CE4" w:rsidRDefault="00A211E4" w:rsidP="00A211E4">
      <w:pPr>
        <w:ind w:firstLine="720"/>
        <w:rPr>
          <w:sz w:val="20"/>
          <w:szCs w:val="20"/>
        </w:rPr>
      </w:pPr>
      <w:r w:rsidRPr="00902CE4">
        <w:rPr>
          <w:sz w:val="20"/>
          <w:szCs w:val="20"/>
        </w:rPr>
        <w:t xml:space="preserve">Telefon: 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>
        <w:rPr>
          <w:sz w:val="20"/>
          <w:szCs w:val="20"/>
        </w:rPr>
        <w:t>xxxxxxxxx</w:t>
      </w:r>
    </w:p>
    <w:p w:rsidR="00A211E4" w:rsidRPr="00902CE4" w:rsidRDefault="00A211E4" w:rsidP="00A211E4">
      <w:pPr>
        <w:ind w:firstLine="720"/>
        <w:rPr>
          <w:sz w:val="20"/>
          <w:szCs w:val="20"/>
        </w:rPr>
      </w:pPr>
      <w:r w:rsidRPr="00902CE4">
        <w:rPr>
          <w:sz w:val="20"/>
          <w:szCs w:val="20"/>
        </w:rPr>
        <w:t xml:space="preserve">Mobil:  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>
        <w:rPr>
          <w:sz w:val="20"/>
          <w:szCs w:val="20"/>
        </w:rPr>
        <w:t>xxxxxxxxx</w:t>
      </w:r>
    </w:p>
    <w:p w:rsidR="00A211E4" w:rsidRDefault="00A211E4" w:rsidP="00A211E4">
      <w:pPr>
        <w:ind w:firstLine="720"/>
        <w:rPr>
          <w:sz w:val="20"/>
          <w:szCs w:val="20"/>
        </w:rPr>
      </w:pPr>
      <w:r w:rsidRPr="00902CE4">
        <w:rPr>
          <w:sz w:val="20"/>
          <w:szCs w:val="20"/>
        </w:rPr>
        <w:t xml:space="preserve">E-mail: </w:t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r w:rsidRPr="00902CE4">
        <w:rPr>
          <w:sz w:val="20"/>
          <w:szCs w:val="20"/>
        </w:rPr>
        <w:tab/>
      </w:r>
      <w:hyperlink r:id="rId6" w:history="1">
        <w:r>
          <w:rPr>
            <w:rStyle w:val="Hypertextovodkaz"/>
            <w:sz w:val="20"/>
            <w:szCs w:val="20"/>
          </w:rPr>
          <w:t>xxxxxxxxxxxxxxxxxxxx</w:t>
        </w:r>
      </w:hyperlink>
    </w:p>
    <w:p w:rsidR="00A211E4" w:rsidRDefault="00A211E4" w:rsidP="00A211E4">
      <w:pPr>
        <w:ind w:firstLine="720"/>
        <w:rPr>
          <w:sz w:val="20"/>
          <w:szCs w:val="20"/>
        </w:rPr>
      </w:pPr>
    </w:p>
    <w:p w:rsidR="00A211E4" w:rsidRDefault="00A211E4" w:rsidP="00A211E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211E4" w:rsidRDefault="00A211E4" w:rsidP="00A211E4">
      <w:pPr>
        <w:ind w:firstLine="72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VI. </w:t>
      </w:r>
      <w:r w:rsidRPr="00902F11">
        <w:rPr>
          <w:b/>
          <w:sz w:val="20"/>
          <w:szCs w:val="20"/>
        </w:rPr>
        <w:t>Platnost a účinnost smlouvy, trvání smlouvy a zánik smlouvy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Tato smlouva nabývá platnosti a účinnosti dnem jejího podpisu oběma smluvními stranami.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Tato smlouva se uzavírá na dobu určitou, a to na dobu potřebnou pro splnění jejího předmětu dle čl. I.</w:t>
      </w:r>
    </w:p>
    <w:p w:rsidR="00A211E4" w:rsidRDefault="00A211E4" w:rsidP="00A211E4">
      <w:pPr>
        <w:pStyle w:val="Zkladntext"/>
      </w:pPr>
      <w:r>
        <w:t>3.</w:t>
      </w:r>
      <w:r>
        <w:tab/>
      </w:r>
      <w:r>
        <w:tab/>
        <w:t>Smluvní strany se mohou dohodnout na zániku smlouvy. V takovém případě jsou povinny dohodnout otázky související zejména s otázkou odměny příkazníka.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Příkazník může smlouvu vypovědět s účinností ke konci kalendářního měsíce následujícího po měsíci, v němž byla výpověď doručena příkazci. Je-li důvodem výpovědi smlouvy porušení povinností příkazníka dle této smlouvy, je výpověď příkazce účinná ke dni, kdy se o ní příkazník dozvěděl nebo mohl dozvědět.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Smlouva zaniká rovněž zánikem smluvních stran bez právního nástupce a zánikem oprávnění příkazníka k podnikatelské činnosti dle této smlouvy.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Zánikem smlouvy zaniká platnost udělené plné moci. Tím nejsou dotčena zvláštní ustanovení občanského zákoníku o plné moci a jejím odvolání.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Každá ze smluvních stran má rovněž právo od smlouvy odstoupit v případech, kdy došlo k podstatnému porušení smlouvy. Za podstatné porušení smlouvy se, mimo obecné důvody stanovené v zákoně, považuje na straně příkazníka nesplnění pokynů příkazce, postup v rozporu se schváleným postupem v případech, kdy smlouva schválení příkazce vyžaduje a porušení dalších povinností dle čl. III. této smlouvy.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Zanikla-li smlouva dříve než podle odst. 2 tohoto článku, má příkazník nárok pouze na poměrnou část odměny a na náhradu účelně vynaložených nákladů. Proti těmto pohledávkám je započitatelný nárok příkazce na náhradu škody způsobenou mu příkazníkem.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VII.  </w:t>
      </w:r>
      <w:r w:rsidRPr="00902F11">
        <w:rPr>
          <w:b/>
          <w:sz w:val="20"/>
          <w:szCs w:val="20"/>
        </w:rPr>
        <w:t>Ustanovení závěrečná</w:t>
      </w:r>
    </w:p>
    <w:p w:rsidR="00A211E4" w:rsidRPr="00902F11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Tuto smlouvu lze změnit nebo doplnit jen na základě písemného souhlasu obou smluvních stran.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Tato smlouva byla vyhotovena ve třech stejnopisech, kdy každý má platnost originálu. Příkazce obdrží dva z nich a příkazník jeden stejnopis.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>V Praze dne 15. 4. 2015</w:t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spacing w:before="12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Jan Podroužek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Petr Čermák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ředitel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člen představenstva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7065">
        <w:rPr>
          <w:b/>
          <w:sz w:val="20"/>
          <w:szCs w:val="20"/>
        </w:rPr>
        <w:t xml:space="preserve">Univerzita Karlova v Praze,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A287C">
        <w:rPr>
          <w:b/>
          <w:sz w:val="20"/>
          <w:szCs w:val="20"/>
        </w:rPr>
        <w:t>VALUE ADDED, a.s.</w:t>
      </w:r>
      <w:r>
        <w:rPr>
          <w:sz w:val="20"/>
          <w:szCs w:val="20"/>
        </w:rPr>
        <w:tab/>
      </w:r>
    </w:p>
    <w:p w:rsidR="00A211E4" w:rsidRDefault="00A211E4" w:rsidP="00A211E4">
      <w:pPr>
        <w:widowControl w:val="0"/>
        <w:tabs>
          <w:tab w:val="left" w:pos="283"/>
        </w:tabs>
        <w:autoSpaceDE w:val="0"/>
        <w:autoSpaceDN w:val="0"/>
        <w:adjustRightInd w:val="0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Ú</w:t>
      </w:r>
      <w:r w:rsidRPr="00007065">
        <w:rPr>
          <w:b/>
          <w:sz w:val="20"/>
          <w:szCs w:val="20"/>
        </w:rPr>
        <w:t>stav jazykové a odborné přípravy</w:t>
      </w:r>
      <w:r>
        <w:rPr>
          <w:sz w:val="20"/>
          <w:szCs w:val="20"/>
        </w:rPr>
        <w:tab/>
      </w:r>
    </w:p>
    <w:p w:rsidR="00D72986" w:rsidRDefault="00D72986">
      <w:bookmarkStart w:id="0" w:name="_GoBack"/>
      <w:bookmarkEnd w:id="0"/>
    </w:p>
    <w:sectPr w:rsidR="00D72986">
      <w:footerReference w:type="default" r:id="rId7"/>
      <w:pgSz w:w="11907" w:h="16840" w:code="9"/>
      <w:pgMar w:top="1134" w:right="1418" w:bottom="1418" w:left="1418" w:header="737" w:footer="107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5" w:rsidRDefault="00A211E4">
    <w:pPr>
      <w:widowControl w:val="0"/>
      <w:tabs>
        <w:tab w:val="center" w:pos="4535"/>
        <w:tab w:val="right" w:pos="9071"/>
      </w:tabs>
      <w:autoSpaceDE w:val="0"/>
      <w:autoSpaceDN w:val="0"/>
      <w:adjustRightInd w:val="0"/>
      <w:rPr>
        <w:i/>
        <w:iCs/>
        <w:sz w:val="16"/>
        <w:szCs w:val="16"/>
      </w:rPr>
    </w:pPr>
    <w:r>
      <w:rPr>
        <w:i/>
        <w:iCs/>
        <w:sz w:val="16"/>
        <w:szCs w:val="16"/>
      </w:rPr>
      <w:t>Příkazní</w:t>
    </w:r>
    <w:r>
      <w:rPr>
        <w:i/>
        <w:iCs/>
        <w:sz w:val="16"/>
        <w:szCs w:val="16"/>
      </w:rPr>
      <w:t xml:space="preserve"> smlouva </w:t>
    </w:r>
    <w:r>
      <w:rPr>
        <w:i/>
        <w:iCs/>
        <w:sz w:val="16"/>
        <w:szCs w:val="16"/>
      </w:rPr>
      <w:t>ÚJOP – VA</w:t>
    </w:r>
    <w:r>
      <w:rPr>
        <w:i/>
        <w:iCs/>
        <w:sz w:val="16"/>
        <w:szCs w:val="16"/>
      </w:rPr>
      <w:tab/>
      <w:t xml:space="preserve"> Strana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>
      <w:rPr>
        <w:i/>
        <w:iCs/>
        <w:noProof/>
        <w:sz w:val="16"/>
        <w:szCs w:val="16"/>
      </w:rPr>
      <w:t>6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(celkem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NUMPAGES </w:instrText>
    </w:r>
    <w:r>
      <w:rPr>
        <w:i/>
        <w:iCs/>
        <w:sz w:val="16"/>
        <w:szCs w:val="16"/>
      </w:rPr>
      <w:fldChar w:fldCharType="separate"/>
    </w:r>
    <w:r>
      <w:rPr>
        <w:i/>
        <w:iCs/>
        <w:noProof/>
        <w:sz w:val="16"/>
        <w:szCs w:val="16"/>
      </w:rPr>
      <w:t>6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17D"/>
    <w:multiLevelType w:val="hybridMultilevel"/>
    <w:tmpl w:val="FEE2BAF6"/>
    <w:lvl w:ilvl="0" w:tplc="2A822938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3B08"/>
    <w:multiLevelType w:val="hybridMultilevel"/>
    <w:tmpl w:val="74F2DE20"/>
    <w:lvl w:ilvl="0" w:tplc="4F8AD6E8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vanish w:val="0"/>
        <w:position w:val="0"/>
        <w:sz w:val="20"/>
        <w:szCs w:val="24"/>
        <w:u w:val="none"/>
        <w:vertAlign w:val="baseline"/>
      </w:rPr>
    </w:lvl>
    <w:lvl w:ilvl="1" w:tplc="1DCED2CA">
      <w:start w:val="8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2C76347"/>
    <w:multiLevelType w:val="hybridMultilevel"/>
    <w:tmpl w:val="C0B0D1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2205"/>
    <w:multiLevelType w:val="hybridMultilevel"/>
    <w:tmpl w:val="A18AD7A0"/>
    <w:lvl w:ilvl="0" w:tplc="0C9AB810">
      <w:start w:val="1"/>
      <w:numFmt w:val="lowerLetter"/>
      <w:lvlText w:val="%1)"/>
      <w:lvlJc w:val="left"/>
      <w:pPr>
        <w:tabs>
          <w:tab w:val="num" w:pos="2073"/>
        </w:tabs>
        <w:ind w:left="2073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3D3728E8"/>
    <w:multiLevelType w:val="hybridMultilevel"/>
    <w:tmpl w:val="3D425BAC"/>
    <w:lvl w:ilvl="0" w:tplc="2F287E3C">
      <w:start w:val="1"/>
      <w:numFmt w:val="lowerLetter"/>
      <w:lvlText w:val="%1)"/>
      <w:lvlJc w:val="left"/>
      <w:pPr>
        <w:tabs>
          <w:tab w:val="num" w:pos="72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vanish w:val="0"/>
        <w:position w:val="0"/>
        <w:sz w:val="20"/>
        <w:szCs w:val="24"/>
        <w:u w:val="none"/>
        <w:vertAlign w:val="baseline"/>
      </w:rPr>
    </w:lvl>
    <w:lvl w:ilvl="1" w:tplc="3752B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1AD8"/>
    <w:multiLevelType w:val="hybridMultilevel"/>
    <w:tmpl w:val="3A6A3F48"/>
    <w:lvl w:ilvl="0" w:tplc="2DC0715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E3256"/>
    <w:multiLevelType w:val="hybridMultilevel"/>
    <w:tmpl w:val="7860743A"/>
    <w:lvl w:ilvl="0" w:tplc="0C9AB810">
      <w:start w:val="1"/>
      <w:numFmt w:val="lowerLetter"/>
      <w:lvlText w:val="%1)"/>
      <w:lvlJc w:val="left"/>
      <w:pPr>
        <w:tabs>
          <w:tab w:val="num" w:pos="2356"/>
        </w:tabs>
        <w:ind w:left="2356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AAC5BD7"/>
    <w:multiLevelType w:val="hybridMultilevel"/>
    <w:tmpl w:val="6FC0975E"/>
    <w:lvl w:ilvl="0" w:tplc="921470F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4"/>
    <w:rsid w:val="00A211E4"/>
    <w:rsid w:val="00D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B767-B993-4003-A5A6-F88EF356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11E4"/>
    <w:pPr>
      <w:keepNext/>
      <w:tabs>
        <w:tab w:val="left" w:pos="6379"/>
      </w:tabs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11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211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A211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A211E4"/>
    <w:pPr>
      <w:widowControl w:val="0"/>
      <w:tabs>
        <w:tab w:val="left" w:pos="283"/>
      </w:tabs>
      <w:autoSpaceDE w:val="0"/>
      <w:autoSpaceDN w:val="0"/>
      <w:adjustRightInd w:val="0"/>
      <w:spacing w:before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211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A211E4"/>
    <w:pPr>
      <w:widowControl w:val="0"/>
      <w:autoSpaceDE w:val="0"/>
      <w:autoSpaceDN w:val="0"/>
      <w:adjustRightInd w:val="0"/>
      <w:spacing w:before="120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A211E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BodyText2">
    <w:name w:val="Body Text 2"/>
    <w:basedOn w:val="Normln"/>
    <w:rsid w:val="00A211E4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styleId="Hypertextovodkaz">
    <w:name w:val="Hyperlink"/>
    <w:rsid w:val="00A211E4"/>
    <w:rPr>
      <w:color w:val="0000FF"/>
      <w:u w:val="single"/>
    </w:rPr>
  </w:style>
  <w:style w:type="paragraph" w:styleId="Textvbloku">
    <w:name w:val="Block Text"/>
    <w:basedOn w:val="Normln"/>
    <w:uiPriority w:val="99"/>
    <w:unhideWhenUsed/>
    <w:rsid w:val="00A211E4"/>
    <w:pPr>
      <w:tabs>
        <w:tab w:val="left" w:pos="709"/>
      </w:tabs>
      <w:overflowPunct w:val="0"/>
      <w:autoSpaceDE w:val="0"/>
      <w:autoSpaceDN w:val="0"/>
      <w:adjustRightInd w:val="0"/>
      <w:ind w:left="675" w:right="-476" w:hanging="81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.kacirek@valueadded.cz" TargetMode="External"/><Relationship Id="rId5" Type="http://schemas.openxmlformats.org/officeDocument/2006/relationships/hyperlink" Target="mailto:zdena.rocnova@ujop.c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2601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- Ústav jazykové a odborné přípravy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Vinická</dc:creator>
  <cp:keywords/>
  <dc:description/>
  <cp:lastModifiedBy>Věra Vinická</cp:lastModifiedBy>
  <cp:revision>1</cp:revision>
  <dcterms:created xsi:type="dcterms:W3CDTF">2018-12-19T14:56:00Z</dcterms:created>
  <dcterms:modified xsi:type="dcterms:W3CDTF">2018-12-19T14:57:00Z</dcterms:modified>
</cp:coreProperties>
</file>