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2B" w:rsidRDefault="001106F8">
      <w:pPr>
        <w:spacing w:after="10" w:line="259" w:lineRule="auto"/>
        <w:ind w:left="72" w:firstLine="0"/>
        <w:jc w:val="left"/>
      </w:pPr>
      <w:r>
        <w:rPr>
          <w:noProof/>
        </w:rPr>
        <w:drawing>
          <wp:inline distT="0" distB="0" distL="0" distR="0">
            <wp:extent cx="3179705" cy="402451"/>
            <wp:effectExtent l="0" t="0" r="0" b="0"/>
            <wp:docPr id="7124" name="Picture 7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" name="Picture 7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9705" cy="40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F2B" w:rsidRDefault="001106F8">
      <w:pPr>
        <w:spacing w:after="233" w:line="216" w:lineRule="auto"/>
        <w:ind w:left="96" w:right="7095" w:hanging="10"/>
        <w:jc w:val="left"/>
      </w:pPr>
      <w:r>
        <w:rPr>
          <w:sz w:val="20"/>
        </w:rPr>
        <w:t>6519/UCU2018-UCLH čj.: UZSVM/UCU5901/2018-UCLH</w:t>
      </w:r>
    </w:p>
    <w:p w:rsidR="00E41F2B" w:rsidRDefault="001106F8">
      <w:pPr>
        <w:spacing w:after="667" w:line="259" w:lineRule="auto"/>
        <w:ind w:left="96" w:right="1512" w:hanging="5"/>
      </w:pPr>
      <w:r>
        <w:rPr>
          <w:sz w:val="26"/>
        </w:rPr>
        <w:t>Česká republika-Úřad pro zastupování státu ve věcech majetkových se sídlem Rašínovo nábřeží 390/42, Nové Město, 128 OO Praha 2 IČO: 69797111 za kterou jedná PhDr. Marie Ševelová, ředitelka Územního pracoviště Ústí nad Labem na základě Příkazu generálního ř</w:t>
      </w:r>
      <w:r>
        <w:rPr>
          <w:sz w:val="26"/>
        </w:rPr>
        <w:t>editele č. 6/2014 v platném znění (dále jen „půjčitel”)</w:t>
      </w:r>
    </w:p>
    <w:p w:rsidR="00E41F2B" w:rsidRDefault="001106F8">
      <w:pPr>
        <w:spacing w:after="780" w:line="259" w:lineRule="auto"/>
        <w:ind w:left="101" w:right="278" w:hanging="5"/>
      </w:pPr>
      <w:r>
        <w:rPr>
          <w:sz w:val="26"/>
        </w:rPr>
        <w:t>Zdravotní ústav se sídlem v Ústí nad Labem příspěvková organizace zřízená podle S 86 odst. 1 zákona č. 258/2000 Sb., ve znění pozdějších předpisů se sídlem Moskevská 1531/15, Ústí nad Labem, 400 01 Ústí nad Labem IČO: 71009361, DIČ: CZ71009361 který zastup</w:t>
      </w:r>
      <w:r>
        <w:rPr>
          <w:sz w:val="26"/>
        </w:rPr>
        <w:t xml:space="preserve">uje Ing. Pavel </w:t>
      </w:r>
      <w:proofErr w:type="spellStart"/>
      <w:r>
        <w:rPr>
          <w:sz w:val="26"/>
        </w:rPr>
        <w:t>Bernáth</w:t>
      </w:r>
      <w:proofErr w:type="spellEnd"/>
      <w:r>
        <w:rPr>
          <w:sz w:val="26"/>
        </w:rPr>
        <w:t>, ředitel (dále jen „vypůjčitel”) sepisují níže uvedeného dne, měsíce a roku tuto</w:t>
      </w:r>
    </w:p>
    <w:p w:rsidR="00E41F2B" w:rsidRDefault="001106F8">
      <w:pPr>
        <w:pStyle w:val="Nadpis1"/>
      </w:pPr>
      <w:r>
        <w:t>SMLOUVU O VÝPŮJČCE NEBYTOVÝCH PROSTOR</w:t>
      </w:r>
    </w:p>
    <w:p w:rsidR="00E41F2B" w:rsidRDefault="001106F8">
      <w:pPr>
        <w:spacing w:after="0"/>
        <w:ind w:left="158" w:right="254" w:firstLine="10"/>
      </w:pPr>
      <w:r>
        <w:t>podle S 55 odst. 3 zákona č. 219/2000 Sb., o majetku české republiky a jejím vystupování v právních vztazích, ve z</w:t>
      </w:r>
      <w:r>
        <w:t>nění pozdějších předpisů (dále jen „zákon č. 219/2000 Sb.”), a podle S 14 a násl. vyhlášky č. 62/2001 Sb., o hospodaření organizačních složek státu a státních organizací s majetkem státu, ve znění pozdějších předpisů, a podle S 2193 a násl. zákona č. 89/20</w:t>
      </w:r>
      <w:r>
        <w:t>12 Sb.,</w:t>
      </w:r>
    </w:p>
    <w:p w:rsidR="00E41F2B" w:rsidRDefault="001106F8">
      <w:pPr>
        <w:spacing w:after="54" w:line="259" w:lineRule="auto"/>
        <w:ind w:left="4705" w:right="4849" w:hanging="4585"/>
      </w:pPr>
      <w:r>
        <w:rPr>
          <w:sz w:val="26"/>
        </w:rPr>
        <w:t>Občanský zákoník, ve znění pozdějších předpisů čl. l.</w:t>
      </w:r>
    </w:p>
    <w:p w:rsidR="00E41F2B" w:rsidRDefault="001106F8">
      <w:pPr>
        <w:numPr>
          <w:ilvl w:val="0"/>
          <w:numId w:val="1"/>
        </w:numPr>
        <w:spacing w:after="178"/>
        <w:ind w:right="254"/>
      </w:pPr>
      <w:r>
        <w:t>Úřad pro zastupování státu ve věcech majetkových je na základě Zápisu o předání majetku a o změně příslušnosti hospodařit s majetkem státu č. UCU3955/17/ZPH-452/ÚE/18/</w:t>
      </w:r>
      <w:proofErr w:type="spellStart"/>
      <w:r>
        <w:t>Pe</w:t>
      </w:r>
      <w:proofErr w:type="spellEnd"/>
      <w:r>
        <w:t xml:space="preserve"> příslušný hospodařit ve </w:t>
      </w:r>
      <w:r>
        <w:t>smyslu S 9 zákona č. 219/2000 Sb. s níže uvedenými nemovitými věcmi, která jsou ve vlastnictví České republiky:</w:t>
      </w:r>
      <w:r>
        <w:rPr>
          <w:noProof/>
        </w:rPr>
        <w:drawing>
          <wp:inline distT="0" distB="0" distL="0" distR="0">
            <wp:extent cx="27437" cy="24392"/>
            <wp:effectExtent l="0" t="0" r="0" b="0"/>
            <wp:docPr id="66476" name="Picture 66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6" name="Picture 664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F2B" w:rsidRDefault="001106F8">
      <w:pPr>
        <w:spacing w:after="134" w:line="259" w:lineRule="auto"/>
        <w:ind w:left="490" w:hanging="10"/>
        <w:jc w:val="left"/>
      </w:pPr>
      <w:r>
        <w:rPr>
          <w:sz w:val="28"/>
        </w:rPr>
        <w:t>Pozemky:</w:t>
      </w:r>
    </w:p>
    <w:p w:rsidR="00E41F2B" w:rsidRDefault="001106F8">
      <w:pPr>
        <w:spacing w:after="185" w:line="259" w:lineRule="auto"/>
        <w:ind w:left="552" w:right="259" w:hanging="5"/>
      </w:pPr>
      <w:r>
        <w:rPr>
          <w:sz w:val="26"/>
        </w:rPr>
        <w:t xml:space="preserve">• parcelní číslo 728/53, zastavěná plocha a nádvoří, jehož součástí je stavba čp. 3395 - objekt občanské vybavenosti, </w:t>
      </w:r>
      <w:r>
        <w:rPr>
          <w:noProof/>
        </w:rPr>
        <w:drawing>
          <wp:inline distT="0" distB="0" distL="0" distR="0">
            <wp:extent cx="54875" cy="54880"/>
            <wp:effectExtent l="0" t="0" r="0" b="0"/>
            <wp:docPr id="6954" name="Picture 6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" name="Picture 69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parcelní číslo</w:t>
      </w:r>
      <w:r>
        <w:rPr>
          <w:sz w:val="26"/>
        </w:rPr>
        <w:t xml:space="preserve"> 728/62, zastavěná plocha a nádvoří, jehož součástí je stavba bez č. p./č. e. — garáž,</w:t>
      </w:r>
    </w:p>
    <w:p w:rsidR="00E41F2B" w:rsidRDefault="001106F8">
      <w:pPr>
        <w:spacing w:after="161"/>
        <w:ind w:left="489" w:right="4" w:hanging="14"/>
      </w:pPr>
      <w:r>
        <w:t>v katastrálním území česká Lípa, obec česká Lípa, v katastru nemovitostí vedeném Katastrálním úřadem pro Liberecký kraj, Katastrálním pracovištěm česká Lípa.</w:t>
      </w:r>
    </w:p>
    <w:p w:rsidR="00E41F2B" w:rsidRDefault="001106F8">
      <w:pPr>
        <w:numPr>
          <w:ilvl w:val="0"/>
          <w:numId w:val="1"/>
        </w:numPr>
        <w:spacing w:after="392"/>
        <w:ind w:right="254"/>
      </w:pPr>
      <w:r>
        <w:t>Předmětem v</w:t>
      </w:r>
      <w:r>
        <w:t xml:space="preserve">ýpůjčky podle této smlouvy o výpůjčce (dále jen „smlouva”) jsou prostory v nemovitých věcech podle předchozího odstavce. Soupis, umístění a specifikace prostor přenechaných do výpůjčky vypůjčiteli (dále jen „předmět výpůjčky”) jsou uvedeny v příloze č. 1, </w:t>
      </w:r>
      <w:r>
        <w:t>která tvoří nedílnou součást této smlouvy. Při užívání předmětu výpůjčky může vypůjčitel užívat</w:t>
      </w:r>
    </w:p>
    <w:p w:rsidR="00E41F2B" w:rsidRDefault="001106F8">
      <w:pPr>
        <w:spacing w:after="0" w:line="259" w:lineRule="auto"/>
        <w:ind w:left="0" w:right="130" w:firstLine="0"/>
        <w:jc w:val="center"/>
      </w:pPr>
      <w:r>
        <w:rPr>
          <w:rFonts w:ascii="Times New Roman" w:eastAsia="Times New Roman" w:hAnsi="Times New Roman" w:cs="Times New Roman"/>
          <w:sz w:val="28"/>
        </w:rPr>
        <w:t>1</w:t>
      </w:r>
    </w:p>
    <w:p w:rsidR="00E41F2B" w:rsidRDefault="001106F8">
      <w:pPr>
        <w:ind w:left="356" w:right="110" w:hanging="10"/>
      </w:pPr>
      <w:r>
        <w:t xml:space="preserve">společné prostory budovy čp. 3395 (chodby, schody, haly, </w:t>
      </w:r>
      <w:proofErr w:type="gramStart"/>
      <w:r>
        <w:t>výtahy,</w:t>
      </w:r>
      <w:proofErr w:type="gramEnd"/>
      <w:r>
        <w:t xml:space="preserve"> apod.) v rozsahu nezbytném pro řádný chod předmětu výpůjčky.</w:t>
      </w:r>
    </w:p>
    <w:p w:rsidR="00E41F2B" w:rsidRDefault="001106F8">
      <w:pPr>
        <w:numPr>
          <w:ilvl w:val="0"/>
          <w:numId w:val="1"/>
        </w:numPr>
        <w:spacing w:after="902"/>
        <w:ind w:right="254"/>
      </w:pPr>
      <w:r>
        <w:lastRenderedPageBreak/>
        <w:t>Půjčitel dočasně nepotřebuje předmět výpůjčky k plnění funkcí státu ani jiných úkolů v rámci své působnosti a stanoveného předmětu</w:t>
      </w:r>
      <w:r>
        <w:t xml:space="preserve"> činnosti ve smyslu ustanovení S 27 odst. 1 zákona č. 219/2000 Sb.</w:t>
      </w:r>
    </w:p>
    <w:p w:rsidR="00E41F2B" w:rsidRDefault="001106F8">
      <w:pPr>
        <w:numPr>
          <w:ilvl w:val="0"/>
          <w:numId w:val="2"/>
        </w:numPr>
        <w:spacing w:after="150"/>
        <w:ind w:right="350"/>
      </w:pPr>
      <w:r>
        <w:t xml:space="preserve">Půjčitel zapůjčuje předmět výpůjčky vypůjčiteli a vypůjčitel předmět výpůjčky do výpůjčky </w:t>
      </w:r>
      <w:proofErr w:type="spellStart"/>
      <w:r>
        <w:t>prlJłmá</w:t>
      </w:r>
      <w:proofErr w:type="spellEnd"/>
      <w:r>
        <w:t>.</w:t>
      </w:r>
    </w:p>
    <w:p w:rsidR="00E41F2B" w:rsidRDefault="001106F8">
      <w:pPr>
        <w:numPr>
          <w:ilvl w:val="0"/>
          <w:numId w:val="2"/>
        </w:numPr>
        <w:spacing w:after="152"/>
        <w:ind w:right="350"/>
      </w:pPr>
      <w:r>
        <w:t>Vypůjčitel prohlašuje, že je mu stav předmětu výpůjčky dobře znám, neboť si jej prohlédl p</w:t>
      </w:r>
      <w:r>
        <w:t>řed uzavřením této smlouvy. Potvrzuje, že předmět výpůjčky je ve stavu způsobilém k řádnému užívání podle této smlouvy a že ho půjčitel seznámil se zvláštními pravidly, která je třeba při užívání předmětu výpůjčky zachovávat, zejména s návody a technickými</w:t>
      </w:r>
      <w:r>
        <w:t xml:space="preserve"> normami.</w:t>
      </w:r>
    </w:p>
    <w:p w:rsidR="00E41F2B" w:rsidRDefault="001106F8">
      <w:pPr>
        <w:numPr>
          <w:ilvl w:val="0"/>
          <w:numId w:val="2"/>
        </w:numPr>
        <w:ind w:right="350"/>
      </w:pPr>
      <w:r>
        <w:t>O faktickém předání a převzetí předmětu výpůjčky na počátku výpůjčky bude mezi půjčitelem a vypůjčitelem sepsán protokol o předání a převzetí, ve kterém bude uveden stav předmětu výpůjčky.</w:t>
      </w:r>
    </w:p>
    <w:p w:rsidR="00E41F2B" w:rsidRDefault="001106F8">
      <w:pPr>
        <w:spacing w:after="62" w:line="259" w:lineRule="auto"/>
        <w:ind w:left="0" w:right="312" w:firstLine="0"/>
        <w:jc w:val="center"/>
      </w:pPr>
      <w:r>
        <w:rPr>
          <w:sz w:val="30"/>
        </w:rPr>
        <w:t xml:space="preserve">čl. </w:t>
      </w:r>
      <w:proofErr w:type="spellStart"/>
      <w:r>
        <w:rPr>
          <w:sz w:val="30"/>
        </w:rPr>
        <w:t>Ill</w:t>
      </w:r>
      <w:proofErr w:type="spellEnd"/>
      <w:r>
        <w:rPr>
          <w:sz w:val="30"/>
        </w:rPr>
        <w:t>.</w:t>
      </w:r>
    </w:p>
    <w:p w:rsidR="00E41F2B" w:rsidRDefault="001106F8">
      <w:pPr>
        <w:numPr>
          <w:ilvl w:val="0"/>
          <w:numId w:val="3"/>
        </w:numPr>
        <w:spacing w:after="168"/>
        <w:ind w:right="278"/>
      </w:pPr>
      <w:r>
        <w:t>Půjčitel se zavazuje předmět výpůjčky užívat výh</w:t>
      </w:r>
      <w:r>
        <w:t>radně k účelu vycházejícímu ze specifikace předmětu výpůjčky dle čl. l. odst. 2 této smlouvy a pouze pro činnosti zajišťující provoz pracoviště Česká Lípa.</w:t>
      </w:r>
    </w:p>
    <w:p w:rsidR="00E41F2B" w:rsidRDefault="001106F8">
      <w:pPr>
        <w:numPr>
          <w:ilvl w:val="0"/>
          <w:numId w:val="3"/>
        </w:numPr>
        <w:spacing w:after="162"/>
        <w:ind w:right="278"/>
      </w:pPr>
      <w:r>
        <w:t>Bez předchozího písemného souhlasu půjčitele nesmí vypůjčitel předmět výpůjčky přenechat k užívání j</w:t>
      </w:r>
      <w:r>
        <w:t>iné osobě ani jiné organizační složce státu, a to ani zčásti.</w:t>
      </w:r>
    </w:p>
    <w:p w:rsidR="00E41F2B" w:rsidRDefault="001106F8">
      <w:pPr>
        <w:spacing w:after="57" w:line="259" w:lineRule="auto"/>
        <w:ind w:left="10" w:right="274" w:hanging="10"/>
        <w:jc w:val="center"/>
      </w:pPr>
      <w:r>
        <w:rPr>
          <w:sz w:val="34"/>
        </w:rPr>
        <w:t>čl. IV.</w:t>
      </w:r>
    </w:p>
    <w:p w:rsidR="00E41F2B" w:rsidRDefault="001106F8">
      <w:pPr>
        <w:ind w:left="67" w:right="4" w:firstLine="0"/>
      </w:pPr>
      <w:r>
        <w:t>Výpůjčka předmětu výpůjčky se sjednává na dobu neurčitou počínaje dnem 1. ledna 2019.</w:t>
      </w:r>
    </w:p>
    <w:p w:rsidR="00E41F2B" w:rsidRDefault="001106F8">
      <w:pPr>
        <w:spacing w:after="57" w:line="259" w:lineRule="auto"/>
        <w:ind w:left="10" w:right="250" w:hanging="10"/>
        <w:jc w:val="center"/>
      </w:pPr>
      <w:r>
        <w:rPr>
          <w:sz w:val="34"/>
        </w:rPr>
        <w:t>čl. V.</w:t>
      </w:r>
    </w:p>
    <w:p w:rsidR="00E41F2B" w:rsidRDefault="001106F8">
      <w:pPr>
        <w:numPr>
          <w:ilvl w:val="0"/>
          <w:numId w:val="4"/>
        </w:numPr>
        <w:spacing w:after="133"/>
        <w:ind w:right="262"/>
      </w:pPr>
      <w:r>
        <w:t>Výpůjčku předmětu výpůjčky je možné ukončit na základě dohody sepsané formou dodatku mezi půjčitelem a vypůjčitel.</w:t>
      </w:r>
    </w:p>
    <w:p w:rsidR="00E41F2B" w:rsidRDefault="001106F8">
      <w:pPr>
        <w:numPr>
          <w:ilvl w:val="0"/>
          <w:numId w:val="4"/>
        </w:numPr>
        <w:ind w:right="262"/>
      </w:pPr>
      <w:r>
        <w:t>Výpůjčku předmětu výpůjčky lze ukončit písemnou výpovědí půjčitele nebo vypůjčitele. Výpovědní doba činí jeden měsíc a počne běžet prvním dne</w:t>
      </w:r>
      <w:r>
        <w:t>m měsíce následujícího po doručení písemné výpovědi.</w:t>
      </w:r>
    </w:p>
    <w:p w:rsidR="00E41F2B" w:rsidRDefault="001106F8">
      <w:pPr>
        <w:numPr>
          <w:ilvl w:val="0"/>
          <w:numId w:val="4"/>
        </w:numPr>
        <w:spacing w:after="231"/>
        <w:ind w:right="262"/>
      </w:pPr>
      <w:r>
        <w:t>Půjčitel může od této smlouvy odstoupit, neplní-li vypůjčitel řádně a včas své povinnosti, nebo jestliže předmět výpůjčky půjčitel potřebovat k plnění funkcí státu nebo jiných úkolů v rámci své působnost</w:t>
      </w:r>
      <w:r>
        <w:t>i nebo stanoveného předmětu činnosti.</w:t>
      </w:r>
    </w:p>
    <w:p w:rsidR="00E41F2B" w:rsidRDefault="001106F8">
      <w:pPr>
        <w:numPr>
          <w:ilvl w:val="0"/>
          <w:numId w:val="4"/>
        </w:numPr>
        <w:spacing w:after="302"/>
        <w:ind w:right="262"/>
      </w:pPr>
      <w:r>
        <w:t>Užívá-li vypůjčitel předmět výpůjčky takovým způsobem, že dochází k opotřebování nad míru přiměřenou poměrům a okolnostem, hrozí-li poškození či zničení předmětu výpůjčky nebo budovy, v níž se předmět výpůjčky, nebo už</w:t>
      </w:r>
      <w:r>
        <w:t xml:space="preserve">ívá-li vypůjčitel předmět výpůjčky k jinému než sjednanému účelu, vyzve ho půjčitel, aby předmět výpůjčky užíval řádně a v souladu se sjednaným účelem. Současně poskytne vypůjčiteli přiměřenou lhůtu k nápravě a upozorní ho na možné následky neuposlechnutí </w:t>
      </w:r>
      <w:r>
        <w:t xml:space="preserve">výzvy. Neuposlechne-li vypůjčitel této výzvy, má vypůjčitel právo ukončit mu výpůjčku předmětu výpůjčky výpovědí bez výpovědní doby. Hrozilo-li by vážné nebezpečí z prodlení, má půjčitel právo ukončit výpůjčku předmětu výpůjčky výpovědí bez výpovědní doby </w:t>
      </w:r>
      <w:r>
        <w:t>i bez předchozího upozornění.</w:t>
      </w:r>
    </w:p>
    <w:p w:rsidR="00E41F2B" w:rsidRDefault="001106F8">
      <w:pPr>
        <w:spacing w:after="456" w:line="259" w:lineRule="auto"/>
        <w:ind w:left="336" w:right="442" w:hanging="10"/>
        <w:jc w:val="center"/>
      </w:pPr>
      <w:r>
        <w:rPr>
          <w:rFonts w:ascii="Times New Roman" w:eastAsia="Times New Roman" w:hAnsi="Times New Roman" w:cs="Times New Roman"/>
          <w:sz w:val="26"/>
        </w:rPr>
        <w:t>2</w:t>
      </w:r>
    </w:p>
    <w:p w:rsidR="00E41F2B" w:rsidRDefault="001106F8">
      <w:pPr>
        <w:spacing w:after="57" w:line="259" w:lineRule="auto"/>
        <w:ind w:left="10" w:right="130" w:hanging="10"/>
        <w:jc w:val="center"/>
      </w:pPr>
      <w:r>
        <w:rPr>
          <w:sz w:val="34"/>
        </w:rPr>
        <w:lastRenderedPageBreak/>
        <w:t xml:space="preserve">čl. </w:t>
      </w:r>
      <w:proofErr w:type="spellStart"/>
      <w:r>
        <w:rPr>
          <w:sz w:val="34"/>
        </w:rPr>
        <w:t>Vl</w:t>
      </w:r>
      <w:proofErr w:type="spellEnd"/>
      <w:r>
        <w:rPr>
          <w:sz w:val="34"/>
        </w:rPr>
        <w:t>.</w:t>
      </w:r>
    </w:p>
    <w:p w:rsidR="00E41F2B" w:rsidRDefault="001106F8">
      <w:pPr>
        <w:spacing w:after="121"/>
        <w:ind w:left="158" w:right="226" w:firstLine="0"/>
      </w:pPr>
      <w:r>
        <w:t xml:space="preserve">Skončí-li výpůjčka předmětu výpůjčky dle ustanovení čl. V. odst. 3 nebo 4, do 15 dní od doručení příslušného jednání půjčitele vypůjčiteli, v ostatních případech nejpozději v den ukončení výpůjčky předmětu výpůjčky, </w:t>
      </w:r>
      <w:r>
        <w:t>předá vypůjčitel půjčiteli předmět výpůjčky řádně vyklizený. Vypůjčitel je povinen předat předmět výpůjčky zpět ve stavu, v jakém jej převzal, s přihlédnutím k obvyklému opotřebení. O faktickém předání a převzetí předmětu výpůjčky sepíše půjčitel s vypůjči</w:t>
      </w:r>
      <w:r>
        <w:t>telem protokol o předání a převzetí, ve kterém bude uveden stav předmětu výpůjčky.</w:t>
      </w:r>
    </w:p>
    <w:p w:rsidR="00E41F2B" w:rsidRDefault="001106F8">
      <w:pPr>
        <w:spacing w:after="24" w:line="259" w:lineRule="auto"/>
        <w:ind w:left="39" w:right="125" w:hanging="10"/>
        <w:jc w:val="center"/>
      </w:pPr>
      <w:r>
        <w:rPr>
          <w:sz w:val="26"/>
        </w:rPr>
        <w:t>čl. VII.</w:t>
      </w:r>
    </w:p>
    <w:p w:rsidR="00E41F2B" w:rsidRDefault="001106F8">
      <w:pPr>
        <w:numPr>
          <w:ilvl w:val="0"/>
          <w:numId w:val="5"/>
        </w:numPr>
        <w:ind w:right="182"/>
      </w:pPr>
      <w:r>
        <w:t>Dodávku elektrické energie do předmětu výpůjčky zajistí vypůjčiteli půjčitel, a to prostřednictvím smlouvy s dodavatelem. Vypůjčitel bude náklady s tím spojené nahr</w:t>
      </w:r>
      <w:r>
        <w:t>azovat půjčiteli podle poměru plochy předmětu výpůjčky k celkové ploše budovy, v níž se předmět výpůjčky nachází.</w:t>
      </w:r>
    </w:p>
    <w:p w:rsidR="00E41F2B" w:rsidRDefault="001106F8">
      <w:pPr>
        <w:numPr>
          <w:ilvl w:val="0"/>
          <w:numId w:val="5"/>
        </w:numPr>
        <w:spacing w:after="177"/>
        <w:ind w:right="182"/>
      </w:pPr>
      <w:r>
        <w:t>Vytápění v předmětu výpůjčky zajistí půjčitel vypůjčiteli, a to prostřednictvím plynové kotelny. Dodávky tepla jsou upraveny smlouvou s dodavatelem. Vypůjčitel bude náklady s tím spojené nahrazovat půjčiteli podle poměru vytápěné plochy předmětu výpůjčky k</w:t>
      </w:r>
      <w:r>
        <w:t xml:space="preserve"> celkové vytápěné ploše budovy, v níž se předmět výpůjčky nachází.</w:t>
      </w:r>
    </w:p>
    <w:p w:rsidR="00E41F2B" w:rsidRDefault="001106F8">
      <w:pPr>
        <w:numPr>
          <w:ilvl w:val="0"/>
          <w:numId w:val="5"/>
        </w:numPr>
        <w:ind w:right="18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137188</wp:posOffset>
            </wp:positionH>
            <wp:positionV relativeFrom="page">
              <wp:posOffset>1054909</wp:posOffset>
            </wp:positionV>
            <wp:extent cx="27438" cy="21342"/>
            <wp:effectExtent l="0" t="0" r="0" b="0"/>
            <wp:wrapSquare wrapText="bothSides"/>
            <wp:docPr id="12796" name="Picture 12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" name="Picture 127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Pitnou vodu a její dodávku do budovy, v níž se nachází předmět výpůjčky, včetně odvodu odpadních vod z budovy do veřejné kanalizace (vodné a stočné) zajistí vypůjčiteli půjčitel, a to pros</w:t>
      </w:r>
      <w:r>
        <w:t>třednictvím smlouvy s dodavatelem. Vypůjčitel bude náklady s tím spojené nahrazovat půjčiteli podle poměru počtu fyzických osob spojených s vypůjčitelem, které jsou v předmětu výpůjčky, k celkovému počtu fyzických osob užívajících v budově, v níž se předmě</w:t>
      </w:r>
      <w:r>
        <w:t>t výpůjčky nachází, komoditu pitná voda.</w:t>
      </w:r>
    </w:p>
    <w:p w:rsidR="00E41F2B" w:rsidRDefault="001106F8">
      <w:pPr>
        <w:numPr>
          <w:ilvl w:val="0"/>
          <w:numId w:val="5"/>
        </w:numPr>
        <w:spacing w:after="224"/>
        <w:ind w:right="182"/>
      </w:pPr>
      <w:r>
        <w:t xml:space="preserve">Dezinfekci, deratizaci a dezinsekci v budově, v níž se nachází předmět výpůjčky, zajistí půjčitel, a to prostřednictvím smlouvy s dodavatelem. Vypůjčitel bude náklady s tím spojené nahrazovat půjčiteli podle poměru </w:t>
      </w:r>
      <w:r>
        <w:t>plochy předmětu výpůjčky k celkové ploše budovy, v níž se předmět výpůjčky nachází.</w:t>
      </w:r>
    </w:p>
    <w:p w:rsidR="00E41F2B" w:rsidRDefault="001106F8">
      <w:pPr>
        <w:numPr>
          <w:ilvl w:val="0"/>
          <w:numId w:val="5"/>
        </w:numPr>
        <w:ind w:right="182"/>
      </w:pPr>
      <w:r>
        <w:t>Úklid předmětu výpůjčky a odvoz komunálního a jiného odpadu si zajistí vypůjčitel sám vlastním nákladem.</w:t>
      </w:r>
    </w:p>
    <w:p w:rsidR="00E41F2B" w:rsidRDefault="001106F8">
      <w:pPr>
        <w:numPr>
          <w:ilvl w:val="0"/>
          <w:numId w:val="5"/>
        </w:numPr>
        <w:spacing w:after="155"/>
        <w:ind w:right="182"/>
      </w:pPr>
      <w:r>
        <w:t>Ostatní služby a revize v budově, v níž se nachází předmět výpůjčky</w:t>
      </w:r>
      <w:r>
        <w:t>, související s provozem budovy, např. pokud jde o rozvody elektrické energie, požární bezpečnost budovy (hasicí přístroje, hydranty, požární klapky apod.), hromosvody, zajistí půjčitel prostřednictvím smluv s příslušnými dodavateli. Vypůjčitel bude náklad</w:t>
      </w:r>
      <w:r>
        <w:t>y s tím spojené nahrazovat půjčiteli podle poměru plochy předmětu výpůjčky k celkové ploše budovy, v níž se předmět výpůjčky nachází.</w:t>
      </w:r>
    </w:p>
    <w:p w:rsidR="00E41F2B" w:rsidRDefault="001106F8">
      <w:pPr>
        <w:numPr>
          <w:ilvl w:val="0"/>
          <w:numId w:val="5"/>
        </w:numPr>
        <w:spacing w:after="65"/>
        <w:ind w:right="182"/>
      </w:pPr>
      <w:r>
        <w:t>Výše a četnost plateb, splatnost, číslo účtu, variabilní symbol, pod kterými bude vypůjčitel platit náhrady podle předchoz</w:t>
      </w:r>
      <w:r>
        <w:t>ích ustanovení, budou uvedeny na faktuře vystavené půjčitelem, součástí faktury bude i výpočtový list s přehledem plateb.</w:t>
      </w:r>
    </w:p>
    <w:p w:rsidR="00E41F2B" w:rsidRDefault="001106F8">
      <w:pPr>
        <w:numPr>
          <w:ilvl w:val="0"/>
          <w:numId w:val="5"/>
        </w:numPr>
        <w:spacing w:after="89"/>
        <w:ind w:right="182"/>
      </w:pPr>
      <w:r>
        <w:t>Dojde-li ke změnám výše plateb, sdělí půjčitel tuto změnu vypůjčiteli zasláním aktualizovaného výpočtového listu. Aktualizaci výpočtov</w:t>
      </w:r>
      <w:r>
        <w:t>ého listu je půjčitel oprávněn provést jednostranně bez akceptace ze strany vypůjčitele, a takto upravený výpočtový list je platný doručením vypůjčiteli.</w:t>
      </w:r>
    </w:p>
    <w:p w:rsidR="00E41F2B" w:rsidRDefault="001106F8">
      <w:pPr>
        <w:numPr>
          <w:ilvl w:val="0"/>
          <w:numId w:val="5"/>
        </w:numPr>
        <w:ind w:right="182"/>
      </w:pPr>
      <w:r>
        <w:t>Skončí-li výpůjčka předmětu výpůjčky v průběhu kalendářního roku (měsíce), náleží půjčiteli pouze pomě</w:t>
      </w:r>
      <w:r>
        <w:t>rná část příslušných plateb.</w:t>
      </w:r>
    </w:p>
    <w:p w:rsidR="00E41F2B" w:rsidRDefault="001106F8">
      <w:pPr>
        <w:numPr>
          <w:ilvl w:val="0"/>
          <w:numId w:val="5"/>
        </w:numPr>
        <w:ind w:right="182"/>
      </w:pPr>
      <w:r>
        <w:t>Vypůjčitel je povinen hlásit půjčiteli změny počtu fyzických osob spojených s vypůjčitelem užívajících předmět výpůjčky, změní-li se počet těchto osob na dobu delší než 3 měsíce.</w:t>
      </w:r>
    </w:p>
    <w:p w:rsidR="00E41F2B" w:rsidRDefault="001106F8">
      <w:pPr>
        <w:spacing w:after="24" w:line="259" w:lineRule="auto"/>
        <w:ind w:left="39" w:hanging="10"/>
        <w:jc w:val="center"/>
      </w:pPr>
      <w:r>
        <w:rPr>
          <w:sz w:val="26"/>
        </w:rPr>
        <w:t>čl. VIII.</w:t>
      </w:r>
    </w:p>
    <w:p w:rsidR="00E41F2B" w:rsidRDefault="001106F8">
      <w:pPr>
        <w:ind w:left="518" w:right="125"/>
      </w:pPr>
      <w:proofErr w:type="gramStart"/>
      <w:r>
        <w:lastRenderedPageBreak/>
        <w:t>1 .</w:t>
      </w:r>
      <w:proofErr w:type="gramEnd"/>
      <w:r>
        <w:t xml:space="preserve"> </w:t>
      </w:r>
      <w:r>
        <w:t xml:space="preserve">Stavební úpravy, rekonstrukce, modernizace a stavební adaptace (dále jen „stavební úpravy”) předmětu výpůjčky, případně umístění jakékoliv reklamy či informačního zařízení může vypůjčitel uskutečnit jen na základě předchozího písemného souhlasu půjčitele, </w:t>
      </w:r>
      <w:r>
        <w:t>jehož součástí bude i ujednání o tom, zda mají být úpravy k datu ukončení výpůjčky odstraněny a ujednání o vzájemném vyrovnání půjčitele a vypůjčitele z důvodu zhodnocení předmětu výpůjčky. Po udělení takového písemného souhlasu pak vypůjčitel jakoukoliv z</w:t>
      </w:r>
      <w:r>
        <w:t>měnu provádí na svůj náklad. Bez udělení písemného souhlasu není vypůjčitel oprávněn změny předmětu výpůjčky provést a nemá nárok na vyrovnání případného zhodnocení předmětu výpůjčky.</w:t>
      </w:r>
    </w:p>
    <w:p w:rsidR="00E41F2B" w:rsidRDefault="001106F8">
      <w:pPr>
        <w:numPr>
          <w:ilvl w:val="0"/>
          <w:numId w:val="6"/>
        </w:numPr>
        <w:spacing w:after="126"/>
        <w:ind w:right="45"/>
      </w:pPr>
      <w:r>
        <w:t>Provede-li vypůjčitel změny předmětu výpůjčky bez písemného souhlasu půj</w:t>
      </w:r>
      <w:r>
        <w:t>čitele a neuvede-li předmět výpůjčky na výzvu půjčitele do původního stavu, jedná se o zvlášť závažné porušení povinností vypůjčitele vyplývající z této smlouvy a půjčitel může výpůjčku předmětu výpůjčky vypovědět bez výpovědní doby a požadovat po půjčitel</w:t>
      </w:r>
      <w:r>
        <w:t>i i náhradu vynaložených nákladů v souvislosti s uvedením předmětu výpůjčky do původního stavu.</w:t>
      </w:r>
    </w:p>
    <w:p w:rsidR="00E41F2B" w:rsidRDefault="001106F8">
      <w:pPr>
        <w:numPr>
          <w:ilvl w:val="0"/>
          <w:numId w:val="6"/>
        </w:numPr>
        <w:spacing w:after="222"/>
        <w:ind w:right="45"/>
      </w:pPr>
      <w:r>
        <w:t>Vypůjčitel si sám hradí náklady spojené s běžnou údržbou předmětu výpůjčky a provádí jejich drobné opravy. Pro účely této smlouvy se za běžnou údržbu a drobné o</w:t>
      </w:r>
      <w:r>
        <w:t>pravy předmětu výpůjčky považují běžná údržba a drobné opravy bytu takto definované v nařízení vlády, kterým se provádí občanský zákoník, přičemž limit u drobné opravy jinde nevyjmenované činí 1 000 Kč a ustanovení o limitu maximálního součtu nákladů za je</w:t>
      </w:r>
      <w:r>
        <w:t>dnotlivé drobné opravy se nepoužije. Zároveň je vypůjčitel povinen hradit náklady na opravy při poškození předmětu výpůjčky nebo opravy po poškození budovy, v níž se předmět výpůjčky nachází, způsobené jím nebo třetími osobami (osoby a organizace ve vztahu</w:t>
      </w:r>
      <w:r>
        <w:t xml:space="preserve"> k vypůjčiteli a jím provozované činnosti).</w:t>
      </w:r>
    </w:p>
    <w:p w:rsidR="00E41F2B" w:rsidRDefault="001106F8">
      <w:pPr>
        <w:numPr>
          <w:ilvl w:val="0"/>
          <w:numId w:val="6"/>
        </w:numPr>
        <w:spacing w:after="238"/>
        <w:ind w:right="4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7310577</wp:posOffset>
            </wp:positionH>
            <wp:positionV relativeFrom="page">
              <wp:posOffset>1256134</wp:posOffset>
            </wp:positionV>
            <wp:extent cx="42681" cy="21342"/>
            <wp:effectExtent l="0" t="0" r="0" b="0"/>
            <wp:wrapSquare wrapText="bothSides"/>
            <wp:docPr id="16117" name="Picture 16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" name="Picture 161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 zajištění ochrany majetku a zdraví v budově, v níž se nachází předmět výpůjčky, uloží vypůjčitel u půjčitele náhradní klíče od předmětu výpůjčky. Proti zneužití náhradních </w:t>
      </w:r>
      <w:proofErr w:type="spellStart"/>
      <w:r>
        <w:t>klłcu</w:t>
      </w:r>
      <w:proofErr w:type="spellEnd"/>
      <w:r>
        <w:t xml:space="preserve"> je půjčitel před uložením zapeč</w:t>
      </w:r>
      <w:r>
        <w:t>etí v obálce. Vypůjčitel je oprávněn kontrolovat stav pečeti náhradních klíčů. Tyto náhradní klíče lze použít pouze v případě nezbytné potřeby při ochraně majetku a zdraví (zejména havárie a živelné katastrofy). O případném použití náhradních klíčů je půjč</w:t>
      </w:r>
      <w:r>
        <w:t>itel povinen vypůjčitele informovat předem, popřípadě neprodleně po použití těchto klíčů.</w:t>
      </w:r>
    </w:p>
    <w:p w:rsidR="00E41F2B" w:rsidRDefault="001106F8">
      <w:pPr>
        <w:numPr>
          <w:ilvl w:val="0"/>
          <w:numId w:val="6"/>
        </w:numPr>
        <w:ind w:right="45"/>
      </w:pPr>
      <w:r>
        <w:t>Vypůjčitel je povinen umožnit půjčiteli na jeho žádost vstup do předmětu výpůjčky, zejména za účelem kontroly dodržování podmínek podle této smlouvy, provádění nutných oprav nebo provádění kontroly instalovaných inženýrských sítí.</w:t>
      </w:r>
    </w:p>
    <w:p w:rsidR="00E41F2B" w:rsidRDefault="001106F8">
      <w:pPr>
        <w:spacing w:after="66" w:line="259" w:lineRule="auto"/>
        <w:ind w:left="235" w:firstLine="0"/>
        <w:jc w:val="center"/>
      </w:pPr>
      <w:r>
        <w:rPr>
          <w:sz w:val="36"/>
        </w:rPr>
        <w:t>čl. IX.</w:t>
      </w:r>
    </w:p>
    <w:p w:rsidR="00E41F2B" w:rsidRDefault="001106F8">
      <w:pPr>
        <w:spacing w:after="238"/>
        <w:ind w:left="667" w:right="4"/>
      </w:pPr>
      <w:proofErr w:type="gramStart"/>
      <w:r>
        <w:t>1 .</w:t>
      </w:r>
      <w:proofErr w:type="gramEnd"/>
      <w:r>
        <w:t xml:space="preserve"> </w:t>
      </w:r>
      <w:r>
        <w:t>Vypůjčitel mů</w:t>
      </w:r>
      <w:r>
        <w:t xml:space="preserve">že na své náklady umístit na viditelném místě v prostoru hlavního vchodu budovy, v níž se nachází předmět výpůjčky, vhodné označení svého názvu. Umístěné označení musí být v souladu s obecně platnými předpisy a vypůjčitel jej umístí dle pokynu půjčitele. </w:t>
      </w:r>
      <w:proofErr w:type="spellStart"/>
      <w:r>
        <w:t>V</w:t>
      </w:r>
      <w:r>
        <w:t>ypujcltel</w:t>
      </w:r>
      <w:proofErr w:type="spellEnd"/>
      <w:r>
        <w:t xml:space="preserve"> je dále povinen zajistit na vlastní náklady vnitřní informační systém (tabulky u dveří, směrové tabule apod.).</w:t>
      </w:r>
    </w:p>
    <w:p w:rsidR="00E41F2B" w:rsidRDefault="001106F8">
      <w:pPr>
        <w:numPr>
          <w:ilvl w:val="0"/>
          <w:numId w:val="7"/>
        </w:numPr>
        <w:spacing w:after="222"/>
        <w:ind w:right="187"/>
      </w:pPr>
      <w:r>
        <w:t>Za organizaci a zajištění požární ochrany, bezpečnosti a ochrany zdraví při práci, ochrany životního prostředí a hygieny v souladu s pl</w:t>
      </w:r>
      <w:r>
        <w:t>atnými předpisy odpovídá v předmětu výpůjčky vypůjčitel. Půjčitel je oprávněn kontrolovat dodržování platných předpisů v předmětu výpůjčky.</w:t>
      </w:r>
    </w:p>
    <w:p w:rsidR="00E41F2B" w:rsidRDefault="001106F8">
      <w:pPr>
        <w:numPr>
          <w:ilvl w:val="0"/>
          <w:numId w:val="7"/>
        </w:numPr>
        <w:ind w:right="187"/>
      </w:pPr>
      <w:r>
        <w:t>V souladu s ustanovením S 101 odst. 3 zákona č. 262/2006 Sb., zákoník práce, ve znění pozdějších předpisů, v případě</w:t>
      </w:r>
      <w:r>
        <w:t xml:space="preserve"> úkolů plněných společně zaměstnanci více zaměstnavatelů na společném pracovišti v budově, v níž se nachází předmět výpůjčky, je </w:t>
      </w:r>
      <w:proofErr w:type="spellStart"/>
      <w:r>
        <w:t>pujcltel</w:t>
      </w:r>
      <w:proofErr w:type="spellEnd"/>
      <w:r>
        <w:t xml:space="preserve"> pověřeným zaměstnavatelem, který koordinuje provádění opatření k ochraně bezpečnosti a zdraví zaměstnanců a postupy k </w:t>
      </w:r>
      <w:r>
        <w:t xml:space="preserve">jejich </w:t>
      </w:r>
      <w:proofErr w:type="spellStart"/>
      <w:r>
        <w:t>zaystení</w:t>
      </w:r>
      <w:proofErr w:type="spellEnd"/>
      <w:r>
        <w:t>.</w:t>
      </w:r>
    </w:p>
    <w:p w:rsidR="00E41F2B" w:rsidRDefault="001106F8">
      <w:pPr>
        <w:numPr>
          <w:ilvl w:val="0"/>
          <w:numId w:val="7"/>
        </w:numPr>
        <w:ind w:right="187"/>
      </w:pPr>
      <w:r>
        <w:lastRenderedPageBreak/>
        <w:t xml:space="preserve">Obě smluvní strany jsou povinny se písemně informovat o vzájemných rizicích a o přijatých opatřeních k ochraně před jejich působením před začátkem plnění úkolů uvedených v předchozím odstavci. Informace si předají neprodleně po zjištění a </w:t>
      </w:r>
      <w:r>
        <w:t>vyhodnocení takových rizik.</w:t>
      </w:r>
    </w:p>
    <w:p w:rsidR="00E41F2B" w:rsidRDefault="001106F8">
      <w:pPr>
        <w:numPr>
          <w:ilvl w:val="0"/>
          <w:numId w:val="7"/>
        </w:numPr>
        <w:spacing w:after="222"/>
        <w:ind w:right="187"/>
      </w:pPr>
      <w:r>
        <w:t>Půjčitel jako pověřený zaměstnavatel může nařizovat odstranění zjištěných závad, nařizovat opatření k zajištění bezpečnosti a ochrany zdraví při práci a požární ochrany a kontrolovat plnění těchto opatření.</w:t>
      </w:r>
    </w:p>
    <w:p w:rsidR="00E41F2B" w:rsidRDefault="001106F8">
      <w:pPr>
        <w:numPr>
          <w:ilvl w:val="0"/>
          <w:numId w:val="7"/>
        </w:numPr>
        <w:ind w:right="187"/>
      </w:pPr>
      <w:r>
        <w:t>Obě smluvní strany js</w:t>
      </w:r>
      <w:r>
        <w:t>ou povinny zajistit, aby jejich činnosti a práce při plnění úkolů na společném pracovišti zaměstnanců dalšího zaměstnavatele byly organizovány, koordinovány a prováděny tak, aby současně byli chráněni zaměstnanci dalšího zaměstnavatele.</w:t>
      </w:r>
    </w:p>
    <w:p w:rsidR="00E41F2B" w:rsidRDefault="001106F8">
      <w:pPr>
        <w:numPr>
          <w:ilvl w:val="0"/>
          <w:numId w:val="7"/>
        </w:numPr>
        <w:spacing w:after="118"/>
        <w:ind w:right="187"/>
      </w:pPr>
      <w:r>
        <w:t xml:space="preserve">V případě činností </w:t>
      </w:r>
      <w:r>
        <w:t>vykonávaných společně zaměstnanci obou smluvních stran na jednom pracovišti jsou obě smluvní strany povinny dostatečně a bez zbytečného odkladu informace o rizicích a přijatých opatřeních proti nim získané od druhého zaměstnavatele předat své odborové orga</w:t>
      </w:r>
      <w:r>
        <w:t>nizaci nebo svému zástupci zaměstnanců pro oblast bezpečnosti a ochrany zdraví při práci, a nepůsobí-li u nich, přímo svým zaměstnancům.</w:t>
      </w:r>
    </w:p>
    <w:p w:rsidR="00E41F2B" w:rsidRDefault="001106F8">
      <w:pPr>
        <w:numPr>
          <w:ilvl w:val="0"/>
          <w:numId w:val="7"/>
        </w:numPr>
        <w:ind w:right="187"/>
      </w:pPr>
      <w:r>
        <w:t>čl. IX. odst. 3, 4, 5, 6, 7 se týkají prostor, kde úkoly plní společně zaměstnanci obou smluvních stran či dalších zamě</w:t>
      </w:r>
      <w:r>
        <w:t>stnavatelů vykonávajících práce nebo činnosti pro některou smluvní stranu (např. chodby, schodiště).</w:t>
      </w:r>
    </w:p>
    <w:p w:rsidR="00E41F2B" w:rsidRDefault="001106F8">
      <w:pPr>
        <w:numPr>
          <w:ilvl w:val="0"/>
          <w:numId w:val="7"/>
        </w:numPr>
        <w:spacing w:after="709"/>
        <w:ind w:right="187"/>
      </w:pPr>
      <w:r>
        <w:t>Půjčitel prohlašuje, že budova, v níž se nachází předmět výpůjčky, není pojištěna. Půjčitel nenese odpovědnost za případné škody a ztráty na majetku a věce</w:t>
      </w:r>
      <w:r>
        <w:t xml:space="preserve">ch v předmětu </w:t>
      </w:r>
      <w:proofErr w:type="spellStart"/>
      <w:r>
        <w:t>výpůčky</w:t>
      </w:r>
      <w:proofErr w:type="spellEnd"/>
      <w:r>
        <w:t>, nebo na majetku, který je ve vlastnictví osob užívajících předmět výpůjčky na základě této smlouvy.</w:t>
      </w:r>
    </w:p>
    <w:p w:rsidR="00E41F2B" w:rsidRDefault="001106F8">
      <w:pPr>
        <w:numPr>
          <w:ilvl w:val="0"/>
          <w:numId w:val="8"/>
        </w:numPr>
        <w:spacing w:after="229"/>
        <w:ind w:right="4"/>
      </w:pPr>
      <w:r>
        <w:t>Zaplacením se v této smlouvě rozumí připsání příslušné částky na bankovní účet příjemce platby.</w:t>
      </w:r>
    </w:p>
    <w:p w:rsidR="00E41F2B" w:rsidRDefault="001106F8">
      <w:pPr>
        <w:numPr>
          <w:ilvl w:val="0"/>
          <w:numId w:val="8"/>
        </w:numPr>
        <w:spacing w:after="228"/>
        <w:ind w:right="4"/>
      </w:pPr>
      <w:r>
        <w:t xml:space="preserve">Nezaplatí-li vypůjčitel včas splatné </w:t>
      </w:r>
      <w:r>
        <w:t>úhrady za plnění poskytovaná v souvislosti s výpůjčkou předmětu výpůjčky, má půjčitel právo požadovat z dlužných plateb úrok z prodlení ve výši stanovené příslušným právním předpisem.</w:t>
      </w:r>
    </w:p>
    <w:p w:rsidR="00E41F2B" w:rsidRDefault="001106F8">
      <w:pPr>
        <w:numPr>
          <w:ilvl w:val="0"/>
          <w:numId w:val="8"/>
        </w:numPr>
        <w:spacing w:after="162"/>
        <w:ind w:right="4"/>
      </w:pPr>
      <w:r>
        <w:t>Nepředá-li vypůjčitel při skončení výpůjčky předmět výpůjčky včas a řádn</w:t>
      </w:r>
      <w:r>
        <w:t>ě vyklizený, zaplatí půjčiteli za dobu prodlení smluvní pokutu ve výši 1 000 Kč za každý den prodlení.</w:t>
      </w:r>
    </w:p>
    <w:p w:rsidR="00E41F2B" w:rsidRDefault="001106F8">
      <w:pPr>
        <w:numPr>
          <w:ilvl w:val="0"/>
          <w:numId w:val="8"/>
        </w:numPr>
        <w:spacing w:after="221"/>
        <w:ind w:right="4"/>
      </w:pPr>
      <w:r>
        <w:t xml:space="preserve">Nesplní-li vypůjčitel včas a řádně jinou svou povinnost, stanovenou touto smlouvou, je půjčitel oprávněn po vypůjčiteli požadovat smluvní pokutu ve výši </w:t>
      </w:r>
      <w:r>
        <w:t>1 000 Kč za každé porušení touto smlouvou sjednané povinnosti.</w:t>
      </w:r>
    </w:p>
    <w:p w:rsidR="00E41F2B" w:rsidRDefault="001106F8">
      <w:pPr>
        <w:numPr>
          <w:ilvl w:val="0"/>
          <w:numId w:val="8"/>
        </w:numPr>
        <w:spacing w:after="554"/>
        <w:ind w:right="4"/>
      </w:pPr>
      <w:r>
        <w:t>U škody, na kterou se vztahuje smluvní pokuta, může půjčitel po vypůjčiteli při neplnění povinností půjčitele požadovat i náhradu škody přesahující výši smluvní pokuty.</w:t>
      </w:r>
    </w:p>
    <w:p w:rsidR="00E41F2B" w:rsidRDefault="001106F8">
      <w:pPr>
        <w:numPr>
          <w:ilvl w:val="0"/>
          <w:numId w:val="9"/>
        </w:numPr>
        <w:ind w:right="4"/>
      </w:pPr>
      <w:r>
        <w:t>Smlouva je uzavřena okamžikem podpisu poslední smluvní stranou.</w:t>
      </w:r>
    </w:p>
    <w:p w:rsidR="00E41F2B" w:rsidRDefault="001106F8">
      <w:pPr>
        <w:numPr>
          <w:ilvl w:val="0"/>
          <w:numId w:val="9"/>
        </w:numPr>
        <w:ind w:right="4"/>
      </w:pPr>
      <w:r>
        <w:t>Smlouva nabývá platnost</w:t>
      </w:r>
      <w:r>
        <w:t xml:space="preserve">i a účinnosti dnem jejího uveřejnění v registru smluv v souladu se zákonem č. 340/2015 Sb., o zvláštních podmínkách účinnosti některých smluv, uveřejňování těchto smluv a o registru smluv (zákon o registru smluv) nebo dne 1. 1. 2019, podle </w:t>
      </w:r>
      <w:proofErr w:type="gramStart"/>
      <w:r>
        <w:t>toho</w:t>
      </w:r>
      <w:proofErr w:type="gramEnd"/>
      <w:r>
        <w:t xml:space="preserve"> které datum</w:t>
      </w:r>
      <w:r>
        <w:t xml:space="preserve"> nastane později. V závazcích a pohledávkách plynoucích z této smlouvy se postupuje vždy od 1. 1. 2019.</w:t>
      </w:r>
    </w:p>
    <w:p w:rsidR="00E41F2B" w:rsidRDefault="001106F8">
      <w:pPr>
        <w:numPr>
          <w:ilvl w:val="0"/>
          <w:numId w:val="9"/>
        </w:numPr>
        <w:ind w:right="4"/>
      </w:pPr>
      <w:r>
        <w:t>Půjčitel zašle tuto smlouvu správci registru smluv k uveřejnění bez zbytečného odkladu, nejpozději však do 30 dnů od uzavření smlouvy. Půjčitel předá vy</w:t>
      </w:r>
      <w:r>
        <w:t xml:space="preserve">půjčiteli doklad o uveřejnění smlouvy v </w:t>
      </w:r>
      <w:r>
        <w:lastRenderedPageBreak/>
        <w:t>registru smluv podle S 5 odst. 4 zákona o registru smluv jako potvrzení skutečnosti, že smlouva nabyla účinnosti.</w:t>
      </w:r>
    </w:p>
    <w:p w:rsidR="00E41F2B" w:rsidRDefault="001106F8">
      <w:pPr>
        <w:numPr>
          <w:ilvl w:val="0"/>
          <w:numId w:val="9"/>
        </w:numPr>
        <w:ind w:right="4"/>
      </w:pPr>
      <w:r>
        <w:t xml:space="preserve">Pro účely uveřejnění v registru smluv smluvní strany navzájem prohlašují, že smlouva neobsahuje žádné </w:t>
      </w:r>
      <w:r>
        <w:t>obchodní tajemství.</w:t>
      </w:r>
    </w:p>
    <w:p w:rsidR="00E41F2B" w:rsidRDefault="001106F8">
      <w:pPr>
        <w:numPr>
          <w:ilvl w:val="0"/>
          <w:numId w:val="9"/>
        </w:numPr>
        <w:ind w:right="4"/>
      </w:pPr>
      <w:r>
        <w:t>Ke dni počátku výpůjčky podle této smlouvy pozbývají účinnosti veškeré předchozí smluvní vztahy, vztahující se k předmětu výpůjčky, zejména smlouva o užívání nebytových prostor ze dne 30. 6. 2003, včetně všech jejích dodatků.</w:t>
      </w:r>
    </w:p>
    <w:p w:rsidR="00E41F2B" w:rsidRDefault="001106F8">
      <w:pPr>
        <w:numPr>
          <w:ilvl w:val="0"/>
          <w:numId w:val="9"/>
        </w:numPr>
        <w:ind w:right="4"/>
      </w:pPr>
      <w:r>
        <w:t>Smluvní st</w:t>
      </w:r>
      <w:r>
        <w:t>rany berou na vědomí, že jsou svými projevy vázány od okamžiku podpisu této smlouvy.</w:t>
      </w:r>
    </w:p>
    <w:p w:rsidR="00E41F2B" w:rsidRDefault="001106F8">
      <w:pPr>
        <w:numPr>
          <w:ilvl w:val="0"/>
          <w:numId w:val="9"/>
        </w:numPr>
        <w:spacing w:after="152"/>
        <w:ind w:right="4"/>
      </w:pPr>
      <w:r>
        <w:t>Smluvní strany se dohodly, že není-li v této smlouvě stanoveno jinak, řídí se práva a povinnosti smluvních stran zákonem č. 89/2012 Sb. a zákonem č. 219/2000 Sb.</w:t>
      </w:r>
    </w:p>
    <w:p w:rsidR="00E41F2B" w:rsidRDefault="001106F8">
      <w:pPr>
        <w:numPr>
          <w:ilvl w:val="0"/>
          <w:numId w:val="9"/>
        </w:numPr>
        <w:ind w:right="4"/>
      </w:pPr>
      <w:r>
        <w:t>Smluvní s</w:t>
      </w:r>
      <w:r>
        <w:t>trany se dohodly, že jakékoli změny a doplňky této smlouvy jsou možné pouze písemnou formou, v podobě oboustranně uzavřených, vzestupně číslovaných dodatků smlouvy.</w:t>
      </w:r>
    </w:p>
    <w:p w:rsidR="00E41F2B" w:rsidRDefault="001106F8">
      <w:pPr>
        <w:numPr>
          <w:ilvl w:val="0"/>
          <w:numId w:val="9"/>
        </w:numPr>
        <w:spacing w:after="152"/>
        <w:ind w:right="4"/>
      </w:pPr>
      <w:r>
        <w:t xml:space="preserve">Tato smlouva je vyhotovena ve dvou stejnopisech. Každá ze smluvních stran obdrží po jednom </w:t>
      </w:r>
      <w:r>
        <w:t>vyhotoven í.</w:t>
      </w:r>
    </w:p>
    <w:p w:rsidR="00E41F2B" w:rsidRDefault="001106F8">
      <w:pPr>
        <w:numPr>
          <w:ilvl w:val="0"/>
          <w:numId w:val="9"/>
        </w:numPr>
        <w:spacing w:after="34"/>
        <w:ind w:right="4"/>
      </w:pPr>
      <w:r>
        <w:t>Smluvní strany prohlašují, že tuto smlouvu uzavřely svobodně a vážně, nikoliv z přinucení nebo omylu. Na důkaz toho připojují své vlastnoruční podpisy.</w:t>
      </w:r>
    </w:p>
    <w:tbl>
      <w:tblPr>
        <w:tblStyle w:val="TableGrid"/>
        <w:tblW w:w="9573" w:type="dxa"/>
        <w:tblInd w:w="240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5137"/>
      </w:tblGrid>
      <w:tr w:rsidR="00E41F2B">
        <w:trPr>
          <w:trHeight w:val="1042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E41F2B" w:rsidRDefault="001106F8">
            <w:pPr>
              <w:tabs>
                <w:tab w:val="center" w:pos="2540"/>
                <w:tab w:val="center" w:pos="2888"/>
                <w:tab w:val="center" w:pos="2974"/>
              </w:tabs>
              <w:spacing w:after="195" w:line="259" w:lineRule="auto"/>
              <w:ind w:left="0" w:firstLine="0"/>
              <w:jc w:val="left"/>
            </w:pPr>
            <w:r>
              <w:rPr>
                <w:sz w:val="26"/>
              </w:rPr>
              <w:t>V Ústí nad Labem dne</w:t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83" cy="97564"/>
                  <wp:effectExtent l="0" t="0" r="0" b="0"/>
                  <wp:docPr id="21435" name="Picture 2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5" name="Picture 21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9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32" cy="18293"/>
                  <wp:effectExtent l="0" t="0" r="0" b="0"/>
                  <wp:docPr id="21436" name="Picture 2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6" name="Picture 214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32" cy="88417"/>
                  <wp:effectExtent l="0" t="0" r="0" b="0"/>
                  <wp:docPr id="21434" name="Picture 2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4" name="Picture 214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2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1F2B" w:rsidRDefault="001106F8">
            <w:pPr>
              <w:spacing w:after="0" w:line="259" w:lineRule="auto"/>
              <w:ind w:left="10" w:firstLine="0"/>
            </w:pPr>
            <w:r>
              <w:rPr>
                <w:sz w:val="26"/>
              </w:rPr>
              <w:t xml:space="preserve">Česká </w:t>
            </w:r>
            <w:proofErr w:type="gramStart"/>
            <w:r>
              <w:rPr>
                <w:sz w:val="26"/>
              </w:rPr>
              <w:t>republika - Úřad</w:t>
            </w:r>
            <w:proofErr w:type="gramEnd"/>
            <w:r>
              <w:rPr>
                <w:sz w:val="26"/>
              </w:rPr>
              <w:t xml:space="preserve"> pro zastupování státu ve věcech majetkový</w:t>
            </w:r>
            <w:r>
              <w:rPr>
                <w:sz w:val="26"/>
              </w:rPr>
              <w:t>ch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E41F2B" w:rsidRDefault="001106F8">
            <w:pPr>
              <w:tabs>
                <w:tab w:val="center" w:pos="1637"/>
                <w:tab w:val="center" w:pos="3831"/>
              </w:tabs>
              <w:spacing w:after="161" w:line="259" w:lineRule="auto"/>
              <w:ind w:left="0" w:firstLine="0"/>
              <w:jc w:val="left"/>
            </w:pPr>
            <w:r>
              <w:rPr>
                <w:sz w:val="26"/>
              </w:rPr>
              <w:tab/>
              <w:t>V Ústí nad Labem dne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1 4 120 2018</w:t>
            </w:r>
          </w:p>
          <w:p w:rsidR="00E41F2B" w:rsidRDefault="001106F8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Zdravotní ústav se sídlem v Ústí nad Labem</w:t>
            </w:r>
          </w:p>
        </w:tc>
      </w:tr>
    </w:tbl>
    <w:tbl>
      <w:tblPr>
        <w:tblStyle w:val="TableGrid"/>
        <w:tblpPr w:vertAnchor="text" w:tblpX="7459" w:tblpY="-149"/>
        <w:tblOverlap w:val="never"/>
        <w:tblW w:w="1101" w:type="dxa"/>
        <w:tblInd w:w="0" w:type="dxa"/>
        <w:tblCellMar>
          <w:top w:w="0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</w:tblGrid>
      <w:tr w:rsidR="00E41F2B">
        <w:trPr>
          <w:trHeight w:val="764"/>
        </w:trPr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1F2B" w:rsidRDefault="001106F8">
            <w:pPr>
              <w:spacing w:after="0" w:line="219" w:lineRule="auto"/>
              <w:ind w:left="0" w:right="-346" w:firstLine="0"/>
              <w:jc w:val="right"/>
            </w:pPr>
            <w:r>
              <w:rPr>
                <w:sz w:val="16"/>
              </w:rPr>
              <w:t xml:space="preserve">ZDRAVOTNÍ se sídlem v Moskevská 15, </w:t>
            </w:r>
          </w:p>
          <w:p w:rsidR="00E41F2B" w:rsidRDefault="001106F8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4"/>
              </w:rPr>
              <w:t xml:space="preserve">71009361 </w:t>
            </w:r>
          </w:p>
        </w:tc>
      </w:tr>
    </w:tbl>
    <w:tbl>
      <w:tblPr>
        <w:tblStyle w:val="TableGrid"/>
        <w:tblpPr w:vertAnchor="text" w:tblpX="8824" w:tblpY="-127"/>
        <w:tblOverlap w:val="never"/>
        <w:tblW w:w="1138" w:type="dxa"/>
        <w:tblInd w:w="0" w:type="dxa"/>
        <w:tblCellMar>
          <w:top w:w="0" w:type="dxa"/>
          <w:left w:w="19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138"/>
      </w:tblGrid>
      <w:tr w:rsidR="00E41F2B">
        <w:trPr>
          <w:trHeight w:val="756"/>
        </w:trPr>
        <w:tc>
          <w:tcPr>
            <w:tcW w:w="11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41F2B" w:rsidRDefault="001106F8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ÚSTAV</w:t>
            </w:r>
          </w:p>
          <w:p w:rsidR="00E41F2B" w:rsidRDefault="001106F8">
            <w:pPr>
              <w:spacing w:after="0" w:line="217" w:lineRule="auto"/>
              <w:ind w:left="62" w:hanging="38"/>
            </w:pPr>
            <w:r>
              <w:rPr>
                <w:sz w:val="16"/>
              </w:rPr>
              <w:t xml:space="preserve">nad Labem </w:t>
            </w:r>
            <w:proofErr w:type="spellStart"/>
            <w:r>
              <w:rPr>
                <w:sz w:val="16"/>
              </w:rPr>
              <w:t>úsĽí</w:t>
            </w:r>
            <w:proofErr w:type="spellEnd"/>
            <w:r>
              <w:rPr>
                <w:sz w:val="16"/>
              </w:rPr>
              <w:t xml:space="preserve"> nad Labem</w:t>
            </w:r>
          </w:p>
          <w:p w:rsidR="00E41F2B" w:rsidRDefault="001106F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CZ71009361</w:t>
            </w:r>
          </w:p>
        </w:tc>
      </w:tr>
    </w:tbl>
    <w:tbl>
      <w:tblPr>
        <w:tblStyle w:val="TableGrid"/>
        <w:tblpPr w:vertAnchor="text" w:tblpX="1181" w:tblpY="2079"/>
        <w:tblOverlap w:val="never"/>
        <w:tblW w:w="8190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3538"/>
      </w:tblGrid>
      <w:tr w:rsidR="00E41F2B">
        <w:trPr>
          <w:trHeight w:val="242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E41F2B" w:rsidRDefault="001106F8">
            <w:pPr>
              <w:spacing w:after="0" w:line="259" w:lineRule="auto"/>
              <w:ind w:left="360" w:firstLine="0"/>
              <w:jc w:val="left"/>
            </w:pPr>
            <w:r>
              <w:rPr>
                <w:sz w:val="28"/>
              </w:rPr>
              <w:t>PhDr. Marie Ševelová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E41F2B" w:rsidRDefault="001106F8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Ing. Pavel </w:t>
            </w:r>
            <w:proofErr w:type="spellStart"/>
            <w:r>
              <w:rPr>
                <w:sz w:val="28"/>
              </w:rPr>
              <w:t>Bernáth</w:t>
            </w:r>
            <w:proofErr w:type="spellEnd"/>
          </w:p>
        </w:tc>
      </w:tr>
      <w:tr w:rsidR="00E41F2B">
        <w:trPr>
          <w:trHeight w:val="252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E41F2B" w:rsidRDefault="001106F8">
            <w:pPr>
              <w:spacing w:after="0" w:line="259" w:lineRule="auto"/>
              <w:ind w:left="0" w:firstLine="0"/>
              <w:jc w:val="left"/>
            </w:pPr>
            <w:r>
              <w:t>ředitelka Územního pracoviště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E41F2B" w:rsidRDefault="001106F8">
            <w:pPr>
              <w:spacing w:after="0" w:line="259" w:lineRule="auto"/>
              <w:ind w:left="0" w:firstLine="0"/>
            </w:pPr>
            <w:r>
              <w:t>ředitel Zdravotního ústavu se sídlem</w:t>
            </w:r>
          </w:p>
        </w:tc>
      </w:tr>
      <w:tr w:rsidR="00E41F2B">
        <w:trPr>
          <w:trHeight w:val="241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E41F2B" w:rsidRDefault="001106F8">
            <w:pPr>
              <w:spacing w:after="0" w:line="259" w:lineRule="auto"/>
              <w:ind w:left="711" w:firstLine="0"/>
              <w:jc w:val="left"/>
            </w:pPr>
            <w:r>
              <w:rPr>
                <w:sz w:val="26"/>
              </w:rPr>
              <w:t>Ústí nad Labem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E41F2B" w:rsidRDefault="001106F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v Ústí nad Labem</w:t>
            </w:r>
          </w:p>
        </w:tc>
      </w:tr>
    </w:tbl>
    <w:p w:rsidR="00E41F2B" w:rsidRDefault="001106F8">
      <w:pPr>
        <w:spacing w:after="0" w:line="259" w:lineRule="auto"/>
        <w:ind w:left="735" w:right="38" w:firstLine="0"/>
        <w:jc w:val="right"/>
      </w:pPr>
      <w:r>
        <w:rPr>
          <w:sz w:val="16"/>
        </w:rPr>
        <w:t xml:space="preserve">ústí </w:t>
      </w:r>
    </w:p>
    <w:p w:rsidR="00E41F2B" w:rsidRDefault="001106F8">
      <w:pPr>
        <w:spacing w:after="0" w:line="259" w:lineRule="auto"/>
        <w:ind w:left="735" w:right="1167" w:firstLine="0"/>
        <w:jc w:val="right"/>
      </w:pPr>
      <w:r>
        <w:rPr>
          <w:sz w:val="14"/>
        </w:rPr>
        <w:t xml:space="preserve">400 Cl </w:t>
      </w:r>
    </w:p>
    <w:p w:rsidR="00E41F2B" w:rsidRDefault="001106F8">
      <w:pPr>
        <w:spacing w:after="3299" w:line="224" w:lineRule="auto"/>
        <w:ind w:left="735" w:right="38" w:firstLine="0"/>
        <w:jc w:val="center"/>
      </w:pPr>
      <w:proofErr w:type="spellStart"/>
      <w:r>
        <w:rPr>
          <w:sz w:val="18"/>
        </w:rPr>
        <w:t>Dič</w:t>
      </w:r>
      <w:proofErr w:type="spellEnd"/>
      <w:r>
        <w:rPr>
          <w:sz w:val="18"/>
        </w:rPr>
        <w:t xml:space="preserve"> </w:t>
      </w:r>
      <w:r>
        <w:rPr>
          <w:sz w:val="18"/>
        </w:rPr>
        <w:t>601</w:t>
      </w:r>
    </w:p>
    <w:p w:rsidR="00E41F2B" w:rsidRDefault="001106F8">
      <w:pPr>
        <w:spacing w:after="134" w:line="259" w:lineRule="auto"/>
        <w:ind w:left="317" w:hanging="10"/>
        <w:jc w:val="left"/>
      </w:pPr>
      <w:r>
        <w:rPr>
          <w:sz w:val="28"/>
        </w:rPr>
        <w:lastRenderedPageBreak/>
        <w:t>Přílohy:</w:t>
      </w:r>
    </w:p>
    <w:p w:rsidR="00E41F2B" w:rsidRDefault="001106F8">
      <w:pPr>
        <w:spacing w:after="1138"/>
        <w:ind w:left="317" w:right="4" w:firstLine="0"/>
      </w:pPr>
      <w:r>
        <w:t xml:space="preserve">Příloha c </w:t>
      </w:r>
      <w:proofErr w:type="gramStart"/>
      <w:r>
        <w:rPr>
          <w:vertAlign w:val="superscript"/>
        </w:rPr>
        <w:t xml:space="preserve">v </w:t>
      </w:r>
      <w:r>
        <w:t>.</w:t>
      </w:r>
      <w:proofErr w:type="gramEnd"/>
      <w:r>
        <w:t xml:space="preserve"> 1 — soupis, specifikace a umístění prostor tvořících předmět výpůjčky</w:t>
      </w:r>
    </w:p>
    <w:p w:rsidR="00E41F2B" w:rsidRDefault="001106F8">
      <w:pPr>
        <w:spacing w:after="456" w:line="259" w:lineRule="auto"/>
        <w:ind w:left="336" w:hanging="10"/>
        <w:jc w:val="center"/>
      </w:pPr>
      <w:r>
        <w:rPr>
          <w:sz w:val="26"/>
        </w:rPr>
        <w:t>6</w:t>
      </w:r>
    </w:p>
    <w:p w:rsidR="00E41F2B" w:rsidRDefault="00E41F2B">
      <w:pPr>
        <w:sectPr w:rsidR="00E41F2B">
          <w:pgSz w:w="11906" w:h="16838"/>
          <w:pgMar w:top="1122" w:right="869" w:bottom="1027" w:left="1037" w:header="708" w:footer="708" w:gutter="0"/>
          <w:cols w:space="708"/>
        </w:sectPr>
      </w:pPr>
    </w:p>
    <w:p w:rsidR="00E41F2B" w:rsidRDefault="001106F8">
      <w:pPr>
        <w:spacing w:after="0" w:line="259" w:lineRule="auto"/>
        <w:ind w:left="-1440" w:right="15398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-5727947</wp:posOffset>
                </wp:positionH>
                <wp:positionV relativeFrom="paragraph">
                  <wp:posOffset>7658902</wp:posOffset>
                </wp:positionV>
                <wp:extent cx="210843" cy="646616"/>
                <wp:effectExtent l="0" t="0" r="0" b="0"/>
                <wp:wrapTopAndBottom/>
                <wp:docPr id="22512" name="Rectangle 22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43" cy="6466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1F2B" w:rsidRDefault="001106F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bookmarkStart w:id="0" w:name="_GoBack"/>
                            <w:r>
                              <w:rPr>
                                <w:rFonts w:ascii="Microsoft JhengHei" w:eastAsia="Microsoft JhengHei" w:hAnsi="Microsoft JhengHei" w:cs="Microsoft JhengHei"/>
                                <w:sz w:val="4"/>
                              </w:rPr>
                              <w:t>eq01J4d</w:t>
                            </w:r>
                            <w:bookmarkEnd w:id="0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12" o:spid="_x0000_s1026" style="position:absolute;left:0;text-align:left;margin-left:-451pt;margin-top:603.05pt;width:16.6pt;height:5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" filled="f" stroked="f">
                <v:textbox inset="0,0,0,0">
                  <w:txbxContent>
                    <w:p w:rsidR="00E41F2B" w:rsidRDefault="001106F8">
                      <w:pPr>
                        <w:spacing w:after="160" w:line="259" w:lineRule="auto"/>
                        <w:ind w:left="0" w:firstLine="0"/>
                        <w:jc w:val="left"/>
                      </w:pPr>
                      <w:bookmarkStart w:id="1" w:name="_GoBack"/>
                      <w:r>
                        <w:rPr>
                          <w:rFonts w:ascii="Microsoft JhengHei" w:eastAsia="Microsoft JhengHei" w:hAnsi="Microsoft JhengHei" w:cs="Microsoft JhengHei"/>
                          <w:sz w:val="4"/>
                        </w:rPr>
                        <w:t>eq01J4d</w:t>
                      </w:r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41F2B" w:rsidRDefault="00E41F2B">
      <w:pPr>
        <w:sectPr w:rsidR="00E41F2B">
          <w:pgSz w:w="11906" w:h="16838"/>
          <w:pgMar w:top="1440" w:right="1440" w:bottom="1440" w:left="1440" w:header="708" w:footer="708" w:gutter="0"/>
          <w:cols w:space="708"/>
          <w:textDirection w:val="tbRl"/>
        </w:sectPr>
      </w:pPr>
    </w:p>
    <w:p w:rsidR="00E41F2B" w:rsidRDefault="001106F8">
      <w:pPr>
        <w:spacing w:after="0" w:line="259" w:lineRule="auto"/>
        <w:ind w:left="-1440" w:right="10466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66481" name="Picture 66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1" name="Picture 664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F2B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14303"/>
    <w:multiLevelType w:val="hybridMultilevel"/>
    <w:tmpl w:val="33A6B2BC"/>
    <w:lvl w:ilvl="0" w:tplc="84F41F22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C2936C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064AE2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F20B50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667BDC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B6761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8C151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107B1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AC64A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E624C"/>
    <w:multiLevelType w:val="hybridMultilevel"/>
    <w:tmpl w:val="A704CA3C"/>
    <w:lvl w:ilvl="0" w:tplc="DED8A78C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561680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D84BBE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088AE4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50B45E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6CF4A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54B80C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28C44C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967726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62605"/>
    <w:multiLevelType w:val="hybridMultilevel"/>
    <w:tmpl w:val="9126E926"/>
    <w:lvl w:ilvl="0" w:tplc="DE82B6CE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BAF130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888D08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5215DC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CA97A8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F2881E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FA85CE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E65B6E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AEEB76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50E7D"/>
    <w:multiLevelType w:val="hybridMultilevel"/>
    <w:tmpl w:val="23D631FE"/>
    <w:lvl w:ilvl="0" w:tplc="57E42A5C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9017B2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774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6CB908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38EC24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4C9A94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BEB98E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0C5022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E88A9A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D90F5E"/>
    <w:multiLevelType w:val="hybridMultilevel"/>
    <w:tmpl w:val="58A0700E"/>
    <w:lvl w:ilvl="0" w:tplc="372CE04A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6CDA22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EC9084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DCC3D4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462C8E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10894E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40BA5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8A2D9E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4EB2FA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C10438"/>
    <w:multiLevelType w:val="hybridMultilevel"/>
    <w:tmpl w:val="30D272B4"/>
    <w:lvl w:ilvl="0" w:tplc="EAC424B2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4C7A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708D7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9E4C7E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2E3A32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02A10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50ACAE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3826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68D48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574532"/>
    <w:multiLevelType w:val="hybridMultilevel"/>
    <w:tmpl w:val="B3E86742"/>
    <w:lvl w:ilvl="0" w:tplc="D63076CC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D0E0F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3CEB2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C82FC0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623BD6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9CDE1A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E45504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63E30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D038D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7D1139"/>
    <w:multiLevelType w:val="hybridMultilevel"/>
    <w:tmpl w:val="BD26DD78"/>
    <w:lvl w:ilvl="0" w:tplc="BE2C4E20">
      <w:start w:val="2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5878B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568E20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52E62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4372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1ECE98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2C1CC2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E42628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5C22EC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603128"/>
    <w:multiLevelType w:val="hybridMultilevel"/>
    <w:tmpl w:val="1FDA573C"/>
    <w:lvl w:ilvl="0" w:tplc="1E1C720E">
      <w:start w:val="2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96113A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547A40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1ABA46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02F17C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41B8E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FAEF94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6002EA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05A66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2B"/>
    <w:rsid w:val="001106F8"/>
    <w:rsid w:val="00E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02A75C9-6352-44EE-8F03-BA0C9DDA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1" w:line="225" w:lineRule="auto"/>
      <w:ind w:left="374" w:hanging="36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54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2450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2018-12-19T12:01:00Z</dcterms:created>
  <dcterms:modified xsi:type="dcterms:W3CDTF">2018-12-19T12:01:00Z</dcterms:modified>
</cp:coreProperties>
</file>