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</w:rPr>
      </w:pP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color w:val="000000"/>
        </w:rPr>
      </w:pPr>
      <w:r>
        <w:rPr>
          <w:b/>
          <w:color w:val="000000"/>
        </w:rPr>
        <w:t>SMLOUVA O ZŘÍZENÍ A PROVOZU KONSIGNAČNÍHO SKLADU</w:t>
      </w:r>
      <w:r>
        <w:rPr>
          <w:b/>
          <w:color w:val="000000"/>
        </w:rPr>
        <w:br/>
        <w:t>A RÁMCOVÁ KUPNÍ SMLOUVA</w:t>
      </w:r>
    </w:p>
    <w:p w:rsidR="00C22C2E" w:rsidRPr="00847B62" w:rsidRDefault="005C7F76">
      <w:pPr>
        <w:pBdr>
          <w:top w:val="nil"/>
          <w:left w:val="nil"/>
          <w:bottom w:val="nil"/>
          <w:right w:val="nil"/>
          <w:between w:val="nil"/>
        </w:pBdr>
        <w:spacing w:before="360"/>
        <w:jc w:val="center"/>
        <w:rPr>
          <w:color w:val="000000"/>
        </w:rPr>
      </w:pPr>
      <w:r w:rsidRPr="00847B62">
        <w:rPr>
          <w:b/>
          <w:color w:val="000000"/>
        </w:rPr>
        <w:t>I.</w:t>
      </w:r>
    </w:p>
    <w:p w:rsidR="00C22C2E" w:rsidRPr="00847B62" w:rsidRDefault="005C7F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47B62">
        <w:rPr>
          <w:b/>
          <w:color w:val="000000"/>
        </w:rPr>
        <w:t>Smluvní strany</w:t>
      </w:r>
    </w:p>
    <w:p w:rsidR="00C22C2E" w:rsidRPr="00847B62" w:rsidRDefault="00C22C2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rPr>
          <w:color w:val="000000"/>
        </w:rPr>
      </w:pPr>
    </w:p>
    <w:p w:rsidR="00C22C2E" w:rsidRPr="00847B62" w:rsidRDefault="005C7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 w:hanging="1416"/>
        <w:rPr>
          <w:color w:val="000000"/>
        </w:rPr>
      </w:pPr>
      <w:r w:rsidRPr="00847B62">
        <w:rPr>
          <w:color w:val="000000"/>
        </w:rPr>
        <w:t xml:space="preserve">Odběratel: </w:t>
      </w:r>
      <w:r w:rsidR="00492680" w:rsidRPr="00847B62">
        <w:rPr>
          <w:color w:val="000000"/>
        </w:rPr>
        <w:tab/>
      </w:r>
      <w:r w:rsidR="00D31C29">
        <w:rPr>
          <w:b/>
          <w:bCs/>
          <w:sz w:val="18"/>
          <w:szCs w:val="18"/>
        </w:rPr>
        <w:t>Krajská nemocnice T. Bati, a. s.</w:t>
      </w:r>
    </w:p>
    <w:p w:rsidR="00492680" w:rsidRPr="00847B62" w:rsidRDefault="00492680" w:rsidP="00492680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sz w:val="18"/>
          <w:szCs w:val="18"/>
        </w:rPr>
      </w:pPr>
      <w:r w:rsidRPr="00847B62">
        <w:rPr>
          <w:color w:val="000000"/>
        </w:rPr>
        <w:t xml:space="preserve">                            </w:t>
      </w:r>
      <w:r w:rsidRPr="00847B62">
        <w:rPr>
          <w:sz w:val="18"/>
          <w:szCs w:val="18"/>
        </w:rPr>
        <w:t>zapsána v obchodním rejstříku u Krajského soudu v Brně oddíl B., vložka 4437</w:t>
      </w:r>
    </w:p>
    <w:p w:rsidR="00C22C2E" w:rsidRPr="00847B62" w:rsidRDefault="00492680" w:rsidP="00492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47B62">
        <w:rPr>
          <w:color w:val="000000"/>
        </w:rPr>
        <w:t>sídlo:</w:t>
      </w:r>
      <w:r w:rsidRPr="00847B62">
        <w:rPr>
          <w:color w:val="000000"/>
        </w:rPr>
        <w:tab/>
      </w:r>
      <w:r w:rsidRPr="00847B62">
        <w:rPr>
          <w:color w:val="000000"/>
        </w:rPr>
        <w:tab/>
      </w:r>
      <w:r w:rsidRPr="00847B62">
        <w:rPr>
          <w:sz w:val="18"/>
          <w:szCs w:val="18"/>
        </w:rPr>
        <w:t>Havlíčkovo nábřeží 600, 762 75 Zlín</w:t>
      </w:r>
    </w:p>
    <w:p w:rsidR="00C22C2E" w:rsidRPr="00847B62" w:rsidRDefault="00492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 w:hanging="1416"/>
        <w:rPr>
          <w:color w:val="000000"/>
        </w:rPr>
      </w:pPr>
      <w:r w:rsidRPr="00847B62">
        <w:rPr>
          <w:color w:val="000000"/>
        </w:rPr>
        <w:t>IČ:</w:t>
      </w:r>
      <w:r w:rsidRPr="00847B62">
        <w:rPr>
          <w:color w:val="000000"/>
        </w:rPr>
        <w:tab/>
      </w:r>
      <w:r w:rsidRPr="00847B62">
        <w:rPr>
          <w:sz w:val="18"/>
          <w:szCs w:val="18"/>
        </w:rPr>
        <w:t>27661989</w:t>
      </w:r>
    </w:p>
    <w:p w:rsidR="00492680" w:rsidRPr="00847B62" w:rsidRDefault="00492680" w:rsidP="00492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 w:hanging="1416"/>
        <w:rPr>
          <w:color w:val="000000"/>
        </w:rPr>
      </w:pPr>
      <w:r w:rsidRPr="00847B62">
        <w:rPr>
          <w:color w:val="000000"/>
        </w:rPr>
        <w:t xml:space="preserve">bank. </w:t>
      </w:r>
      <w:proofErr w:type="gramStart"/>
      <w:r w:rsidRPr="00847B62">
        <w:rPr>
          <w:color w:val="000000"/>
        </w:rPr>
        <w:t>spojení</w:t>
      </w:r>
      <w:proofErr w:type="gramEnd"/>
      <w:r w:rsidRPr="00847B62">
        <w:rPr>
          <w:color w:val="000000"/>
        </w:rPr>
        <w:t>:</w:t>
      </w:r>
      <w:r w:rsidRPr="00847B62">
        <w:rPr>
          <w:color w:val="000000"/>
        </w:rPr>
        <w:tab/>
      </w:r>
      <w:r w:rsidRPr="00847B62">
        <w:rPr>
          <w:sz w:val="18"/>
          <w:szCs w:val="18"/>
        </w:rPr>
        <w:t xml:space="preserve">ČSOB, č. </w:t>
      </w:r>
      <w:proofErr w:type="spellStart"/>
      <w:r w:rsidRPr="00847B62">
        <w:rPr>
          <w:sz w:val="18"/>
          <w:szCs w:val="18"/>
        </w:rPr>
        <w:t>ú.</w:t>
      </w:r>
      <w:proofErr w:type="spellEnd"/>
      <w:r w:rsidRPr="00847B62">
        <w:rPr>
          <w:sz w:val="18"/>
          <w:szCs w:val="18"/>
        </w:rPr>
        <w:t xml:space="preserve"> 151203067/0300</w:t>
      </w:r>
    </w:p>
    <w:p w:rsidR="00492680" w:rsidRPr="00847B62" w:rsidRDefault="00492680" w:rsidP="00492680">
      <w:pPr>
        <w:pStyle w:val="Zhlav"/>
        <w:tabs>
          <w:tab w:val="clear" w:pos="4536"/>
          <w:tab w:val="clear" w:pos="9072"/>
          <w:tab w:val="left" w:pos="2694"/>
          <w:tab w:val="left" w:pos="5245"/>
          <w:tab w:val="left" w:pos="7513"/>
        </w:tabs>
        <w:rPr>
          <w:sz w:val="18"/>
          <w:szCs w:val="18"/>
        </w:rPr>
      </w:pPr>
      <w:r w:rsidRPr="00847B62">
        <w:rPr>
          <w:color w:val="000000"/>
        </w:rPr>
        <w:t>Zastoupená:</w:t>
      </w:r>
      <w:r w:rsidRPr="00847B62">
        <w:rPr>
          <w:b/>
          <w:color w:val="000000"/>
        </w:rPr>
        <w:t xml:space="preserve">       </w:t>
      </w:r>
      <w:r w:rsidRPr="00847B62">
        <w:rPr>
          <w:sz w:val="18"/>
          <w:szCs w:val="18"/>
        </w:rPr>
        <w:t xml:space="preserve">MUDr. Radomír Maráček, předseda představenstva a Ing. Vlastimil Vajdák, člen představenstva </w:t>
      </w: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2C2E" w:rsidRDefault="005C7F76" w:rsidP="00492680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ind w:hanging="1980"/>
        <w:jc w:val="both"/>
        <w:rPr>
          <w:color w:val="000000"/>
        </w:rPr>
      </w:pPr>
      <w:r>
        <w:rPr>
          <w:color w:val="000000"/>
        </w:rPr>
        <w:t>a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Dodavatel: </w:t>
      </w:r>
      <w:r>
        <w:rPr>
          <w:color w:val="000000"/>
        </w:rPr>
        <w:tab/>
      </w:r>
      <w:r>
        <w:rPr>
          <w:b/>
          <w:color w:val="000000"/>
        </w:rPr>
        <w:t>REJA spol. s r.o.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zapsána v registru obchodního rejstříku Krajského soudu v Ostravě, oddíl C, spisová značka 2714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>
        <w:rPr>
          <w:color w:val="000000"/>
        </w:rPr>
        <w:tab/>
        <w:t>Dolní nám. 305/21, 746 01 Opava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jednající: </w:t>
      </w:r>
      <w:r>
        <w:rPr>
          <w:color w:val="000000"/>
        </w:rPr>
        <w:tab/>
        <w:t>René Škrobánek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IČ: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44738706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>CZ44738706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bank. </w:t>
      </w:r>
      <w:proofErr w:type="gramStart"/>
      <w:r>
        <w:rPr>
          <w:color w:val="000000"/>
        </w:rPr>
        <w:t>spojení</w:t>
      </w:r>
      <w:proofErr w:type="gramEnd"/>
      <w:r>
        <w:rPr>
          <w:color w:val="000000"/>
        </w:rPr>
        <w:t xml:space="preserve">: </w:t>
      </w:r>
      <w:r>
        <w:rPr>
          <w:color w:val="000000"/>
        </w:rPr>
        <w:tab/>
        <w:t>Československá obchodní banka, a.s., pobočka Ústí n. Orlicí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r>
        <w:rPr>
          <w:color w:val="000000"/>
        </w:rPr>
        <w:t xml:space="preserve">č. účtu:  </w:t>
      </w:r>
      <w:r>
        <w:rPr>
          <w:color w:val="000000"/>
        </w:rPr>
        <w:tab/>
      </w:r>
      <w:r>
        <w:rPr>
          <w:color w:val="000000"/>
        </w:rPr>
        <w:tab/>
        <w:t>192042255/0300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color w:val="000000"/>
        </w:rPr>
        <w:t xml:space="preserve">uzavřeli níže uvedeného dne, měsíce a roku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1746 odst. 2 zákona č. 89/2012 Sb., občanský zákoník, ve znění pozdějších předpisů, tuto smlouvu o zřízení konsignačního skladu a rámcovou kupní smlouvu.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ind w:left="4963"/>
        <w:jc w:val="both"/>
        <w:rPr>
          <w:color w:val="000000"/>
        </w:rPr>
      </w:pPr>
      <w:r>
        <w:rPr>
          <w:b/>
          <w:color w:val="000000"/>
        </w:rPr>
        <w:t xml:space="preserve">II.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>Předmět a účel smlouvy</w:t>
      </w:r>
    </w:p>
    <w:p w:rsidR="00C22C2E" w:rsidRDefault="005C7F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firstLine="0"/>
        <w:jc w:val="both"/>
      </w:pPr>
      <w:r>
        <w:rPr>
          <w:color w:val="000000"/>
        </w:rPr>
        <w:t xml:space="preserve">Dodavatel zřizuje na základě této smlouvy a za podmínek v ní dále uvedených u odběratele konsignační sklad se zdravotnickými prostředky – </w:t>
      </w:r>
      <w:r>
        <w:rPr>
          <w:b/>
          <w:color w:val="000000"/>
        </w:rPr>
        <w:t>sluchadla a dle dohody jejich příslušenství</w:t>
      </w:r>
      <w:r>
        <w:rPr>
          <w:color w:val="000000"/>
        </w:rPr>
        <w:t xml:space="preserve"> a doplňky. Blíže specifikovaná sluchadla a doplňky </w:t>
      </w:r>
      <w:r>
        <w:rPr>
          <w:b/>
          <w:color w:val="000000"/>
        </w:rPr>
        <w:t>(dále zboží)</w:t>
      </w:r>
      <w:r>
        <w:rPr>
          <w:color w:val="000000"/>
        </w:rPr>
        <w:t xml:space="preserve">, jejich přehled a ceny se řídí aktuálním ceníkem vydávaným dodavatelem, aktuální ceník je dostupný na </w:t>
      </w:r>
      <w:hyperlink r:id="rId8">
        <w:r>
          <w:rPr>
            <w:color w:val="0000FF"/>
            <w:u w:val="single"/>
          </w:rPr>
          <w:t>www.reja.cz</w:t>
        </w:r>
      </w:hyperlink>
      <w:r>
        <w:rPr>
          <w:color w:val="000000"/>
        </w:rPr>
        <w:t xml:space="preserve">, v interní části, kde je nutné </w:t>
      </w:r>
      <w:r>
        <w:t>provést</w:t>
      </w:r>
      <w:r>
        <w:rPr>
          <w:color w:val="000000"/>
        </w:rPr>
        <w:t xml:space="preserve"> registraci a odběratel získá vlastní heslo a přihlašovací údaje.</w:t>
      </w:r>
    </w:p>
    <w:p w:rsidR="00C22C2E" w:rsidRDefault="005C7F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firstLine="0"/>
        <w:jc w:val="both"/>
      </w:pPr>
      <w:r>
        <w:rPr>
          <w:color w:val="000000"/>
        </w:rPr>
        <w:t xml:space="preserve">Odběratel se zavazuje opatrovat za podmínek dále uvedených zboží dodavatele uložené v konsignačním skladu, který dodavatel zřídil za účelem okamžité dostupnosti zboží pro vlastní potřebu odběratele spojenou s poskytováním zdravotní péče. </w:t>
      </w:r>
    </w:p>
    <w:p w:rsidR="00C22C2E" w:rsidRDefault="005C7F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firstLine="0"/>
        <w:jc w:val="both"/>
      </w:pPr>
      <w:r>
        <w:rPr>
          <w:color w:val="000000"/>
        </w:rPr>
        <w:t>Dodavatel se zavazuje průběžně dodávat zboží do konsignačního skladu (doplňovat stav zboží na konsignačním skladu do rozsahu stanoveného aktuálními položkami v aktuálním ceníku dodavatele) v množství, typech a čase dle požadavků odběratele vycházejících z jeho vlastní potřeby. Odběratel se zavazuje za toto zboží uhradit kupní cenu dle aktuálního ceníku dodavatele. Aktuální ceník je poslední zveřejněný ceník dodavatele.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4680" w:firstLine="283"/>
        <w:jc w:val="both"/>
        <w:rPr>
          <w:color w:val="000000"/>
        </w:rPr>
      </w:pPr>
      <w:r>
        <w:rPr>
          <w:b/>
          <w:color w:val="000000"/>
        </w:rPr>
        <w:t xml:space="preserve">III.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>Podmínky provozu konsignačního skladu</w:t>
      </w:r>
    </w:p>
    <w:p w:rsidR="00C22C2E" w:rsidRDefault="005C7F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rPr>
          <w:color w:val="000000"/>
        </w:rPr>
        <w:t>Uložení zboží bude zajištěno v prostorách odběratele, kde je konsignační sklad zřízen, a v uzamykatelné skříni. Odběratel zajistí, aby zboží bylo uloženo v suchém, čistém prostředí, které je hygienicky nezávadné a aby sklad splňoval podmínky a technické nároky na skladování zdravotnických prostředků podle zákona č. 268/2014 Sb., o zdravotnických prostředcích, a souvisejících právních předpisů.</w:t>
      </w:r>
    </w:p>
    <w:p w:rsidR="00C22C2E" w:rsidRDefault="005C7F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rPr>
          <w:color w:val="000000"/>
        </w:rPr>
        <w:t>Dodavatel se zavazuje doplňovat průběžně zboží uložené v konsignačním skladu. Nejpozději do 14 dnů od převzetí písemného požadavku - objednávky vystavené zástupcem odběratele, jehož jméno je uvedeno v příloze číslo 1 této smlouvy.</w:t>
      </w:r>
    </w:p>
    <w:p w:rsidR="00C22C2E" w:rsidRDefault="005C7F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t xml:space="preserve">Odběratel je povinen dodržovat správnou distribuční praxi. Odběratel je povinen čerpat zboží z komanditního skladu s nejkratší expirační dobou tak, aby se maximálně zamezilo jeho případnému znehodnocení. </w:t>
      </w:r>
      <w:r>
        <w:rPr>
          <w:color w:val="000000"/>
        </w:rPr>
        <w:t xml:space="preserve">Odběratel je povinen dodavateli bez zbytečného odkladu oznámit škody způsobené na zboží uloženém v konsignačním skladu. V případě, že dojde k jeho </w:t>
      </w:r>
      <w:r>
        <w:t>od</w:t>
      </w:r>
      <w:r>
        <w:rPr>
          <w:color w:val="000000"/>
        </w:rPr>
        <w:t xml:space="preserve">cizení, je odběratel povinen tuto skutečnost oznámit dodavateli a Policii ČR. </w:t>
      </w:r>
    </w:p>
    <w:p w:rsidR="00C22C2E" w:rsidRDefault="005C7F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rPr>
          <w:color w:val="000000"/>
        </w:rPr>
        <w:lastRenderedPageBreak/>
        <w:t>Dodavatel má právo kontroly zboží uloženého v konsignačním skladu. Odběratel se zavazuje za tímto účelem umožnit zástupcům dodavatele po předchozí domluvě vstup do konsignačního skladu a poskytnout jim při kontrole nezbytnou součinnost. Odběratel rovněž uděluje dodavateli souhlas, aby jeho zaměstnanci v případě potřeby provedli kontrolu zboží uloženého v konsignačním skladu, zejména za účelem ověření správnosti vedení skladové evidence a účtování vydaného zboží.</w:t>
      </w:r>
    </w:p>
    <w:p w:rsidR="00C22C2E" w:rsidRDefault="005C7F7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t>Další podmínky provozu konsignačního skladu jsou uvedeny v příloze č. 1 k této smlouvě.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ind w:left="357"/>
        <w:jc w:val="center"/>
        <w:rPr>
          <w:color w:val="000000"/>
        </w:rPr>
      </w:pPr>
      <w:r>
        <w:rPr>
          <w:b/>
          <w:color w:val="000000"/>
        </w:rPr>
        <w:t xml:space="preserve">IV.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 xml:space="preserve">Prodej a koupě zboží </w:t>
      </w:r>
    </w:p>
    <w:p w:rsidR="00C22C2E" w:rsidRDefault="005C7F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Zboží uložené v konsignačním skladu je odběratel oprávněn odebírat a používat. Vlastnické právo ke zboží přechází z dodavatele na odběratele okamžikem vydání zboží z konsignačního skladu. </w:t>
      </w:r>
    </w:p>
    <w:p w:rsidR="00C22C2E" w:rsidRDefault="005C7F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Správce skladu pracoviště, kde je konsignační sklad zřízen, předá 1x za měsíc souhrnný přehled výdejů na zboží včetně příslušných sériových čísel odebraných z konsignačního skladu a zašle poštou, vyplněním elektronického formuláře nebo e-mailem dodavateli. Souhrnný přehled je zaslán na správně vyplněném přehledu dodavatele, jehož vzor dodavatel odběrateli dodá. Souhrnný přehled je odeslán nejpozději 7 dn</w:t>
      </w:r>
      <w:r>
        <w:t>í</w:t>
      </w:r>
      <w:r>
        <w:rPr>
          <w:color w:val="000000"/>
        </w:rPr>
        <w:t xml:space="preserve"> po ukončení příslušného kalendářního měsíce.</w:t>
      </w:r>
    </w:p>
    <w:p w:rsidR="00C22C2E" w:rsidRDefault="005C7F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Na základě zaslaného souhrnného přehledu výdeje s uvedením evidenčních čísel výrobků, vystaví dodavatel nejpozději do jednoho týdne fakturu-daňový doklad k úhradě kupní ceny za odebrané zboží. Doba splatnosti </w:t>
      </w:r>
      <w:r>
        <w:t xml:space="preserve">je 30 dnů od dne vystavení dokladu. Tvarovky jsou fakturovány vždy na konci měsíce, kdy byly dodány na sklad. Zvukovodová sluchadla jsou fakturována nejpozději na konci druhého měsíce od dodání na konsignační </w:t>
      </w:r>
      <w:proofErr w:type="gramStart"/>
      <w:r>
        <w:t>sklad není</w:t>
      </w:r>
      <w:proofErr w:type="gramEnd"/>
      <w:r>
        <w:t>-li hlášeno jinak. Položky</w:t>
      </w:r>
      <w:r>
        <w:rPr>
          <w:color w:val="000000"/>
        </w:rPr>
        <w:t xml:space="preserve"> vydané z konsignačního skladu konkrétního pracoviště odběratele budou fakturovány podle platného ceníku dodavatele. Odběratel je povinen za odebrané zboží zaplatit dodavateli kupní cenu na základě dodavatelem vystavené faktury</w:t>
      </w:r>
      <w:r>
        <w:t>.</w:t>
      </w:r>
    </w:p>
    <w:p w:rsidR="00C22C2E" w:rsidRDefault="005C7F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V případě pochybností se má za to, že odběrateli byla faktura doručena 5. den po jejím odeslání dodavatelem. Závazek odběratele k úhradě fakturované ceny je splněn okamžikem </w:t>
      </w:r>
      <w:r>
        <w:t>přips</w:t>
      </w:r>
      <w:r>
        <w:rPr>
          <w:color w:val="000000"/>
        </w:rPr>
        <w:t xml:space="preserve">ání příslušné finanční částky </w:t>
      </w:r>
      <w:r>
        <w:t>na účet dodavatele</w:t>
      </w:r>
      <w:r>
        <w:rPr>
          <w:color w:val="000000"/>
        </w:rPr>
        <w:t xml:space="preserve">. V případě, že bude odběratel v prodlení s úhradou peněžitého závazku, </w:t>
      </w:r>
      <w:r>
        <w:t>vzniká</w:t>
      </w:r>
      <w:r>
        <w:rPr>
          <w:color w:val="000000"/>
        </w:rPr>
        <w:t xml:space="preserve"> dodavateli právo požadovat po odběrateli </w:t>
      </w:r>
      <w:r>
        <w:t xml:space="preserve">smluvní pokutu </w:t>
      </w:r>
      <w:r>
        <w:rPr>
          <w:color w:val="000000"/>
        </w:rPr>
        <w:t>ve výši 0,</w:t>
      </w:r>
      <w:r>
        <w:t>1</w:t>
      </w:r>
      <w:r>
        <w:rPr>
          <w:color w:val="000000"/>
        </w:rPr>
        <w:t xml:space="preserve"> % z fakturované částky za každý započatý den prodlení. </w:t>
      </w:r>
      <w:r>
        <w:rPr>
          <w:color w:val="000000"/>
        </w:rPr>
        <w:br/>
      </w:r>
    </w:p>
    <w:p w:rsidR="00C22C2E" w:rsidRDefault="005C7F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t>Velkoobchodní a maloobchodní ceny doplňků, baterií, údržby a servisu jsou stanoveny aktuálním platným velkoobchodním a maloobchodním ceníkem dodavatele, který je k dispozici na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www.reja.cz</w:t>
        </w:r>
      </w:hyperlink>
      <w:hyperlink r:id="rId11">
        <w:r>
          <w:t xml:space="preserve"> Doplňky a servisní položky jsou dodávány s fakturou na základě objednávky odběratele a nejsou vedeny na konsignačních skladech.</w:t>
        </w:r>
      </w:hyperlink>
      <w:hyperlink r:id="rId12">
        <w:r>
          <w:rPr>
            <w:b/>
          </w:rPr>
          <w:t xml:space="preserve"> </w:t>
        </w:r>
      </w:hyperlink>
      <w:hyperlink r:id="rId13">
        <w:r>
          <w:t>Odběratel je povinen za odebrané zboží zaplatit dodavateli kupní cenu tohoto zboží na základě dodavatelem vystavené faktury se splatností 30 dní ode dne jejího vystavení.</w:t>
        </w:r>
      </w:hyperlink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ind w:left="357"/>
        <w:jc w:val="center"/>
        <w:rPr>
          <w:color w:val="000000"/>
        </w:rPr>
      </w:pPr>
      <w:r>
        <w:rPr>
          <w:b/>
          <w:color w:val="000000"/>
        </w:rPr>
        <w:t xml:space="preserve">V.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 xml:space="preserve">Doba platnosti </w:t>
      </w:r>
    </w:p>
    <w:p w:rsidR="00554D04" w:rsidRDefault="005C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426"/>
        </w:tabs>
        <w:spacing w:after="120"/>
        <w:ind w:left="426" w:hanging="284"/>
        <w:jc w:val="both"/>
        <w:rPr>
          <w:color w:val="000000"/>
        </w:rPr>
      </w:pPr>
      <w:r w:rsidRPr="00187BDE">
        <w:rPr>
          <w:color w:val="000000" w:themeColor="text1"/>
        </w:rPr>
        <w:t>Tato smlouva nabývá platnosti a účinnosti dnem jejího podpisu oprávněnými zástupci obou smluvních stran. Ta</w:t>
      </w:r>
      <w:r w:rsidR="00847B62" w:rsidRPr="00187BDE">
        <w:rPr>
          <w:color w:val="000000" w:themeColor="text1"/>
        </w:rPr>
        <w:t xml:space="preserve">to smlouva se uzavírá na dobu </w:t>
      </w:r>
      <w:r w:rsidRPr="00187BDE">
        <w:rPr>
          <w:color w:val="000000" w:themeColor="text1"/>
        </w:rPr>
        <w:t>určitou</w:t>
      </w:r>
      <w:r w:rsidR="00847B62" w:rsidRPr="00187BDE">
        <w:rPr>
          <w:color w:val="000000" w:themeColor="text1"/>
        </w:rPr>
        <w:t xml:space="preserve"> jednoho roku</w:t>
      </w:r>
      <w:r w:rsidR="00554D04" w:rsidRPr="00187BDE">
        <w:rPr>
          <w:color w:val="000000" w:themeColor="text1"/>
        </w:rPr>
        <w:t xml:space="preserve"> ode dne nabytí účinnosti smlouvy</w:t>
      </w:r>
      <w:r>
        <w:rPr>
          <w:color w:val="000000"/>
        </w:rPr>
        <w:t xml:space="preserve">. </w:t>
      </w:r>
    </w:p>
    <w:p w:rsidR="00C22C2E" w:rsidRDefault="005C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Smlouva může být ukončena písemnou výpovědí s tříměsíční výpovědní lhůtou, která počíná běžet prvního dne následujícího měsíce po doručení výpovědi druhé smluvní straně.</w:t>
      </w:r>
    </w:p>
    <w:p w:rsidR="00C22C2E" w:rsidRDefault="005C7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Při ukončení smlouvy si dodavatel převezme na základě písemného protokolu stvrzeného odběratelem zboží z konsignačního skladu do 10 dnů od data skončení její platnosti.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ind w:left="357"/>
        <w:jc w:val="center"/>
        <w:rPr>
          <w:color w:val="000000"/>
        </w:rPr>
      </w:pPr>
      <w:r>
        <w:rPr>
          <w:b/>
          <w:color w:val="000000"/>
        </w:rPr>
        <w:t>VI.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>Práva z vadného plnění</w:t>
      </w:r>
    </w:p>
    <w:p w:rsidR="00C22C2E" w:rsidRDefault="005C7F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t>Práva z vadného plnění se řídí ustanoveními § 2099 a násl.</w:t>
      </w:r>
      <w:r>
        <w:rPr>
          <w:color w:val="000000"/>
        </w:rPr>
        <w:t xml:space="preserve"> občansk</w:t>
      </w:r>
      <w:r>
        <w:t>ého</w:t>
      </w:r>
      <w:r>
        <w:rPr>
          <w:color w:val="000000"/>
        </w:rPr>
        <w:t xml:space="preserve"> zákoník</w:t>
      </w:r>
      <w:r>
        <w:t>u</w:t>
      </w:r>
      <w:r>
        <w:rPr>
          <w:color w:val="000000"/>
        </w:rPr>
        <w:t xml:space="preserve">. </w:t>
      </w:r>
    </w:p>
    <w:p w:rsidR="00C22C2E" w:rsidRDefault="005C7F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t>Odběratel je povinen zkontrolovat bezvadnost zboží dodaného do konsignačního skladu ihned po jeho dodání.</w:t>
      </w: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</w:rPr>
      </w:pP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</w:rPr>
      </w:pPr>
      <w:r>
        <w:rPr>
          <w:b/>
          <w:color w:val="000000"/>
        </w:rPr>
        <w:t xml:space="preserve">VII.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>Zvláštní ujednání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t xml:space="preserve">Objednatel prohlašuje, že je oprávněn poskytovat zdravotnické prostředky, a to na základě osvědčení vydaného Českou odbornou společnosti otorinolaryngologie a chirurgie hlavy a krku </w:t>
      </w:r>
      <w:proofErr w:type="gramStart"/>
      <w:r>
        <w:t>J.E.P.</w:t>
      </w:r>
      <w:proofErr w:type="gramEnd"/>
      <w:r>
        <w:t xml:space="preserve"> (OTO S3) nebo na základě dokladu o ukončení postgraduálního studia v oboru foniatrie (FON). V případě pozbytí takového oprávnění je povinen bez zbytečného odkladu takovou skutečnost oznámit dodavateli, který má v takovém případě právo odstoupit od smlouvy.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lastRenderedPageBreak/>
        <w:t>Smluvní strany se zavazují zachovávat mlčenlivost vůči třetím osobám o informacích získaných v souvislosti s touto smlouvou, které mají důvěrný charakter a nejsou přístupné jiné osobě vyjma zaměstnance smluvních stran.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 xml:space="preserve">Smluvní strany se zavazují veškeré spory vzniklé v souvislosti s touto smlouvou primárně řešit smírnou cestou. 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Neplatnost některého ustanovení této smlouvy nemá za následek neplatnost celé smlouvy.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Dodavatel je oprávněn postoupit pohledávku plynoucí z této smlouvy třetí osobě bez písemného souhlasu odběratele.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V případě, že orgán státního dohledu nařídí stažení z používání zboží, které dodavatel dodal odběrateli, je dodavatel povinen toto zboží od odběratele odebrat zpět na vlastní náklady.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V souladu s § 2 písm. e) zákona č. 320/2001 Sb., o finanční kontrole je dodavatel povinen poskytnout kontrolním orgánům a odběrateli veškerou potřebnou součinnost při výkonu finanční kontroly.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t>Objednatel ujišťuje dodavatele, že od svých pacientů bude zajišťovat souhlas se zpracováním a předáním dodavateli citlivých osobních údajů (zejména jména, příjmení a dat o sluchu) ve všech případech, kdy dodavateli spolu s objednávkou bude tyto údaje předávat. Dodavatel se zavazuje s těmito citlivými osobními údaji nakládat pouze v souladu s právními předpisy.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/>
        </w:rPr>
      </w:pPr>
      <w:r>
        <w:rPr>
          <w:color w:val="000000"/>
        </w:rPr>
        <w:t>Touto smlouvou se ruší veškerá předchozí písemná a ústní ujednání mezi smluvními stranami týkající se předmětu této smlouvy.</w:t>
      </w:r>
    </w:p>
    <w:p w:rsidR="00C22C2E" w:rsidRDefault="005C7F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t>Dodavatel je oprávněn nedodat objednané zboží, pokud neuhrazené závazky přesáhnou sumu obratu zboží u odběratele za poslední 3 měsíce.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</w:rPr>
      </w:pPr>
      <w:r>
        <w:rPr>
          <w:b/>
          <w:color w:val="000000"/>
        </w:rPr>
        <w:t xml:space="preserve">VIII.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ind w:left="357"/>
        <w:jc w:val="center"/>
        <w:rPr>
          <w:color w:val="000000"/>
        </w:rPr>
      </w:pPr>
      <w:r>
        <w:rPr>
          <w:b/>
          <w:color w:val="000000"/>
        </w:rPr>
        <w:t>Závěrečná ustanovení</w:t>
      </w:r>
    </w:p>
    <w:p w:rsidR="00C22C2E" w:rsidRDefault="005C7F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bookmarkStart w:id="0" w:name="_gjdgxs" w:colFirst="0" w:colLast="0"/>
      <w:bookmarkEnd w:id="0"/>
      <w:r>
        <w:rPr>
          <w:color w:val="000000"/>
        </w:rPr>
        <w:t>Ve věcech výslovně neupravených touto smlouvou se smluvní vztah založený touto smlouvou řídí zákonem č. 89/2012 Sb., občanský zákoník, ve znění pozdějších předpisů.</w:t>
      </w:r>
    </w:p>
    <w:p w:rsidR="00C22C2E" w:rsidRDefault="005C7F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rPr>
          <w:color w:val="000000"/>
        </w:rPr>
        <w:t>Jakékoli změny a doplňky této smlouvy</w:t>
      </w:r>
      <w:r>
        <w:rPr>
          <w:i/>
          <w:color w:val="000000"/>
        </w:rPr>
        <w:t xml:space="preserve"> </w:t>
      </w:r>
      <w:r>
        <w:rPr>
          <w:color w:val="000000"/>
        </w:rPr>
        <w:t>jsou možné pouze ve formě písemných číslovaných dodatků, podepsaných oprávněnými zástupci obou smluvních stran. Všechny dodatky, které budou označeny jako dodatky této smlouvy, se stávají nedílnou součástí této smlouvy.</w:t>
      </w:r>
    </w:p>
    <w:p w:rsidR="00C22C2E" w:rsidRPr="00847B62" w:rsidRDefault="005C7F7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</w:pPr>
      <w:r>
        <w:rPr>
          <w:color w:val="000000"/>
        </w:rPr>
        <w:t>Tato smlouva je vypracována ve 2 vyhotoveních s platností originálu, z nichž každá smluvní strana obdrží jedno vyhotovení. Smluvní strany prohlašují, že si smlouvu přečetly, s jejím zněním souhlasí a na důkaz toho připojují své vlastnoruční podpisy.</w:t>
      </w:r>
    </w:p>
    <w:p w:rsidR="00847B62" w:rsidRPr="00187BDE" w:rsidRDefault="00847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6" w:hanging="284"/>
        <w:jc w:val="both"/>
        <w:rPr>
          <w:color w:val="000000" w:themeColor="text1"/>
        </w:rPr>
      </w:pPr>
      <w:r w:rsidRPr="00187BDE">
        <w:rPr>
          <w:color w:val="000000" w:themeColor="text1"/>
        </w:rPr>
        <w:t xml:space="preserve">Smluvní strany souhlasí s uveřejněním smlouvy v registru smluv. Uveřejnění zajistí odběratel. </w:t>
      </w: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spacing w:before="200"/>
        <w:ind w:firstLine="360"/>
        <w:rPr>
          <w:color w:val="000000"/>
        </w:rPr>
      </w:pPr>
    </w:p>
    <w:p w:rsidR="00C22C2E" w:rsidRDefault="00187BDE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color w:val="000000"/>
        </w:rPr>
        <w:t>V Opavě dne 30. 11. 2018</w:t>
      </w:r>
      <w:r w:rsidR="005C7F76">
        <w:rPr>
          <w:color w:val="000000"/>
        </w:rPr>
        <w:tab/>
      </w:r>
      <w:r w:rsidR="005C7F76">
        <w:rPr>
          <w:color w:val="000000"/>
        </w:rPr>
        <w:tab/>
      </w:r>
      <w:r w:rsidR="005C7F76">
        <w:rPr>
          <w:color w:val="000000"/>
        </w:rPr>
        <w:tab/>
      </w:r>
      <w:r w:rsidR="005C7F76">
        <w:rPr>
          <w:color w:val="000000"/>
        </w:rPr>
        <w:tab/>
        <w:t xml:space="preserve">                      V</w:t>
      </w:r>
      <w:r w:rsidR="00492680">
        <w:rPr>
          <w:color w:val="000000"/>
        </w:rPr>
        <w:t xml:space="preserve">e </w:t>
      </w:r>
      <w:proofErr w:type="gramStart"/>
      <w:r w:rsidR="00492680">
        <w:rPr>
          <w:color w:val="000000"/>
        </w:rPr>
        <w:t>Zlíně</w:t>
      </w:r>
      <w:r>
        <w:rPr>
          <w:color w:val="000000"/>
        </w:rPr>
        <w:t xml:space="preserve">      dne</w:t>
      </w:r>
      <w:proofErr w:type="gramEnd"/>
      <w:r>
        <w:rPr>
          <w:color w:val="000000"/>
        </w:rPr>
        <w:t xml:space="preserve"> 5. 12. 2018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color w:val="000000"/>
        </w:rPr>
        <w:t>Za dodavatele: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Za odběratele: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1080"/>
        <w:rPr>
          <w:color w:val="000000"/>
        </w:rPr>
      </w:pPr>
      <w:r>
        <w:rPr>
          <w:color w:val="000000"/>
        </w:rPr>
        <w:t>...........................................................                                                    ...............................................................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ab/>
        <w:t>René Škrobánek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noProof/>
          <w:color w:val="000000"/>
        </w:rPr>
        <w:drawing>
          <wp:inline distT="0" distB="0" distL="114300" distR="114300">
            <wp:extent cx="16510" cy="15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  <w:t xml:space="preserve">     jednatel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ab/>
        <w:t>REJA spol. s r.o.</w:t>
      </w:r>
    </w:p>
    <w:p w:rsidR="00C22C2E" w:rsidRDefault="005C7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  <w:sectPr w:rsidR="00C22C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247" w:right="992" w:bottom="1134" w:left="992" w:header="709" w:footer="561" w:gutter="0"/>
          <w:pgNumType w:start="1"/>
          <w:cols w:space="708"/>
        </w:sectPr>
      </w:pPr>
      <w:r>
        <w:br w:type="page"/>
      </w:r>
    </w:p>
    <w:p w:rsidR="00C22C2E" w:rsidRDefault="005C7F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lastRenderedPageBreak/>
        <w:t>Příloha č. 1</w:t>
      </w:r>
    </w:p>
    <w:p w:rsidR="00C22C2E" w:rsidRDefault="005C7F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32"/>
          <w:szCs w:val="32"/>
        </w:rPr>
      </w:pPr>
      <w:r>
        <w:rPr>
          <w:i/>
          <w:color w:val="000000"/>
        </w:rPr>
        <w:t>ke SMLOUVĚ O ZŘÍZENÍ A PROVOZU KONSIGNAČNÍHO SKLADU A RÁMCOVÁ KUPNÍ SMLOUVA</w:t>
      </w:r>
      <w:r>
        <w:rPr>
          <w:i/>
          <w:color w:val="000000"/>
        </w:rPr>
        <w:br/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before="600"/>
        <w:jc w:val="center"/>
        <w:rPr>
          <w:color w:val="000000"/>
        </w:rPr>
      </w:pPr>
      <w:r>
        <w:rPr>
          <w:b/>
          <w:color w:val="000000"/>
        </w:rPr>
        <w:t>I.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tabs>
          <w:tab w:val="left" w:pos="1437"/>
        </w:tabs>
        <w:spacing w:after="120"/>
        <w:jc w:val="center"/>
        <w:rPr>
          <w:b/>
        </w:rPr>
      </w:pPr>
      <w:r>
        <w:rPr>
          <w:b/>
          <w:color w:val="000000"/>
        </w:rPr>
        <w:t>Stanovení výše odměny za nájem, správu</w:t>
      </w:r>
      <w:r>
        <w:rPr>
          <w:b/>
        </w:rPr>
        <w:t xml:space="preserve">, servis a </w:t>
      </w:r>
      <w:proofErr w:type="gramStart"/>
      <w:r>
        <w:rPr>
          <w:b/>
        </w:rPr>
        <w:t xml:space="preserve">činnost </w:t>
      </w:r>
      <w:r>
        <w:rPr>
          <w:b/>
          <w:color w:val="000000"/>
        </w:rPr>
        <w:t xml:space="preserve"> konsignačního</w:t>
      </w:r>
      <w:proofErr w:type="gramEnd"/>
      <w:r>
        <w:rPr>
          <w:b/>
          <w:color w:val="000000"/>
        </w:rPr>
        <w:t xml:space="preserve"> skladu (KS</w:t>
      </w:r>
      <w:r>
        <w:rPr>
          <w:b/>
        </w:rPr>
        <w:t>)</w:t>
      </w:r>
    </w:p>
    <w:p w:rsidR="00C22C2E" w:rsidRDefault="00C22C2E">
      <w:pPr>
        <w:spacing w:before="200"/>
        <w:jc w:val="center"/>
        <w:rPr>
          <w:b/>
        </w:rPr>
      </w:pPr>
    </w:p>
    <w:p w:rsidR="00C22C2E" w:rsidRDefault="00C22C2E">
      <w:pPr>
        <w:spacing w:before="200"/>
        <w:jc w:val="center"/>
        <w:rPr>
          <w:b/>
        </w:rPr>
      </w:pPr>
    </w:p>
    <w:p w:rsidR="00C22C2E" w:rsidRDefault="00C22C2E">
      <w:pPr>
        <w:spacing w:before="200"/>
        <w:rPr>
          <w:b/>
        </w:rPr>
      </w:pP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222222"/>
        </w:rPr>
      </w:pPr>
      <w:r>
        <w:rPr>
          <w:color w:val="222222"/>
        </w:rPr>
        <w:t>Odběratel má za poskytnutí prostor pro konsignační sklad, za správu, servis a další činnosti spojené s provozem konsignačního skladu právo na odměnu ve výši</w:t>
      </w:r>
      <w:r w:rsidR="00492680">
        <w:rPr>
          <w:color w:val="222222"/>
        </w:rPr>
        <w:t xml:space="preserve"> 2%</w:t>
      </w:r>
      <w:r>
        <w:rPr>
          <w:color w:val="222222"/>
        </w:rPr>
        <w:t xml:space="preserve"> z měsíčního obratu konsignačního skladu bez DPH. Měsíčním obratem konsignačního skladu se rozumí součet ceníkových cen zboží vydaného z konsignačního skladu v daném kalendářním měsíci.</w:t>
      </w:r>
    </w:p>
    <w:p w:rsidR="00C22C2E" w:rsidRDefault="005C7F76">
      <w:pPr>
        <w:spacing w:after="120"/>
        <w:jc w:val="both"/>
      </w:pPr>
      <w:r>
        <w:t xml:space="preserve">Tuto odměnu bude odběratel účtovat dodavateli samostatnou fakturou. Odměna je splatná do 30 dnů ode dne vystavení faktury. V případě neuhrazení všech splatných závazků odběratele vůči dodavateli je dodavatel oprávněn své pohledávky započíst vůči této pohledávce odběratele. Pro výplatu odměny musí minimální obrat konsignačního skladu činit </w:t>
      </w:r>
      <w:r w:rsidR="00492680">
        <w:t xml:space="preserve">10.000,- Kč </w:t>
      </w:r>
      <w:r>
        <w:t xml:space="preserve">za měsíc, jinak nárok na odměnu nevznikne. </w:t>
      </w:r>
    </w:p>
    <w:p w:rsidR="00C22C2E" w:rsidRDefault="005C7F76">
      <w:pPr>
        <w:spacing w:after="120"/>
        <w:jc w:val="both"/>
      </w:pPr>
      <w:r>
        <w:t>Odměna je vyúčtována</w:t>
      </w:r>
      <w:r w:rsidR="00492680">
        <w:t xml:space="preserve"> 4x</w:t>
      </w:r>
      <w:r>
        <w:t xml:space="preserve"> ročně.        </w:t>
      </w:r>
    </w:p>
    <w:p w:rsidR="00C22C2E" w:rsidRDefault="005C7F76">
      <w:pPr>
        <w:spacing w:after="120"/>
        <w:jc w:val="both"/>
        <w:rPr>
          <w:rFonts w:ascii="Arial" w:eastAsia="Arial" w:hAnsi="Arial" w:cs="Arial"/>
          <w:highlight w:val="whit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proofErr w:type="gramStart"/>
      <w:r>
        <w:rPr>
          <w:b/>
          <w:color w:val="000000"/>
        </w:rPr>
        <w:t>I</w:t>
      </w:r>
      <w:r>
        <w:rPr>
          <w:b/>
        </w:rPr>
        <w:t>I.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Správce konsignačního skladu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tabs>
          <w:tab w:val="left" w:pos="6992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highlight w:val="yellow"/>
        </w:rPr>
      </w:pPr>
      <w:r>
        <w:rPr>
          <w:b/>
          <w:color w:val="000000"/>
        </w:rPr>
        <w:t>Zástupcem odběratele pro doplňování skladu a vedení evidence je určena:</w:t>
      </w:r>
      <w:r w:rsidR="00187BDE">
        <w:rPr>
          <w:b/>
        </w:rPr>
        <w:t>xxxxxxxxxxxxxxxxxxxxxxx</w:t>
      </w:r>
      <w:bookmarkStart w:id="1" w:name="_GoBack"/>
      <w:bookmarkEnd w:id="1"/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yellow"/>
        </w:rPr>
      </w:pP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yellow"/>
        </w:rPr>
      </w:pPr>
    </w:p>
    <w:p w:rsidR="00C22C2E" w:rsidRDefault="00C22C2E">
      <w:pPr>
        <w:jc w:val="both"/>
        <w:rPr>
          <w:rFonts w:ascii="Arial" w:eastAsia="Arial" w:hAnsi="Arial" w:cs="Arial"/>
          <w:color w:val="222222"/>
          <w:sz w:val="22"/>
          <w:szCs w:val="22"/>
          <w:highlight w:val="yellow"/>
        </w:rPr>
      </w:pP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highlight w:val="yellow"/>
        </w:rPr>
      </w:pPr>
    </w:p>
    <w:p w:rsidR="00C22C2E" w:rsidRDefault="00C22C2E">
      <w:pPr>
        <w:spacing w:after="120"/>
        <w:jc w:val="both"/>
        <w:rPr>
          <w:b/>
          <w:highlight w:val="yellow"/>
        </w:rPr>
      </w:pP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br/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Tato smlouva nahrazuje veškeré předchozí ústní a písemné dohody v této věci. </w:t>
      </w:r>
    </w:p>
    <w:p w:rsidR="00C22C2E" w:rsidRDefault="00C22C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22C2E" w:rsidRDefault="00187BDE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</w:rPr>
      </w:pPr>
      <w:r>
        <w:rPr>
          <w:color w:val="000000"/>
        </w:rPr>
        <w:t xml:space="preserve">V Opavě dne  </w:t>
      </w:r>
      <w:proofErr w:type="gramStart"/>
      <w:r>
        <w:rPr>
          <w:color w:val="000000"/>
        </w:rPr>
        <w:t>30.11.2018</w:t>
      </w:r>
      <w:proofErr w:type="gramEnd"/>
      <w:r w:rsidR="005C7F76">
        <w:rPr>
          <w:color w:val="000000"/>
        </w:rPr>
        <w:tab/>
      </w:r>
      <w:r w:rsidR="005C7F76">
        <w:rPr>
          <w:color w:val="000000"/>
        </w:rPr>
        <w:tab/>
      </w:r>
      <w:r w:rsidR="005C7F76">
        <w:rPr>
          <w:color w:val="000000"/>
        </w:rPr>
        <w:tab/>
      </w:r>
      <w:r w:rsidR="007D1480">
        <w:rPr>
          <w:color w:val="000000"/>
        </w:rPr>
        <w:t xml:space="preserve">                          Ve Zlíně </w:t>
      </w:r>
      <w:r>
        <w:rPr>
          <w:color w:val="000000"/>
        </w:rPr>
        <w:t>dne 5. 12. 2018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3"/>
        </w:tabs>
        <w:spacing w:before="240" w:line="360" w:lineRule="auto"/>
        <w:rPr>
          <w:color w:val="000000"/>
        </w:rPr>
      </w:pPr>
      <w:r>
        <w:rPr>
          <w:color w:val="000000"/>
        </w:rPr>
        <w:t>Za dodavatele: konsignant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>Za odběratele: konsignatář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653"/>
        </w:tabs>
        <w:spacing w:before="240" w:line="36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color w:val="000000"/>
        </w:rPr>
        <w:t>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ab/>
        <w:t>René Škrobánek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noProof/>
          <w:color w:val="000000"/>
        </w:rPr>
        <w:drawing>
          <wp:inline distT="0" distB="0" distL="114300" distR="114300">
            <wp:extent cx="16510" cy="158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87BDE">
        <w:rPr>
          <w:b/>
          <w:color w:val="000000"/>
        </w:rPr>
        <w:t>Ing. Vlastimil Vajdák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  <w:t xml:space="preserve">      </w:t>
      </w:r>
      <w:r w:rsidR="00187BDE">
        <w:rPr>
          <w:color w:val="000000"/>
        </w:rPr>
        <w:t>J</w:t>
      </w:r>
      <w:r>
        <w:rPr>
          <w:color w:val="000000"/>
        </w:rPr>
        <w:t>ednatel</w:t>
      </w:r>
      <w:r w:rsidR="00187BDE">
        <w:rPr>
          <w:color w:val="000000"/>
        </w:rPr>
        <w:tab/>
      </w:r>
      <w:r w:rsidR="00187BDE">
        <w:rPr>
          <w:color w:val="000000"/>
        </w:rPr>
        <w:tab/>
      </w:r>
      <w:r w:rsidR="00187BDE">
        <w:rPr>
          <w:color w:val="000000"/>
        </w:rPr>
        <w:tab/>
      </w:r>
      <w:r w:rsidR="00187BDE">
        <w:rPr>
          <w:color w:val="000000"/>
        </w:rPr>
        <w:tab/>
      </w:r>
      <w:r w:rsidR="00187BDE">
        <w:rPr>
          <w:color w:val="000000"/>
        </w:rPr>
        <w:tab/>
      </w:r>
      <w:r w:rsidR="00187BDE">
        <w:rPr>
          <w:color w:val="000000"/>
        </w:rPr>
        <w:tab/>
      </w:r>
      <w:r w:rsidR="00187BDE">
        <w:rPr>
          <w:color w:val="000000"/>
        </w:rPr>
        <w:tab/>
        <w:t>člen představenstva</w:t>
      </w:r>
    </w:p>
    <w:p w:rsidR="00C22C2E" w:rsidRDefault="005C7F7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ab/>
        <w:t>REJA spol. s </w:t>
      </w:r>
      <w:proofErr w:type="spellStart"/>
      <w:r>
        <w:rPr>
          <w:b/>
          <w:color w:val="000000"/>
        </w:rPr>
        <w:t>r.o</w:t>
      </w:r>
      <w:proofErr w:type="spellEnd"/>
      <w:r w:rsidR="00187BDE">
        <w:rPr>
          <w:b/>
          <w:color w:val="000000"/>
        </w:rPr>
        <w:tab/>
      </w:r>
      <w:r w:rsidR="00187BDE">
        <w:rPr>
          <w:b/>
          <w:color w:val="000000"/>
        </w:rPr>
        <w:tab/>
      </w:r>
      <w:r w:rsidR="00187BDE">
        <w:rPr>
          <w:b/>
          <w:color w:val="000000"/>
        </w:rPr>
        <w:tab/>
      </w:r>
      <w:r w:rsidR="00187BDE">
        <w:rPr>
          <w:b/>
          <w:color w:val="000000"/>
        </w:rPr>
        <w:tab/>
      </w:r>
      <w:r w:rsidR="00187BDE">
        <w:rPr>
          <w:b/>
          <w:color w:val="000000"/>
        </w:rPr>
        <w:tab/>
      </w:r>
      <w:r w:rsidR="00187BDE">
        <w:rPr>
          <w:b/>
          <w:color w:val="000000"/>
        </w:rPr>
        <w:tab/>
      </w:r>
      <w:r w:rsidR="00187BDE">
        <w:rPr>
          <w:b/>
          <w:color w:val="000000"/>
        </w:rPr>
        <w:tab/>
        <w:t>MUDr. Radomír Maráček</w:t>
      </w:r>
    </w:p>
    <w:p w:rsidR="00187BDE" w:rsidRPr="00187BDE" w:rsidRDefault="00187B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87BDE">
        <w:rPr>
          <w:color w:val="000000"/>
        </w:rPr>
        <w:t>předseda představenstva</w:t>
      </w:r>
    </w:p>
    <w:sectPr w:rsidR="00187BDE" w:rsidRPr="00187BDE">
      <w:type w:val="continuous"/>
      <w:pgSz w:w="11906" w:h="16838"/>
      <w:pgMar w:top="1247" w:right="992" w:bottom="1134" w:left="992" w:header="709" w:footer="5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A2" w:rsidRDefault="00DC17A2">
      <w:r>
        <w:separator/>
      </w:r>
    </w:p>
  </w:endnote>
  <w:endnote w:type="continuationSeparator" w:id="0">
    <w:p w:rsidR="00DC17A2" w:rsidRDefault="00DC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E" w:rsidRDefault="00C22C2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E" w:rsidRDefault="005C7F76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9356"/>
        <w:tab w:val="left" w:pos="9497"/>
      </w:tabs>
      <w:ind w:right="-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7BDE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187BDE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E" w:rsidRDefault="00C22C2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A2" w:rsidRDefault="00DC17A2">
      <w:r>
        <w:separator/>
      </w:r>
    </w:p>
  </w:footnote>
  <w:footnote w:type="continuationSeparator" w:id="0">
    <w:p w:rsidR="00DC17A2" w:rsidRDefault="00DC1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E" w:rsidRDefault="005C7F7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  Číslo smlouvy dodavatele:</w:t>
    </w:r>
    <w:r>
      <w:rPr>
        <w:color w:val="000000"/>
      </w:rPr>
      <w:tab/>
    </w:r>
    <w:r>
      <w:rPr>
        <w:color w:val="000000"/>
      </w:rPr>
      <w:tab/>
      <w:t xml:space="preserve">Číslo smlouvy odběratele: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E" w:rsidRDefault="005C7F7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   Číslo smlouvy dodavatele:</w:t>
    </w:r>
    <w:r>
      <w:rPr>
        <w:color w:val="000000"/>
      </w:rPr>
      <w:tab/>
    </w:r>
    <w:r>
      <w:rPr>
        <w:color w:val="000000"/>
      </w:rPr>
      <w:tab/>
      <w:t xml:space="preserve">Číslo smlouvy odběratele: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2E" w:rsidRDefault="00C22C2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1E"/>
    <w:multiLevelType w:val="multilevel"/>
    <w:tmpl w:val="076CF31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>
    <w:nsid w:val="045313DD"/>
    <w:multiLevelType w:val="multilevel"/>
    <w:tmpl w:val="65B43FA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0DF52905"/>
    <w:multiLevelType w:val="multilevel"/>
    <w:tmpl w:val="B17A226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nsid w:val="1F0F3604"/>
    <w:multiLevelType w:val="multilevel"/>
    <w:tmpl w:val="10C0EFB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>
    <w:nsid w:val="4E612CBC"/>
    <w:multiLevelType w:val="multilevel"/>
    <w:tmpl w:val="DD8CBF6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>
    <w:nsid w:val="5B923E2A"/>
    <w:multiLevelType w:val="multilevel"/>
    <w:tmpl w:val="089C89DA"/>
    <w:lvl w:ilvl="0">
      <w:start w:val="1"/>
      <w:numFmt w:val="decimal"/>
      <w:lvlText w:val="%1."/>
      <w:lvlJc w:val="left"/>
      <w:pPr>
        <w:ind w:left="750" w:hanging="390"/>
      </w:pPr>
      <w:rPr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>
    <w:nsid w:val="796A3AC1"/>
    <w:multiLevelType w:val="multilevel"/>
    <w:tmpl w:val="64C2FD1E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22C2E"/>
    <w:rsid w:val="00004319"/>
    <w:rsid w:val="00187BDE"/>
    <w:rsid w:val="00492680"/>
    <w:rsid w:val="00554D04"/>
    <w:rsid w:val="005C7F76"/>
    <w:rsid w:val="00641C4E"/>
    <w:rsid w:val="007D1480"/>
    <w:rsid w:val="00847B62"/>
    <w:rsid w:val="00B65ACE"/>
    <w:rsid w:val="00C22C2E"/>
    <w:rsid w:val="00D31C29"/>
    <w:rsid w:val="00D55EB3"/>
    <w:rsid w:val="00DC17A2"/>
    <w:rsid w:val="00FB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rsid w:val="00492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2680"/>
  </w:style>
  <w:style w:type="paragraph" w:styleId="Textbubliny">
    <w:name w:val="Balloon Text"/>
    <w:basedOn w:val="Normln"/>
    <w:link w:val="TextbublinyChar"/>
    <w:uiPriority w:val="99"/>
    <w:semiHidden/>
    <w:unhideWhenUsed/>
    <w:rsid w:val="00847B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rsid w:val="00492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2680"/>
  </w:style>
  <w:style w:type="paragraph" w:styleId="Textbubliny">
    <w:name w:val="Balloon Text"/>
    <w:basedOn w:val="Normln"/>
    <w:link w:val="TextbublinyChar"/>
    <w:uiPriority w:val="99"/>
    <w:semiHidden/>
    <w:unhideWhenUsed/>
    <w:rsid w:val="00847B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a.cz/" TargetMode="External"/><Relationship Id="rId13" Type="http://schemas.openxmlformats.org/officeDocument/2006/relationships/hyperlink" Target="http://www.reja.cz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eja.c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j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eja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reja.cz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1724</Words>
  <Characters>10173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7</cp:revision>
  <dcterms:created xsi:type="dcterms:W3CDTF">2018-11-08T11:06:00Z</dcterms:created>
  <dcterms:modified xsi:type="dcterms:W3CDTF">2018-12-18T13:56:00Z</dcterms:modified>
</cp:coreProperties>
</file>