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78" w:rsidRDefault="007F11B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2280E4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B46B1F" w:rsidRDefault="007F11B5"/>
              </w:txbxContent>
            </v:textbox>
            <w10:wrap anchorx="page" anchory="page"/>
          </v:shape>
        </w:pict>
      </w:r>
      <w:r w:rsidR="00AF71F7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2280E476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8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AF71F7">
        <w:rPr>
          <w:rFonts w:ascii="Arial" w:eastAsia="Arial" w:hAnsi="Arial" w:cs="Arial"/>
          <w:spacing w:val="14"/>
          <w:lang w:val="cs-CZ"/>
        </w:rPr>
        <w:t xml:space="preserve"> </w:t>
      </w:r>
      <w:r w:rsidR="00AF71F7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940578" w:rsidRDefault="00AF71F7">
      <w:pPr>
        <w:rPr>
          <w:szCs w:val="22"/>
        </w:rPr>
      </w:pPr>
      <w:r>
        <w:rPr>
          <w:szCs w:val="22"/>
        </w:rPr>
        <w:t xml:space="preserve"> </w:t>
      </w:r>
    </w:p>
    <w:p w:rsidR="00940578" w:rsidRDefault="00940578">
      <w:pPr>
        <w:rPr>
          <w:szCs w:val="22"/>
        </w:rPr>
      </w:pPr>
    </w:p>
    <w:p w:rsidR="00940578" w:rsidRDefault="00940578">
      <w:pPr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Číslo smlouvy:</w:t>
      </w:r>
      <w:bookmarkStart w:id="0" w:name="_GoBack"/>
      <w:r>
        <w:rPr>
          <w:szCs w:val="22"/>
        </w:rPr>
        <w:t>124-2018-11141/1</w:t>
      </w:r>
      <w:bookmarkEnd w:id="0"/>
    </w:p>
    <w:p w:rsidR="00940578" w:rsidRDefault="00AF71F7">
      <w:pPr>
        <w:rPr>
          <w:szCs w:val="22"/>
        </w:rPr>
      </w:pPr>
      <w:r>
        <w:rPr>
          <w:szCs w:val="22"/>
        </w:rPr>
        <w:t xml:space="preserve"> </w:t>
      </w:r>
    </w:p>
    <w:p w:rsidR="00940578" w:rsidRDefault="00940578">
      <w:pPr>
        <w:rPr>
          <w:szCs w:val="22"/>
        </w:rPr>
      </w:pPr>
    </w:p>
    <w:p w:rsidR="00940578" w:rsidRDefault="00AF71F7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Dodatek č.1 ke smlouvě o  nájmu prostoru sloužícího podnikání</w:t>
      </w:r>
    </w:p>
    <w:p w:rsidR="00940578" w:rsidRDefault="00AF71F7">
      <w:pPr>
        <w:jc w:val="center"/>
        <w:rPr>
          <w:szCs w:val="22"/>
        </w:rPr>
      </w:pPr>
      <w:r>
        <w:rPr>
          <w:szCs w:val="22"/>
        </w:rPr>
        <w:t>uzavřená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č. 219/2000Sb.“)</w:t>
      </w:r>
    </w:p>
    <w:p w:rsidR="00940578" w:rsidRDefault="00AF71F7">
      <w:pPr>
        <w:rPr>
          <w:szCs w:val="22"/>
        </w:rPr>
      </w:pPr>
      <w:r>
        <w:rPr>
          <w:szCs w:val="22"/>
        </w:rPr>
        <w:t>mezi stranami:</w:t>
      </w:r>
    </w:p>
    <w:p w:rsidR="00940578" w:rsidRDefault="00940578">
      <w:pPr>
        <w:rPr>
          <w:szCs w:val="22"/>
        </w:rPr>
      </w:pP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65/17, Nové Město, 110 00 Praha 1, 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za kterou právně jedná Mgr. Pavel Brokeš, ředitel odboru vnitřní správy, na základě organizačního řádu MZe čj.12061/2017-MZe-11131 ze dne 14. 2. 2017 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19-1226001/0710 - nájem</w:t>
      </w:r>
    </w:p>
    <w:p w:rsidR="00940578" w:rsidRDefault="00AF71F7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1226001/0710 – služby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Kontaktní osoba: 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Jaroslava Bernovská – referent ORSB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Tvardkova 1191, 562 01  Ústí nad Orlicí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Tel.: 725 832 107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e-mail: Jaroslava.bernovska@mze.cz 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:rsidR="00940578" w:rsidRDefault="00940578">
      <w:pPr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>a</w:t>
      </w:r>
    </w:p>
    <w:p w:rsidR="00940578" w:rsidRDefault="00940578">
      <w:pPr>
        <w:pStyle w:val="Default"/>
        <w:rPr>
          <w:sz w:val="22"/>
          <w:szCs w:val="22"/>
        </w:rPr>
      </w:pPr>
    </w:p>
    <w:p w:rsidR="00940578" w:rsidRDefault="00AF71F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OHGS s.r.o.</w:t>
      </w:r>
    </w:p>
    <w:p w:rsidR="00940578" w:rsidRDefault="00AF71F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Tvardkova 1191, 562 01  Ústí nad Orlicí  </w:t>
      </w:r>
    </w:p>
    <w:p w:rsidR="00940578" w:rsidRDefault="00AF71F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zapsaný v obchodním rejstříku</w:t>
      </w:r>
      <w:r>
        <w:rPr>
          <w:i/>
          <w:color w:val="7030A0"/>
          <w:szCs w:val="22"/>
        </w:rPr>
        <w:t xml:space="preserve"> </w:t>
      </w:r>
      <w:r>
        <w:rPr>
          <w:szCs w:val="22"/>
        </w:rPr>
        <w:t xml:space="preserve">vedeném u Krajského soudu v Hradci Králové, oddíl C 1657 </w:t>
      </w:r>
    </w:p>
    <w:p w:rsidR="00940578" w:rsidRDefault="00AF71F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IČ: 45536899</w:t>
      </w:r>
    </w:p>
    <w:p w:rsidR="00940578" w:rsidRDefault="00AF71F7">
      <w:pPr>
        <w:pStyle w:val="Zkladntext2"/>
        <w:jc w:val="lef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CZ45536899</w:t>
      </w:r>
    </w:p>
    <w:p w:rsidR="00940578" w:rsidRDefault="00AF71F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</w:t>
      </w:r>
      <w:r w:rsidR="00905CF8">
        <w:rPr>
          <w:rFonts w:ascii="Arial" w:eastAsia="Arial" w:hAnsi="Arial" w:cs="Arial"/>
          <w:sz w:val="22"/>
          <w:szCs w:val="22"/>
        </w:rPr>
        <w:t>xxxxxxxxxxxxxxxxxx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Komerční banka</w:t>
      </w:r>
    </w:p>
    <w:p w:rsidR="00940578" w:rsidRDefault="00AF71F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účtu: </w:t>
      </w:r>
      <w:r>
        <w:rPr>
          <w:rStyle w:val="data1"/>
          <w:b w:val="0"/>
          <w:sz w:val="22"/>
          <w:szCs w:val="22"/>
        </w:rPr>
        <w:t>41708611/0100</w:t>
      </w:r>
    </w:p>
    <w:p w:rsidR="00940578" w:rsidRDefault="00AF71F7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:rsidR="00940578" w:rsidRDefault="00940578">
      <w:pPr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:rsidR="00940578" w:rsidRDefault="00940578">
      <w:pPr>
        <w:rPr>
          <w:szCs w:val="22"/>
        </w:rPr>
      </w:pPr>
    </w:p>
    <w:p w:rsidR="00940578" w:rsidRDefault="00940578">
      <w:pPr>
        <w:rPr>
          <w:szCs w:val="22"/>
        </w:rPr>
      </w:pPr>
    </w:p>
    <w:p w:rsidR="00940578" w:rsidRDefault="00940578">
      <w:pPr>
        <w:rPr>
          <w:szCs w:val="22"/>
        </w:rPr>
      </w:pP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Tímto dodatkem se mezi předávajícím a uživatelem mění a doplňuje smlouva o nájmu prostor sloužících k podnikání situovaných v Ústí nad Orlicí, ulice Tvardkova 1191, uzavřená 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dne  29. 3. 2018 / dále jen smlouva / takto:</w:t>
      </w:r>
    </w:p>
    <w:p w:rsidR="00940578" w:rsidRDefault="00940578">
      <w:pPr>
        <w:pStyle w:val="Bezmezer1"/>
        <w:rPr>
          <w:rFonts w:ascii="Arial" w:eastAsia="Arial" w:hAnsi="Arial" w:cs="Arial"/>
          <w:b/>
        </w:rPr>
      </w:pPr>
    </w:p>
    <w:p w:rsidR="00940578" w:rsidRDefault="00AF71F7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Dodatkem  se  zrušuje a nahrazuje novým zněním článek II. a článek V. smlouvy:</w:t>
      </w:r>
    </w:p>
    <w:p w:rsidR="00940578" w:rsidRDefault="00940578">
      <w:pPr>
        <w:pStyle w:val="Bezmezer1"/>
        <w:rPr>
          <w:rFonts w:ascii="Arial" w:eastAsia="Arial" w:hAnsi="Arial" w:cs="Arial"/>
          <w:b/>
        </w:rPr>
      </w:pPr>
    </w:p>
    <w:p w:rsidR="00940578" w:rsidRDefault="00AF71F7">
      <w:pPr>
        <w:jc w:val="center"/>
        <w:rPr>
          <w:b/>
          <w:szCs w:val="22"/>
        </w:rPr>
      </w:pPr>
      <w:r>
        <w:rPr>
          <w:b/>
          <w:szCs w:val="22"/>
        </w:rPr>
        <w:t>Článek II.</w:t>
      </w:r>
    </w:p>
    <w:p w:rsidR="00940578" w:rsidRDefault="00AF71F7">
      <w:pPr>
        <w:jc w:val="center"/>
        <w:rPr>
          <w:b/>
          <w:szCs w:val="22"/>
        </w:rPr>
      </w:pPr>
      <w:r>
        <w:rPr>
          <w:b/>
          <w:szCs w:val="22"/>
        </w:rPr>
        <w:t>Předmět nájmu</w:t>
      </w:r>
    </w:p>
    <w:p w:rsidR="00940578" w:rsidRDefault="00940578">
      <w:pPr>
        <w:pStyle w:val="Bezmezer1"/>
        <w:rPr>
          <w:rFonts w:ascii="Arial" w:eastAsia="Arial" w:hAnsi="Arial" w:cs="Arial"/>
          <w:b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 xml:space="preserve">1) Česká republika je vlastníkem a Ministerstvo zemědělství je příslušné hospodařit </w:t>
      </w:r>
    </w:p>
    <w:p w:rsidR="00940578" w:rsidRDefault="00AF71F7">
      <w:pPr>
        <w:rPr>
          <w:szCs w:val="22"/>
        </w:rPr>
      </w:pPr>
      <w:r>
        <w:rPr>
          <w:szCs w:val="22"/>
        </w:rPr>
        <w:t xml:space="preserve">s pozemkem p. č. 1641, jehož součástí je budova s  č.p.  1191, ulice Tvardkova v k. ú.  Ústí nad Orlicí, zapsaným na LV č. 3421, vedeným u Katastrálního úřadu pro Pardubický kraj, Katastrální pracoviště Ústí nad Orlicí na adrese </w:t>
      </w:r>
      <w:r>
        <w:rPr>
          <w:color w:val="000000"/>
          <w:szCs w:val="22"/>
        </w:rPr>
        <w:t>Mírové náměstí 1389, 56201 Ústí nad Orlicí</w:t>
      </w:r>
    </w:p>
    <w:p w:rsidR="00940578" w:rsidRDefault="00AF71F7">
      <w:pPr>
        <w:rPr>
          <w:b/>
          <w:bCs/>
          <w:szCs w:val="22"/>
          <w:lang w:eastAsia="ar-SA"/>
        </w:rPr>
      </w:pPr>
      <w:r>
        <w:rPr>
          <w:szCs w:val="22"/>
        </w:rPr>
        <w:t>Příslušnost hospodařit s majetkem státu vznikla na základě Rozhodnutí 395/1971 o povolení k užívání ze dne 30. 4. 1971.</w:t>
      </w:r>
      <w:r>
        <w:rPr>
          <w:b/>
          <w:bCs/>
          <w:szCs w:val="22"/>
          <w:lang w:eastAsia="ar-SA"/>
        </w:rPr>
        <w:t xml:space="preserve"> </w:t>
      </w:r>
    </w:p>
    <w:p w:rsidR="00940578" w:rsidRDefault="00940578">
      <w:pPr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 xml:space="preserve">Pronajímatel touto smlouvou přenechává za úplatu nájemci k dočasnému užívání nebytové prostory v  budově č.p. 1191  </w:t>
      </w:r>
      <w:r>
        <w:rPr>
          <w:bCs/>
          <w:szCs w:val="22"/>
        </w:rPr>
        <w:t xml:space="preserve">(dále jen „Budova“). </w:t>
      </w:r>
      <w:r>
        <w:rPr>
          <w:szCs w:val="22"/>
        </w:rPr>
        <w:t>Nájemní právo vzniklé touto smlouvou je možné zapsat do veřejného seznamu pouze na návrh pronajímatele nebo s jeho souhlasem.</w:t>
      </w:r>
    </w:p>
    <w:p w:rsidR="00940578" w:rsidRDefault="00940578">
      <w:pPr>
        <w:rPr>
          <w:szCs w:val="22"/>
        </w:rPr>
      </w:pPr>
    </w:p>
    <w:p w:rsidR="00940578" w:rsidRDefault="00940578">
      <w:pPr>
        <w:rPr>
          <w:szCs w:val="22"/>
        </w:rPr>
      </w:pPr>
    </w:p>
    <w:p w:rsidR="00940578" w:rsidRDefault="00AF71F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2) Předmětem nájmu upraveného touto smlouvou jsou nebytové prostory v Budově ve 2. patře, kanceláře č. </w:t>
      </w:r>
      <w:r>
        <w:rPr>
          <w:rFonts w:ascii="Arial" w:eastAsia="Arial" w:hAnsi="Arial" w:cs="Arial"/>
          <w:b/>
          <w:sz w:val="22"/>
          <w:szCs w:val="22"/>
        </w:rPr>
        <w:t xml:space="preserve">311, 312, 313 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celkové výměře 88,03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(dále také jen </w:t>
      </w:r>
      <w:r>
        <w:rPr>
          <w:rFonts w:ascii="Arial" w:eastAsia="Arial" w:hAnsi="Arial" w:cs="Arial"/>
          <w:b/>
          <w:sz w:val="22"/>
          <w:szCs w:val="22"/>
        </w:rPr>
        <w:t>„pronajímané prostory“</w:t>
      </w:r>
      <w:r>
        <w:rPr>
          <w:rFonts w:ascii="Arial" w:eastAsia="Arial" w:hAnsi="Arial" w:cs="Arial"/>
          <w:sz w:val="22"/>
          <w:szCs w:val="22"/>
        </w:rPr>
        <w:t xml:space="preserve">) </w:t>
      </w:r>
    </w:p>
    <w:p w:rsidR="00940578" w:rsidRDefault="00940578">
      <w:pPr>
        <w:rPr>
          <w:szCs w:val="22"/>
        </w:rPr>
      </w:pPr>
    </w:p>
    <w:p w:rsidR="00940578" w:rsidRDefault="00940578">
      <w:pPr>
        <w:tabs>
          <w:tab w:val="left" w:pos="2462"/>
        </w:tabs>
        <w:ind w:left="426"/>
        <w:rPr>
          <w:b/>
          <w:bCs/>
          <w:szCs w:val="22"/>
        </w:rPr>
      </w:pPr>
    </w:p>
    <w:p w:rsidR="00940578" w:rsidRDefault="00AF71F7">
      <w:pPr>
        <w:rPr>
          <w:b/>
          <w:color w:val="FF0000"/>
          <w:szCs w:val="22"/>
        </w:rPr>
      </w:pPr>
      <w:r>
        <w:rPr>
          <w:szCs w:val="22"/>
        </w:rPr>
        <w:t>3) Přesný popis předmětu nájmu, umístění a výměry podlahové plochy jsou uvedeny v  </w:t>
      </w:r>
      <w:r>
        <w:rPr>
          <w:b/>
          <w:szCs w:val="22"/>
        </w:rPr>
        <w:t>Příloze č. 1</w:t>
      </w:r>
      <w:r>
        <w:rPr>
          <w:szCs w:val="22"/>
        </w:rPr>
        <w:t>, která tvoří nedílnou součást této smlouvy.</w:t>
      </w:r>
    </w:p>
    <w:p w:rsidR="00940578" w:rsidRDefault="00AF71F7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Cs w:val="22"/>
        </w:rPr>
      </w:pPr>
      <w:r>
        <w:rPr>
          <w:szCs w:val="22"/>
        </w:rPr>
        <w:t>Pronajímatel se zavazuje přenechat předmět nájmu nájemci k dočasnému užívání a nájemce se zavazuje platit za to sjednané nájemné a služby v souladu s článkem V. a VI. této smlouvy.</w:t>
      </w:r>
    </w:p>
    <w:p w:rsidR="00940578" w:rsidRDefault="00940578">
      <w:pPr>
        <w:tabs>
          <w:tab w:val="left" w:pos="426"/>
        </w:tabs>
        <w:rPr>
          <w:szCs w:val="22"/>
        </w:rPr>
      </w:pPr>
    </w:p>
    <w:p w:rsidR="00940578" w:rsidRDefault="00AF71F7">
      <w:pPr>
        <w:tabs>
          <w:tab w:val="left" w:pos="426"/>
        </w:tabs>
        <w:rPr>
          <w:szCs w:val="22"/>
        </w:rPr>
      </w:pPr>
      <w:r>
        <w:rPr>
          <w:szCs w:val="22"/>
        </w:rPr>
        <w:t xml:space="preserve">4) Smluvní strany konstatují, že předmět nájmu je způsobilý k řádnému užívání. Nájemce se detailně seznámil se stavem předmětu nájmu a v tomto stavu jej přejímá do svého užívání. </w:t>
      </w:r>
    </w:p>
    <w:p w:rsidR="00940578" w:rsidRDefault="00940578">
      <w:pPr>
        <w:tabs>
          <w:tab w:val="left" w:pos="426"/>
        </w:tabs>
        <w:rPr>
          <w:szCs w:val="22"/>
        </w:rPr>
      </w:pPr>
    </w:p>
    <w:p w:rsidR="00940578" w:rsidRDefault="00940578">
      <w:pPr>
        <w:tabs>
          <w:tab w:val="left" w:pos="426"/>
        </w:tabs>
        <w:rPr>
          <w:szCs w:val="22"/>
        </w:rPr>
      </w:pPr>
    </w:p>
    <w:p w:rsidR="00940578" w:rsidRDefault="00940578">
      <w:pPr>
        <w:tabs>
          <w:tab w:val="left" w:pos="426"/>
        </w:tabs>
        <w:rPr>
          <w:szCs w:val="22"/>
        </w:rPr>
      </w:pPr>
    </w:p>
    <w:p w:rsidR="00940578" w:rsidRDefault="00AF71F7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940578" w:rsidRDefault="00AF71F7">
      <w:pPr>
        <w:jc w:val="center"/>
        <w:rPr>
          <w:b/>
          <w:szCs w:val="22"/>
        </w:rPr>
      </w:pPr>
      <w:r>
        <w:rPr>
          <w:b/>
          <w:szCs w:val="22"/>
        </w:rPr>
        <w:t xml:space="preserve">Nájemné </w:t>
      </w:r>
    </w:p>
    <w:p w:rsidR="00940578" w:rsidRDefault="00940578">
      <w:pPr>
        <w:jc w:val="center"/>
        <w:rPr>
          <w:szCs w:val="22"/>
        </w:rPr>
      </w:pP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1) Nájemné za předmět nájmu činí</w:t>
      </w:r>
      <w:r>
        <w:rPr>
          <w:rFonts w:ascii="Arial" w:eastAsia="Arial" w:hAnsi="Arial" w:cs="Arial"/>
          <w:b/>
          <w:sz w:val="22"/>
          <w:szCs w:val="22"/>
        </w:rPr>
        <w:t xml:space="preserve"> 411,--Kč bez DPH za 1m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b/>
          <w:sz w:val="22"/>
          <w:szCs w:val="22"/>
        </w:rPr>
        <w:t>/rok, tj.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36.180,00 </w:t>
      </w:r>
      <w:r>
        <w:rPr>
          <w:rFonts w:ascii="Arial" w:eastAsia="Arial" w:hAnsi="Arial" w:cs="Arial"/>
          <w:b/>
          <w:bCs/>
          <w:sz w:val="22"/>
          <w:szCs w:val="22"/>
        </w:rPr>
        <w:t>Kč bez DPH</w:t>
      </w:r>
      <w:r>
        <w:rPr>
          <w:rFonts w:ascii="Arial" w:eastAsia="Arial" w:hAnsi="Arial" w:cs="Arial"/>
          <w:b/>
          <w:sz w:val="22"/>
          <w:szCs w:val="22"/>
        </w:rPr>
        <w:t xml:space="preserve"> ročně</w:t>
      </w:r>
      <w:r>
        <w:rPr>
          <w:rFonts w:ascii="Arial" w:eastAsia="Arial" w:hAnsi="Arial" w:cs="Arial"/>
          <w:sz w:val="22"/>
          <w:szCs w:val="22"/>
        </w:rPr>
        <w:t xml:space="preserve">.   Nájemné je stanoveno po dohodě smluvních stran nejméně ve výši v místě obvyklé v době uzavření nájemní smlouvy s přihlédnutím k nájemnému za nájem obdobných nebytových prostor za obdobných podmínek </w:t>
      </w:r>
    </w:p>
    <w:p w:rsidR="00940578" w:rsidRDefault="00AF71F7">
      <w:pPr>
        <w:pStyle w:val="Zkladntex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souladu s ustanovením § 56a zákona č. 235/2004 Sb.,  o dani z přidané hodnoty, ve znění pozdějších předpisů, je nájem nemovité věci osvobozen od DPH. </w:t>
      </w:r>
    </w:p>
    <w:p w:rsidR="00940578" w:rsidRDefault="00940578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 xml:space="preserve">2)Nájemné bude hrazeno čtvrtletně ve výši </w:t>
      </w:r>
      <w:r>
        <w:rPr>
          <w:b/>
          <w:szCs w:val="22"/>
        </w:rPr>
        <w:t>9.045,00 Kč</w:t>
      </w:r>
      <w:r>
        <w:rPr>
          <w:szCs w:val="22"/>
        </w:rPr>
        <w:t>, na základě faktur vystavených pronajímatelem</w:t>
      </w:r>
      <w:r>
        <w:rPr>
          <w:color w:val="FF0000"/>
          <w:szCs w:val="22"/>
        </w:rPr>
        <w:t xml:space="preserve"> </w:t>
      </w:r>
      <w:r>
        <w:rPr>
          <w:szCs w:val="22"/>
        </w:rPr>
        <w:t xml:space="preserve">s náležitostmi daňového dokladu dle zákona č.563/1991Sb., o účetnictví a zákona </w:t>
      </w:r>
      <w:r>
        <w:rPr>
          <w:b/>
          <w:szCs w:val="22"/>
        </w:rPr>
        <w:t>č.</w:t>
      </w:r>
      <w:r>
        <w:rPr>
          <w:szCs w:val="22"/>
        </w:rPr>
        <w:t xml:space="preserve"> 235/2004 Sb. o dani z přidané hodnoty, ve znění pozdějších předpisů. Lhůta splatnosti faktury je 21 kalendářních dnů ode dne jejího doručení nájemci. Úhradu plateb za nájem provede nájemce na účet</w:t>
      </w:r>
      <w:r>
        <w:rPr>
          <w:b/>
          <w:szCs w:val="22"/>
        </w:rPr>
        <w:t xml:space="preserve"> </w:t>
      </w:r>
      <w:r>
        <w:rPr>
          <w:szCs w:val="22"/>
        </w:rPr>
        <w:t xml:space="preserve">pronajímatele vedený u ČNB Praha 1, </w:t>
      </w:r>
      <w:r>
        <w:rPr>
          <w:b/>
          <w:szCs w:val="22"/>
        </w:rPr>
        <w:t>č. ú. 19-1226001/0710.</w:t>
      </w:r>
      <w:r>
        <w:rPr>
          <w:szCs w:val="22"/>
        </w:rPr>
        <w:t xml:space="preserve"> Nájemné za období kratší než kalendářní čtvrtletí činí alikvótní část čtvrtletního  nájemného.</w:t>
      </w:r>
    </w:p>
    <w:p w:rsidR="00940578" w:rsidRDefault="00940578">
      <w:pPr>
        <w:tabs>
          <w:tab w:val="left" w:pos="426"/>
        </w:tabs>
        <w:ind w:left="-142"/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 xml:space="preserve">3) Na začátku každého roku nájmu počínaje rokem 2018 bude upraveno nájemné podle průměrné roční míry inflace, vyjádřené indexem růstu spotřebitelských cen za předcházející rok, zveřejněné Českým statistickým úřadem, s účinností od 1. ledna příslušného kalendářního roku. Zvýšení bude realizováno jednostranným písemným oznámením pronajímatele nájemci. </w:t>
      </w:r>
    </w:p>
    <w:p w:rsidR="00940578" w:rsidRDefault="00940578">
      <w:pPr>
        <w:pStyle w:val="Odstavecseseznamem1"/>
        <w:ind w:left="426"/>
        <w:rPr>
          <w:rFonts w:ascii="Arial" w:eastAsia="Arial" w:hAnsi="Arial" w:cs="Arial"/>
          <w:sz w:val="22"/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>4) Pro případ nových nebo zvýšených daňových, odvodových nebo poplatkových povinností stanovených nebo vyměřených pronajímateli v souvislosti se správou budovy je pronajímatel oprávněn zvýšit sjednané nájemné od 1. dne následujícího kalendářního čtvrtletí o částku odpovídající poměru roční výše těchto povinností a rozsahu nájemcem užívaných ploch.</w:t>
      </w:r>
    </w:p>
    <w:p w:rsidR="00940578" w:rsidRDefault="00940578">
      <w:pPr>
        <w:pStyle w:val="Odstavecseseznamem1"/>
        <w:ind w:left="426"/>
        <w:rPr>
          <w:rFonts w:ascii="Arial" w:eastAsia="Arial" w:hAnsi="Arial" w:cs="Arial"/>
          <w:sz w:val="22"/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>5) V případě prodlení s platbou nájemného uhradí nájemce pronajímateli kromě dlužné částky i úrok z prodlení za každý i započatý den prodlení, jehož výše je stanovena příslušným nařízením vlády, kterým se stanoví výše úroků z prodlení v souladu s ust. § 1970 občanského zákoníku.</w:t>
      </w:r>
    </w:p>
    <w:p w:rsidR="00940578" w:rsidRDefault="00940578">
      <w:pPr>
        <w:tabs>
          <w:tab w:val="left" w:pos="426"/>
        </w:tabs>
        <w:rPr>
          <w:szCs w:val="22"/>
        </w:rPr>
      </w:pPr>
    </w:p>
    <w:p w:rsidR="00940578" w:rsidRDefault="00940578">
      <w:pPr>
        <w:pStyle w:val="Bezmezer1"/>
        <w:rPr>
          <w:rFonts w:ascii="Arial" w:eastAsia="Arial" w:hAnsi="Arial" w:cs="Arial"/>
          <w:b/>
        </w:rPr>
      </w:pPr>
    </w:p>
    <w:p w:rsidR="00940578" w:rsidRDefault="00940578">
      <w:pPr>
        <w:pStyle w:val="Bezmezer1"/>
        <w:rPr>
          <w:rFonts w:ascii="Arial" w:eastAsia="Arial" w:hAnsi="Arial" w:cs="Arial"/>
          <w:b/>
        </w:rPr>
      </w:pPr>
    </w:p>
    <w:p w:rsidR="00940578" w:rsidRDefault="00940578">
      <w:pPr>
        <w:pStyle w:val="Bezmezer1"/>
        <w:rPr>
          <w:rFonts w:ascii="Arial" w:eastAsia="Arial" w:hAnsi="Arial" w:cs="Arial"/>
          <w:b/>
        </w:rPr>
      </w:pPr>
    </w:p>
    <w:p w:rsidR="00940578" w:rsidRDefault="00940578">
      <w:pPr>
        <w:pStyle w:val="Bezmezer1"/>
        <w:rPr>
          <w:rFonts w:ascii="Arial" w:eastAsia="Arial" w:hAnsi="Arial" w:cs="Arial"/>
          <w:b/>
        </w:rPr>
      </w:pPr>
    </w:p>
    <w:p w:rsidR="00940578" w:rsidRDefault="00940578">
      <w:pPr>
        <w:pStyle w:val="Bezmezer1"/>
        <w:rPr>
          <w:rFonts w:ascii="Arial" w:eastAsia="Arial" w:hAnsi="Arial" w:cs="Arial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>Ostatní ustanovení „Smlouvy o nájmu prostor sloužících k podnikání“ zůstávají beze změny.</w:t>
      </w:r>
    </w:p>
    <w:p w:rsidR="00940578" w:rsidRDefault="00940578">
      <w:pPr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>Tento dodatek č. 1  nabývá účinnosti od 1. 1. 2019</w:t>
      </w:r>
    </w:p>
    <w:p w:rsidR="00940578" w:rsidRDefault="00940578">
      <w:pPr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 xml:space="preserve">Tento dodatek je sepsán ve 4 výtiscích. Po oboustranném podpisu přebírá  pronajímatel i nájemce 2 výtisky. </w:t>
      </w:r>
    </w:p>
    <w:p w:rsidR="00940578" w:rsidRDefault="00940578">
      <w:pPr>
        <w:rPr>
          <w:szCs w:val="22"/>
        </w:rPr>
      </w:pPr>
    </w:p>
    <w:p w:rsidR="00940578" w:rsidRDefault="00AF71F7">
      <w:pPr>
        <w:pStyle w:val="Zkladntex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Přílohy:</w:t>
      </w:r>
    </w:p>
    <w:p w:rsidR="00940578" w:rsidRDefault="00AF71F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1: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Popis předmětu nájmu s výměrami.</w:t>
      </w:r>
    </w:p>
    <w:p w:rsidR="00940578" w:rsidRDefault="00940578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40578" w:rsidRDefault="00940578">
      <w:pPr>
        <w:rPr>
          <w:szCs w:val="22"/>
        </w:rPr>
      </w:pPr>
    </w:p>
    <w:p w:rsidR="00940578" w:rsidRDefault="00940578">
      <w:pPr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 xml:space="preserve">V Praze dne:  </w:t>
      </w:r>
      <w:r w:rsidR="00905CF8">
        <w:rPr>
          <w:szCs w:val="22"/>
        </w:rPr>
        <w:t>12.12.2018</w:t>
      </w:r>
      <w:r>
        <w:rPr>
          <w:szCs w:val="22"/>
        </w:rPr>
        <w:t xml:space="preserve">                                          V Ústí nad Orlicí dne:</w:t>
      </w:r>
      <w:r w:rsidR="00905CF8">
        <w:rPr>
          <w:szCs w:val="22"/>
        </w:rPr>
        <w:t xml:space="preserve"> 17.12.2018</w:t>
      </w:r>
    </w:p>
    <w:p w:rsidR="00940578" w:rsidRDefault="00940578">
      <w:pPr>
        <w:rPr>
          <w:szCs w:val="22"/>
        </w:rPr>
      </w:pPr>
    </w:p>
    <w:p w:rsidR="00940578" w:rsidRDefault="00940578">
      <w:pPr>
        <w:rPr>
          <w:szCs w:val="22"/>
        </w:rPr>
      </w:pPr>
    </w:p>
    <w:p w:rsidR="00940578" w:rsidRDefault="00AF71F7">
      <w:pPr>
        <w:rPr>
          <w:szCs w:val="22"/>
        </w:rPr>
      </w:pPr>
      <w:r>
        <w:rPr>
          <w:szCs w:val="22"/>
        </w:rPr>
        <w:t xml:space="preserve">Pronajímatel: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 Nájemce:</w:t>
      </w:r>
    </w:p>
    <w:p w:rsidR="00940578" w:rsidRDefault="00940578">
      <w:pPr>
        <w:pStyle w:val="Default"/>
        <w:rPr>
          <w:b/>
          <w:sz w:val="22"/>
          <w:szCs w:val="22"/>
        </w:rPr>
      </w:pPr>
    </w:p>
    <w:p w:rsidR="00940578" w:rsidRDefault="00940578">
      <w:pPr>
        <w:pStyle w:val="Default"/>
        <w:rPr>
          <w:b/>
          <w:sz w:val="22"/>
          <w:szCs w:val="22"/>
        </w:rPr>
      </w:pPr>
    </w:p>
    <w:p w:rsidR="00940578" w:rsidRDefault="00AF71F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OHGS s.r.o.</w:t>
      </w:r>
    </w:p>
    <w:p w:rsidR="00940578" w:rsidRDefault="00AF7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Pavel Brokeš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905CF8">
        <w:rPr>
          <w:sz w:val="22"/>
          <w:szCs w:val="22"/>
        </w:rPr>
        <w:t>xxxxxxxxxxxxxxxx</w:t>
      </w:r>
    </w:p>
    <w:p w:rsidR="00940578" w:rsidRDefault="00AF71F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ředitel odboru vnitřní správy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jednatelka   </w:t>
      </w:r>
    </w:p>
    <w:p w:rsidR="00940578" w:rsidRDefault="00940578">
      <w:pPr>
        <w:rPr>
          <w:szCs w:val="22"/>
        </w:rPr>
      </w:pPr>
    </w:p>
    <w:sectPr w:rsidR="00940578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B5" w:rsidRDefault="007F11B5">
      <w:r>
        <w:separator/>
      </w:r>
    </w:p>
  </w:endnote>
  <w:endnote w:type="continuationSeparator" w:id="0">
    <w:p w:rsidR="007F11B5" w:rsidRDefault="007F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78" w:rsidRDefault="007F11B5">
    <w:pPr>
      <w:pStyle w:val="Zpat"/>
    </w:pPr>
    <w:r>
      <w:rPr>
        <w:bCs/>
      </w:rPr>
      <w:fldChar w:fldCharType="begin"/>
    </w:r>
    <w:r>
      <w:rPr>
        <w:bCs/>
      </w:rPr>
      <w:instrText xml:space="preserve"> DOCVARIABLE  dms_cj  \* MERGEFORMAT </w:instrText>
    </w:r>
    <w:r>
      <w:rPr>
        <w:bCs/>
      </w:rPr>
      <w:fldChar w:fldCharType="separate"/>
    </w:r>
    <w:r w:rsidR="00AF71F7">
      <w:rPr>
        <w:bCs/>
      </w:rPr>
      <w:t>71486/2018-MZE-11141</w:t>
    </w:r>
    <w:r>
      <w:rPr>
        <w:bCs/>
      </w:rPr>
      <w:fldChar w:fldCharType="end"/>
    </w:r>
    <w:r w:rsidR="00AF71F7">
      <w:tab/>
    </w:r>
    <w:r w:rsidR="00AF71F7">
      <w:fldChar w:fldCharType="begin"/>
    </w:r>
    <w:r w:rsidR="00AF71F7">
      <w:instrText>PAGE   \* MERGEFORMAT</w:instrText>
    </w:r>
    <w:r w:rsidR="00AF71F7">
      <w:fldChar w:fldCharType="separate"/>
    </w:r>
    <w:r w:rsidR="00905CF8">
      <w:rPr>
        <w:noProof/>
      </w:rPr>
      <w:t>2</w:t>
    </w:r>
    <w:r w:rsidR="00AF71F7">
      <w:fldChar w:fldCharType="end"/>
    </w:r>
  </w:p>
  <w:p w:rsidR="00940578" w:rsidRDefault="00940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B5" w:rsidRDefault="007F11B5">
      <w:r>
        <w:separator/>
      </w:r>
    </w:p>
  </w:footnote>
  <w:footnote w:type="continuationSeparator" w:id="0">
    <w:p w:rsidR="007F11B5" w:rsidRDefault="007F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78" w:rsidRDefault="007F11B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393d73-aa81-45b3-9931-582fbbb34a2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78" w:rsidRDefault="007F11B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0138176-147e-42c9-ab48-439ce4e4bc2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78" w:rsidRDefault="007F11B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932b177-700d-4eee-9873-d29a1d6ebfb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8BC"/>
    <w:multiLevelType w:val="multilevel"/>
    <w:tmpl w:val="0DDABE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5263041"/>
    <w:multiLevelType w:val="multilevel"/>
    <w:tmpl w:val="CD9EAE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5DB5B8A"/>
    <w:multiLevelType w:val="multilevel"/>
    <w:tmpl w:val="17987B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E3D6105"/>
    <w:multiLevelType w:val="multilevel"/>
    <w:tmpl w:val="74207D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EE47DF5"/>
    <w:multiLevelType w:val="multilevel"/>
    <w:tmpl w:val="D6F639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7F558C7"/>
    <w:multiLevelType w:val="multilevel"/>
    <w:tmpl w:val="11564C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9D71206"/>
    <w:multiLevelType w:val="multilevel"/>
    <w:tmpl w:val="3956F3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AE90D1A"/>
    <w:multiLevelType w:val="multilevel"/>
    <w:tmpl w:val="9DB6F4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F8B519C"/>
    <w:multiLevelType w:val="multilevel"/>
    <w:tmpl w:val="3B80EF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0DF500E"/>
    <w:multiLevelType w:val="multilevel"/>
    <w:tmpl w:val="C96E2F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0F92C9C"/>
    <w:multiLevelType w:val="multilevel"/>
    <w:tmpl w:val="1C24D2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5457A7E"/>
    <w:multiLevelType w:val="multilevel"/>
    <w:tmpl w:val="28F24E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DFB1F39"/>
    <w:multiLevelType w:val="multilevel"/>
    <w:tmpl w:val="152C86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182116F"/>
    <w:multiLevelType w:val="multilevel"/>
    <w:tmpl w:val="E500B4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34DB73BE"/>
    <w:multiLevelType w:val="multilevel"/>
    <w:tmpl w:val="234448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57333B1"/>
    <w:multiLevelType w:val="multilevel"/>
    <w:tmpl w:val="7214CC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B572E80"/>
    <w:multiLevelType w:val="multilevel"/>
    <w:tmpl w:val="4C0485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E917DCC"/>
    <w:multiLevelType w:val="multilevel"/>
    <w:tmpl w:val="B436EF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D4E5CBB"/>
    <w:multiLevelType w:val="multilevel"/>
    <w:tmpl w:val="54E07C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4E236791"/>
    <w:multiLevelType w:val="multilevel"/>
    <w:tmpl w:val="FD2C36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F5400A2"/>
    <w:multiLevelType w:val="multilevel"/>
    <w:tmpl w:val="C70EFB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5A31846"/>
    <w:multiLevelType w:val="multilevel"/>
    <w:tmpl w:val="F19800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5B0D5360"/>
    <w:multiLevelType w:val="multilevel"/>
    <w:tmpl w:val="B9EC45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5F202343"/>
    <w:multiLevelType w:val="multilevel"/>
    <w:tmpl w:val="DB3AE6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18443CB"/>
    <w:multiLevelType w:val="multilevel"/>
    <w:tmpl w:val="F7D2C4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1E65426"/>
    <w:multiLevelType w:val="multilevel"/>
    <w:tmpl w:val="DAB4DB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3C520A3"/>
    <w:multiLevelType w:val="multilevel"/>
    <w:tmpl w:val="9FBC96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8A17C90"/>
    <w:multiLevelType w:val="multilevel"/>
    <w:tmpl w:val="08F608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B460365"/>
    <w:multiLevelType w:val="multilevel"/>
    <w:tmpl w:val="C72C96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B5F2E88"/>
    <w:multiLevelType w:val="multilevel"/>
    <w:tmpl w:val="C78856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D2A7BA9"/>
    <w:multiLevelType w:val="multilevel"/>
    <w:tmpl w:val="8E2464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EA566BE"/>
    <w:multiLevelType w:val="multilevel"/>
    <w:tmpl w:val="8326D0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25"/>
  </w:num>
  <w:num w:numId="11">
    <w:abstractNumId w:val="22"/>
  </w:num>
  <w:num w:numId="12">
    <w:abstractNumId w:val="26"/>
  </w:num>
  <w:num w:numId="13">
    <w:abstractNumId w:val="6"/>
  </w:num>
  <w:num w:numId="14">
    <w:abstractNumId w:val="8"/>
  </w:num>
  <w:num w:numId="15">
    <w:abstractNumId w:val="16"/>
  </w:num>
  <w:num w:numId="16">
    <w:abstractNumId w:val="14"/>
  </w:num>
  <w:num w:numId="17">
    <w:abstractNumId w:val="1"/>
  </w:num>
  <w:num w:numId="18">
    <w:abstractNumId w:val="2"/>
  </w:num>
  <w:num w:numId="19">
    <w:abstractNumId w:val="27"/>
  </w:num>
  <w:num w:numId="20">
    <w:abstractNumId w:val="28"/>
  </w:num>
  <w:num w:numId="21">
    <w:abstractNumId w:val="9"/>
  </w:num>
  <w:num w:numId="22">
    <w:abstractNumId w:val="31"/>
  </w:num>
  <w:num w:numId="23">
    <w:abstractNumId w:val="11"/>
  </w:num>
  <w:num w:numId="24">
    <w:abstractNumId w:val="23"/>
  </w:num>
  <w:num w:numId="25">
    <w:abstractNumId w:val="12"/>
  </w:num>
  <w:num w:numId="26">
    <w:abstractNumId w:val="24"/>
  </w:num>
  <w:num w:numId="27">
    <w:abstractNumId w:val="17"/>
  </w:num>
  <w:num w:numId="28">
    <w:abstractNumId w:val="29"/>
  </w:num>
  <w:num w:numId="29">
    <w:abstractNumId w:val="21"/>
  </w:num>
  <w:num w:numId="30">
    <w:abstractNumId w:val="19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0489040071486/2018-MZE-11141"/>
    <w:docVar w:name="dms_cj" w:val="71486/2018-MZE-11141"/>
    <w:docVar w:name="dms_datum" w:val="12. 12. 2018"/>
    <w:docVar w:name="dms_datum_textem" w:val="12. prosince 2018"/>
    <w:docVar w:name="dms_datum_vzniku" w:val="6. 12. 2018 7:57:43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2.patro 2017.pdf"/>
    <w:docVar w:name="dms_pripojene_dokumenty" w:val=" "/>
    <w:docVar w:name="dms_spisova_znacka" w:val="50VD5942/2018-11141"/>
    <w:docVar w:name="dms_spravce_jmeno" w:val="Jaroslava Bernovská"/>
    <w:docVar w:name="dms_spravce_mail" w:val="Jaroslava.Bernovska@mze.cz"/>
    <w:docVar w:name="dms_spravce_telefon" w:val="72583210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1 - OHGS"/>
    <w:docVar w:name="dms_VNVSpravce" w:val=" "/>
    <w:docVar w:name="dms_zpracoval_jmeno" w:val="Jaroslava Bernovská"/>
    <w:docVar w:name="dms_zpracoval_mail" w:val="Jaroslava.Bernovska@mze.cz"/>
    <w:docVar w:name="dms_zpracoval_telefon" w:val="725832107"/>
  </w:docVars>
  <w:rsids>
    <w:rsidRoot w:val="00940578"/>
    <w:rsid w:val="007F11B5"/>
    <w:rsid w:val="00897578"/>
    <w:rsid w:val="00905CF8"/>
    <w:rsid w:val="00940578"/>
    <w:rsid w:val="00AF71F7"/>
    <w:rsid w:val="00B937C7"/>
    <w:rsid w:val="00C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5:docId w15:val="{B710E32B-06B5-4FA0-A2DF-BAFCEA4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</w:style>
  <w:style w:type="character" w:customStyle="1" w:styleId="data1">
    <w:name w:val="data1"/>
    <w:rPr>
      <w:rFonts w:ascii="Arial" w:eastAsia="Arial" w:hAnsi="Arial" w:cs="Arial" w:hint="default"/>
      <w:b/>
      <w:bCs/>
      <w:sz w:val="20"/>
      <w:szCs w:val="20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dcterms:created xsi:type="dcterms:W3CDTF">2018-12-17T11:37:00Z</dcterms:created>
  <dcterms:modified xsi:type="dcterms:W3CDTF">2018-12-17T11:37:00Z</dcterms:modified>
</cp:coreProperties>
</file>