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F0" w:rsidRDefault="00D94F45">
      <w:pPr>
        <w:spacing w:after="141" w:line="259" w:lineRule="auto"/>
        <w:ind w:left="86" w:firstLine="0"/>
        <w:jc w:val="center"/>
      </w:pPr>
      <w:r>
        <w:rPr>
          <w:rFonts w:ascii="Times New Roman" w:eastAsia="Times New Roman" w:hAnsi="Times New Roman" w:cs="Times New Roman"/>
          <w:sz w:val="32"/>
        </w:rPr>
        <w:t>SMLOUVA</w:t>
      </w:r>
    </w:p>
    <w:p w:rsidR="00B839F0" w:rsidRDefault="00D94F45">
      <w:pPr>
        <w:spacing w:after="409" w:line="265" w:lineRule="auto"/>
        <w:ind w:left="101"/>
        <w:jc w:val="center"/>
      </w:pPr>
      <w:r>
        <w:rPr>
          <w:rFonts w:ascii="Times New Roman" w:eastAsia="Times New Roman" w:hAnsi="Times New Roman" w:cs="Times New Roman"/>
          <w:sz w:val="26"/>
        </w:rPr>
        <w:t>o vedení mzdové a personální agendy</w:t>
      </w:r>
    </w:p>
    <w:p w:rsidR="00B839F0" w:rsidRDefault="00D94F45">
      <w:pPr>
        <w:spacing w:after="240" w:line="265" w:lineRule="auto"/>
        <w:ind w:left="101" w:right="29"/>
        <w:jc w:val="center"/>
      </w:pPr>
      <w:r>
        <w:rPr>
          <w:rFonts w:ascii="Times New Roman" w:eastAsia="Times New Roman" w:hAnsi="Times New Roman" w:cs="Times New Roman"/>
          <w:sz w:val="26"/>
        </w:rPr>
        <w:t>1.</w:t>
      </w:r>
    </w:p>
    <w:p w:rsidR="00B839F0" w:rsidRDefault="00D94F45">
      <w:pPr>
        <w:pStyle w:val="Nadpis1"/>
        <w:spacing w:after="317"/>
        <w:ind w:left="24"/>
      </w:pPr>
      <w:r>
        <w:t>Smluvní strany</w:t>
      </w:r>
    </w:p>
    <w:p w:rsidR="00B839F0" w:rsidRDefault="00D94F45">
      <w:pPr>
        <w:numPr>
          <w:ilvl w:val="0"/>
          <w:numId w:val="1"/>
        </w:numPr>
        <w:spacing w:after="304" w:line="269" w:lineRule="auto"/>
        <w:ind w:right="2150" w:hanging="293"/>
        <w:jc w:val="both"/>
      </w:pPr>
      <w:r>
        <w:rPr>
          <w:rFonts w:ascii="Times New Roman" w:eastAsia="Times New Roman" w:hAnsi="Times New Roman" w:cs="Times New Roman"/>
        </w:rPr>
        <w:t>Objednatel : Základní škola a Mateřská škola při nemocnici Kadaň, Chomutovská 1289, 432 Ol Kadaň zastoupený: ředitelem Mgr. Ivo Havránkem</w:t>
      </w:r>
    </w:p>
    <w:p w:rsidR="00B839F0" w:rsidRDefault="00D94F45">
      <w:pPr>
        <w:tabs>
          <w:tab w:val="center" w:pos="362"/>
          <w:tab w:val="center" w:pos="1351"/>
        </w:tabs>
        <w:spacing w:after="305" w:line="269" w:lineRule="auto"/>
        <w:ind w:left="0" w:firstLine="0"/>
      </w:pPr>
      <w:r>
        <w:rPr>
          <w:rFonts w:ascii="Times New Roman" w:eastAsia="Times New Roman" w:hAnsi="Times New Roman" w:cs="Times New Roman"/>
        </w:rPr>
        <w:tab/>
        <w:t xml:space="preserve">IČ </w:t>
      </w:r>
      <w:r>
        <w:rPr>
          <w:rFonts w:ascii="Times New Roman" w:eastAsia="Times New Roman" w:hAnsi="Times New Roman" w:cs="Times New Roman"/>
        </w:rPr>
        <w:tab/>
        <w:t>46790039</w:t>
      </w:r>
    </w:p>
    <w:p w:rsidR="00B839F0" w:rsidRDefault="00D94F45">
      <w:pPr>
        <w:numPr>
          <w:ilvl w:val="0"/>
          <w:numId w:val="1"/>
        </w:numPr>
        <w:spacing w:after="4" w:line="418" w:lineRule="auto"/>
        <w:ind w:right="2150" w:hanging="293"/>
        <w:jc w:val="both"/>
      </w:pPr>
      <w:r>
        <w:rPr>
          <w:rFonts w:ascii="Times New Roman" w:eastAsia="Times New Roman" w:hAnsi="Times New Roman" w:cs="Times New Roman"/>
        </w:rPr>
        <w:t>Zhotovitel . Středisko služeb školám v.o.s. Alešova 4414, 430 03 Chomutov zastoupený : ředitelem ing. Vítem Šobáněm</w:t>
      </w:r>
    </w:p>
    <w:p w:rsidR="00B839F0" w:rsidRDefault="00D94F45">
      <w:pPr>
        <w:tabs>
          <w:tab w:val="center" w:pos="955"/>
          <w:tab w:val="center" w:pos="3770"/>
        </w:tabs>
        <w:spacing w:after="213" w:line="269" w:lineRule="auto"/>
        <w:ind w:left="0" w:firstLine="0"/>
      </w:pPr>
      <w:r>
        <w:rPr>
          <w:rFonts w:ascii="Times New Roman" w:eastAsia="Times New Roman" w:hAnsi="Times New Roman" w:cs="Times New Roman"/>
        </w:rPr>
        <w:tab/>
        <w:t>IČ 25457977</w:t>
      </w:r>
      <w:r>
        <w:rPr>
          <w:rFonts w:ascii="Times New Roman" w:eastAsia="Times New Roman" w:hAnsi="Times New Roman" w:cs="Times New Roman"/>
        </w:rPr>
        <w:tab/>
        <w:t>DIČ cz25457977</w:t>
      </w:r>
    </w:p>
    <w:p w:rsidR="00B839F0" w:rsidRDefault="00D94F45">
      <w:pPr>
        <w:spacing w:after="290" w:line="269" w:lineRule="auto"/>
        <w:ind w:left="34"/>
        <w:jc w:val="center"/>
      </w:pPr>
      <w:r>
        <w:rPr>
          <w:rFonts w:ascii="Times New Roman" w:eastAsia="Times New Roman" w:hAnsi="Times New Roman" w:cs="Times New Roman"/>
          <w:sz w:val="22"/>
        </w:rPr>
        <w:t>11.</w:t>
      </w:r>
    </w:p>
    <w:p w:rsidR="00B839F0" w:rsidRDefault="00D94F45">
      <w:pPr>
        <w:pStyle w:val="Nadpis1"/>
        <w:ind w:left="24"/>
      </w:pPr>
      <w:r>
        <w:t>Předmět smlouvy</w:t>
      </w:r>
    </w:p>
    <w:p w:rsidR="00B839F0" w:rsidRDefault="00D94F45">
      <w:pPr>
        <w:spacing w:after="255" w:line="269" w:lineRule="auto"/>
        <w:ind w:left="10" w:right="230"/>
        <w:jc w:val="both"/>
      </w:pPr>
      <w:r>
        <w:rPr>
          <w:rFonts w:ascii="Times New Roman" w:eastAsia="Times New Roman" w:hAnsi="Times New Roman" w:cs="Times New Roman"/>
        </w:rPr>
        <w:t>Předmětem smlouvy je vedení mzdové a personální agendy v rozsahu podle čl. III.</w:t>
      </w:r>
    </w:p>
    <w:p w:rsidR="00B839F0" w:rsidRDefault="00D94F45">
      <w:pPr>
        <w:spacing w:after="290" w:line="269" w:lineRule="auto"/>
        <w:ind w:left="34" w:right="10"/>
        <w:jc w:val="center"/>
      </w:pPr>
      <w:r>
        <w:rPr>
          <w:rFonts w:ascii="Times New Roman" w:eastAsia="Times New Roman" w:hAnsi="Times New Roman" w:cs="Times New Roman"/>
          <w:sz w:val="22"/>
        </w:rPr>
        <w:t>111.</w:t>
      </w:r>
    </w:p>
    <w:p w:rsidR="00B839F0" w:rsidRDefault="00D94F45">
      <w:pPr>
        <w:spacing w:after="0" w:line="259" w:lineRule="auto"/>
        <w:ind w:left="24"/>
      </w:pPr>
      <w:r>
        <w:rPr>
          <w:rFonts w:ascii="Times New Roman" w:eastAsia="Times New Roman" w:hAnsi="Times New Roman" w:cs="Times New Roman"/>
          <w:sz w:val="26"/>
        </w:rPr>
        <w:t>Zhotovitel se zavazuje :</w:t>
      </w:r>
    </w:p>
    <w:p w:rsidR="00B839F0" w:rsidRDefault="00D94F45">
      <w:pPr>
        <w:numPr>
          <w:ilvl w:val="0"/>
          <w:numId w:val="2"/>
        </w:numPr>
        <w:spacing w:after="245" w:line="269" w:lineRule="auto"/>
        <w:ind w:hanging="240"/>
      </w:pPr>
      <w:r>
        <w:rPr>
          <w:rFonts w:ascii="Times New Roman" w:eastAsia="Times New Roman" w:hAnsi="Times New Roman" w:cs="Times New Roman"/>
        </w:rPr>
        <w:t>Zpracovávat mzdovou a personální agendu pro objednatele v následujícím rozsahu :</w:t>
      </w:r>
    </w:p>
    <w:p w:rsidR="00B839F0" w:rsidRDefault="00D94F45">
      <w:pPr>
        <w:numPr>
          <w:ilvl w:val="1"/>
          <w:numId w:val="2"/>
        </w:numPr>
        <w:spacing w:after="4" w:line="269" w:lineRule="auto"/>
        <w:ind w:left="552" w:right="230" w:hanging="317"/>
        <w:jc w:val="both"/>
      </w:pPr>
      <w:r>
        <w:rPr>
          <w:rFonts w:ascii="Times New Roman" w:eastAsia="Times New Roman" w:hAnsi="Times New Roman" w:cs="Times New Roman"/>
        </w:rPr>
        <w:t>Základní zpracování mezd:</w:t>
      </w:r>
    </w:p>
    <w:p w:rsidR="00B839F0" w:rsidRDefault="00D94F45">
      <w:pPr>
        <w:numPr>
          <w:ilvl w:val="1"/>
          <w:numId w:val="3"/>
        </w:numPr>
        <w:spacing w:after="4" w:line="269" w:lineRule="auto"/>
        <w:ind w:right="230" w:hanging="182"/>
        <w:jc w:val="both"/>
      </w:pPr>
      <w:r>
        <w:rPr>
          <w:rFonts w:ascii="Times New Roman" w:eastAsia="Times New Roman" w:hAnsi="Times New Roman" w:cs="Times New Roman"/>
        </w:rPr>
        <w:t>výpočet platu a dávek sociálního zabezpečení</w:t>
      </w:r>
    </w:p>
    <w:p w:rsidR="00B839F0" w:rsidRDefault="00D94F45">
      <w:pPr>
        <w:numPr>
          <w:ilvl w:val="1"/>
          <w:numId w:val="3"/>
        </w:numPr>
        <w:spacing w:after="4" w:line="269" w:lineRule="auto"/>
        <w:ind w:right="230" w:hanging="182"/>
        <w:jc w:val="both"/>
      </w:pPr>
      <w:r>
        <w:rPr>
          <w:rFonts w:ascii="Times New Roman" w:eastAsia="Times New Roman" w:hAnsi="Times New Roman" w:cs="Times New Roman"/>
        </w:rPr>
        <w:t>výpočet daně a daňových záloh</w:t>
      </w:r>
    </w:p>
    <w:p w:rsidR="00B839F0" w:rsidRDefault="00D94F45">
      <w:pPr>
        <w:numPr>
          <w:ilvl w:val="1"/>
          <w:numId w:val="3"/>
        </w:numPr>
        <w:spacing w:after="4" w:line="269" w:lineRule="auto"/>
        <w:ind w:right="230" w:hanging="182"/>
        <w:jc w:val="both"/>
      </w:pPr>
      <w:r>
        <w:rPr>
          <w:rFonts w:ascii="Times New Roman" w:eastAsia="Times New Roman" w:hAnsi="Times New Roman" w:cs="Times New Roman"/>
        </w:rPr>
        <w:t>výpočet sociáln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ího a zdravotního pojištění</w:t>
      </w:r>
    </w:p>
    <w:p w:rsidR="00B839F0" w:rsidRDefault="00D94F45">
      <w:pPr>
        <w:numPr>
          <w:ilvl w:val="1"/>
          <w:numId w:val="3"/>
        </w:numPr>
        <w:spacing w:after="285" w:line="269" w:lineRule="auto"/>
        <w:ind w:right="230" w:hanging="182"/>
        <w:jc w:val="both"/>
      </w:pPr>
      <w:r>
        <w:rPr>
          <w:rFonts w:ascii="Times New Roman" w:eastAsia="Times New Roman" w:hAnsi="Times New Roman" w:cs="Times New Roman"/>
        </w:rPr>
        <w:t xml:space="preserve">tisk </w:t>
      </w:r>
      <w:r>
        <w:rPr>
          <w:rFonts w:ascii="Times New Roman" w:eastAsia="Times New Roman" w:hAnsi="Times New Roman" w:cs="Times New Roman"/>
        </w:rPr>
        <w:t xml:space="preserve">výplatních lístků a výplatních listin, rekapitulací vyplácených mezd, spoření, půjček a exekucí, přehledů odvodů pojistného na zdravotní pojištění, sociální zabezpečení a příspěvků na státní politiku zaměstnanosti a nemocenského pojištění, mzdových listů, </w:t>
      </w:r>
      <w:r>
        <w:rPr>
          <w:rFonts w:ascii="Times New Roman" w:eastAsia="Times New Roman" w:hAnsi="Times New Roman" w:cs="Times New Roman"/>
        </w:rPr>
        <w:t>evidenčních listů důchod. pojištění a daňového vyúčtování</w:t>
      </w:r>
    </w:p>
    <w:p w:rsidR="00B839F0" w:rsidRDefault="00D94F45">
      <w:pPr>
        <w:numPr>
          <w:ilvl w:val="1"/>
          <w:numId w:val="2"/>
        </w:numPr>
        <w:spacing w:after="4" w:line="269" w:lineRule="auto"/>
        <w:ind w:left="552" w:right="230" w:hanging="317"/>
        <w:jc w:val="both"/>
      </w:pPr>
      <w:r>
        <w:rPr>
          <w:rFonts w:ascii="Times New Roman" w:eastAsia="Times New Roman" w:hAnsi="Times New Roman" w:cs="Times New Roman"/>
        </w:rPr>
        <w:t>Personalistika:</w:t>
      </w:r>
    </w:p>
    <w:p w:rsidR="00B839F0" w:rsidRDefault="00D94F45">
      <w:pPr>
        <w:spacing w:after="254" w:line="258" w:lineRule="auto"/>
        <w:ind w:left="283" w:right="1550" w:firstLine="0"/>
      </w:pPr>
      <w:r>
        <w:rPr>
          <w:noProof/>
        </w:rPr>
        <w:drawing>
          <wp:inline distT="0" distB="0" distL="0" distR="0">
            <wp:extent cx="42672" cy="42684"/>
            <wp:effectExtent l="0" t="0" r="0" b="0"/>
            <wp:docPr id="1150" name="Picture 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" name="Picture 11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zápočet předchozí odpracované doby </w:t>
      </w:r>
      <w:r>
        <w:rPr>
          <w:noProof/>
        </w:rPr>
        <w:drawing>
          <wp:inline distT="0" distB="0" distL="0" distR="0">
            <wp:extent cx="42672" cy="42683"/>
            <wp:effectExtent l="0" t="0" r="0" b="0"/>
            <wp:docPr id="1151" name="Picture 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" name="Picture 11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pracovní smlouvy </w:t>
      </w:r>
      <w:r>
        <w:rPr>
          <w:noProof/>
        </w:rPr>
        <w:drawing>
          <wp:inline distT="0" distB="0" distL="0" distR="0">
            <wp:extent cx="39624" cy="45734"/>
            <wp:effectExtent l="0" t="0" r="0" b="0"/>
            <wp:docPr id="1152" name="Picture 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Picture 11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platové výměry </w:t>
      </w:r>
      <w:r>
        <w:rPr>
          <w:noProof/>
        </w:rPr>
        <w:drawing>
          <wp:inline distT="0" distB="0" distL="0" distR="0">
            <wp:extent cx="39624" cy="42684"/>
            <wp:effectExtent l="0" t="0" r="0" b="0"/>
            <wp:docPr id="1153" name="Picture 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Picture 11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platové postupy </w:t>
      </w:r>
      <w:r>
        <w:rPr>
          <w:noProof/>
        </w:rPr>
        <w:drawing>
          <wp:inline distT="0" distB="0" distL="0" distR="0">
            <wp:extent cx="39624" cy="42684"/>
            <wp:effectExtent l="0" t="0" r="0" b="0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zápočtové listy a potvrzení o zaměstnání </w:t>
      </w:r>
      <w:r>
        <w:rPr>
          <w:noProof/>
        </w:rPr>
        <w:drawing>
          <wp:inline distT="0" distB="0" distL="0" distR="0">
            <wp:extent cx="39624" cy="39635"/>
            <wp:effectExtent l="0" t="0" r="0" b="0"/>
            <wp:docPr id="1155" name="Picture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Picture 11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vedení evidenčních listů důchodového pojištění</w:t>
      </w:r>
      <w:r>
        <w:rPr>
          <w:rFonts w:ascii="Times New Roman" w:eastAsia="Times New Roman" w:hAnsi="Times New Roman" w:cs="Times New Roman"/>
        </w:rPr>
        <w:t xml:space="preserve"> a jejich elektronické podání přes PVS</w:t>
      </w:r>
    </w:p>
    <w:p w:rsidR="00B839F0" w:rsidRDefault="00D94F45">
      <w:pPr>
        <w:numPr>
          <w:ilvl w:val="1"/>
          <w:numId w:val="2"/>
        </w:numPr>
        <w:spacing w:after="282" w:line="269" w:lineRule="auto"/>
        <w:ind w:left="552" w:right="230" w:hanging="317"/>
        <w:jc w:val="both"/>
      </w:pPr>
      <w:r>
        <w:rPr>
          <w:rFonts w:ascii="Times New Roman" w:eastAsia="Times New Roman" w:hAnsi="Times New Roman" w:cs="Times New Roman"/>
        </w:rPr>
        <w:t>Zpracování odvodů</w:t>
      </w:r>
    </w:p>
    <w:p w:rsidR="00B839F0" w:rsidRDefault="00D94F45">
      <w:pPr>
        <w:numPr>
          <w:ilvl w:val="1"/>
          <w:numId w:val="2"/>
        </w:numPr>
        <w:spacing w:after="4" w:line="269" w:lineRule="auto"/>
        <w:ind w:left="552" w:right="230" w:hanging="317"/>
        <w:jc w:val="both"/>
      </w:pPr>
      <w:r>
        <w:rPr>
          <w:rFonts w:ascii="Times New Roman" w:eastAsia="Times New Roman" w:hAnsi="Times New Roman" w:cs="Times New Roman"/>
        </w:rPr>
        <w:t>Kontrolní činnost:</w:t>
      </w:r>
    </w:p>
    <w:p w:rsidR="00B839F0" w:rsidRDefault="00D94F45">
      <w:pPr>
        <w:spacing w:after="4" w:line="269" w:lineRule="auto"/>
        <w:ind w:left="245" w:right="230"/>
        <w:jc w:val="both"/>
      </w:pPr>
      <w:r>
        <w:rPr>
          <w:rFonts w:ascii="Times New Roman" w:eastAsia="Times New Roman" w:hAnsi="Times New Roman" w:cs="Times New Roman"/>
        </w:rPr>
        <w:t>' kontrola podkladů z hlediska zákonných a resortních předpisů</w:t>
      </w:r>
    </w:p>
    <w:p w:rsidR="00B839F0" w:rsidRDefault="00D94F45">
      <w:pPr>
        <w:spacing w:after="4" w:line="269" w:lineRule="auto"/>
        <w:ind w:left="245" w:right="3370"/>
        <w:jc w:val="both"/>
      </w:pPr>
      <w:r>
        <w:rPr>
          <w:rFonts w:ascii="Times New Roman" w:eastAsia="Times New Roman" w:hAnsi="Times New Roman" w:cs="Times New Roman"/>
        </w:rPr>
        <w:t xml:space="preserve">' kontrola podkladů z hlediska vnitřního platového předpisu </w:t>
      </w:r>
      <w:r>
        <w:rPr>
          <w:noProof/>
        </w:rPr>
        <w:drawing>
          <wp:inline distT="0" distB="0" distL="0" distR="0">
            <wp:extent cx="39624" cy="39636"/>
            <wp:effectExtent l="0" t="0" r="0" b="0"/>
            <wp:docPr id="1156" name="Picture 1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" name="Picture 11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kontrola čerpání limitu MP</w:t>
      </w:r>
    </w:p>
    <w:p w:rsidR="00B839F0" w:rsidRDefault="00D94F45">
      <w:pPr>
        <w:numPr>
          <w:ilvl w:val="0"/>
          <w:numId w:val="2"/>
        </w:numPr>
        <w:spacing w:after="275"/>
        <w:ind w:hanging="240"/>
      </w:pPr>
      <w:r>
        <w:t>Zodpovídat za chyby vzniklé při zajišťování dohodnutých činností s úhradou případných sankcí mimo chyb, které vzniknou na základě dodaných podkladů objednatele</w:t>
      </w:r>
    </w:p>
    <w:p w:rsidR="00B839F0" w:rsidRDefault="00D94F45">
      <w:pPr>
        <w:numPr>
          <w:ilvl w:val="0"/>
          <w:numId w:val="2"/>
        </w:numPr>
        <w:spacing w:after="289"/>
        <w:ind w:hanging="240"/>
      </w:pPr>
      <w:r>
        <w:lastRenderedPageBreak/>
        <w:t>Neprodleně předávat objednateli sestavy s rekapitulací mezd v jednotlivých měsících</w:t>
      </w:r>
    </w:p>
    <w:p w:rsidR="00B839F0" w:rsidRDefault="00D94F45">
      <w:pPr>
        <w:numPr>
          <w:ilvl w:val="0"/>
          <w:numId w:val="2"/>
        </w:numPr>
        <w:spacing w:after="301"/>
        <w:ind w:hanging="240"/>
      </w:pPr>
      <w:r>
        <w:t>Zachovávat m</w:t>
      </w:r>
      <w:r>
        <w:t>lčenlivost o všech skutečnostech, které vezme na vědomí při výkonu činnosti podle této smlouvy, a to i po skončení smluvního vztahu.</w:t>
      </w:r>
    </w:p>
    <w:p w:rsidR="00B839F0" w:rsidRDefault="00D94F45">
      <w:pPr>
        <w:numPr>
          <w:ilvl w:val="0"/>
          <w:numId w:val="2"/>
        </w:numPr>
        <w:spacing w:after="306"/>
        <w:ind w:hanging="240"/>
      </w:pPr>
      <w:r>
        <w:t>Na základě příslušného zmocnění zastupovat objednatele při kontrolách OSSZ</w:t>
      </w:r>
    </w:p>
    <w:p w:rsidR="00B839F0" w:rsidRDefault="00D94F45">
      <w:pPr>
        <w:spacing w:after="0" w:line="259" w:lineRule="auto"/>
        <w:ind w:left="77"/>
      </w:pPr>
      <w:r>
        <w:rPr>
          <w:sz w:val="26"/>
        </w:rPr>
        <w:t>Objednatel se zavazuje :</w:t>
      </w:r>
    </w:p>
    <w:p w:rsidR="00B839F0" w:rsidRDefault="00D94F45">
      <w:pPr>
        <w:numPr>
          <w:ilvl w:val="0"/>
          <w:numId w:val="4"/>
        </w:numPr>
        <w:ind w:hanging="235"/>
      </w:pPr>
      <w:r>
        <w:t>Předávat zhotoviteli po</w:t>
      </w:r>
      <w:r>
        <w:t>dklady pro zpracování mezd nejpozději l . pracovní den následujícího měsíce</w:t>
      </w:r>
    </w:p>
    <w:p w:rsidR="00B839F0" w:rsidRDefault="00D94F45">
      <w:pPr>
        <w:numPr>
          <w:ilvl w:val="0"/>
          <w:numId w:val="4"/>
        </w:numPr>
        <w:spacing w:after="1160"/>
        <w:ind w:hanging="235"/>
      </w:pPr>
      <w:r>
        <w:t>Po obdržení sestav s rekapitulací mezd od zhotovitele provést výplatu mezd a úhradu srážek ze mzdy.</w:t>
      </w:r>
    </w:p>
    <w:p w:rsidR="00B839F0" w:rsidRDefault="00D94F45">
      <w:pPr>
        <w:spacing w:after="0" w:line="259" w:lineRule="auto"/>
        <w:ind w:left="77"/>
      </w:pPr>
      <w:r>
        <w:rPr>
          <w:sz w:val="26"/>
        </w:rPr>
        <w:t>Úhrada za poskytované služby (ceny uvedeny bez DPH):</w:t>
      </w:r>
    </w:p>
    <w:p w:rsidR="00B839F0" w:rsidRDefault="00D94F45">
      <w:pPr>
        <w:numPr>
          <w:ilvl w:val="0"/>
          <w:numId w:val="5"/>
        </w:numPr>
        <w:ind w:left="317" w:hanging="250"/>
      </w:pPr>
      <w:r>
        <w:t>Zhotoviteli náleží za jeho činnost smluvní odměna, která se skládá z paušální částky ve výši 600 Kč (rezervace kapacity, aktualizace SW) a z pohyblivé částky podle následujícího členění:</w:t>
      </w:r>
    </w:p>
    <w:p w:rsidR="00B839F0" w:rsidRDefault="00D94F45">
      <w:pPr>
        <w:numPr>
          <w:ilvl w:val="1"/>
          <w:numId w:val="5"/>
        </w:numPr>
        <w:ind w:hanging="245"/>
      </w:pPr>
      <w:r>
        <w:t>základní zpracování mezd</w:t>
      </w:r>
      <w:r>
        <w:tab/>
        <w:t>94,00 Kč/os. č.</w:t>
      </w:r>
    </w:p>
    <w:p w:rsidR="00B839F0" w:rsidRDefault="00D94F45">
      <w:pPr>
        <w:numPr>
          <w:ilvl w:val="1"/>
          <w:numId w:val="5"/>
        </w:numPr>
        <w:ind w:hanging="245"/>
      </w:pPr>
      <w:r>
        <w:t>personalistika</w:t>
      </w:r>
      <w:r>
        <w:tab/>
        <w:t xml:space="preserve">10,00 Kč/os. </w:t>
      </w:r>
      <w:r>
        <w:t>č.</w:t>
      </w:r>
    </w:p>
    <w:p w:rsidR="00B839F0" w:rsidRDefault="00D94F45">
      <w:pPr>
        <w:numPr>
          <w:ilvl w:val="1"/>
          <w:numId w:val="5"/>
        </w:numPr>
        <w:ind w:hanging="245"/>
      </w:pPr>
      <w:r>
        <w:t>zpracování odvodů</w:t>
      </w:r>
      <w:r>
        <w:tab/>
        <w:t>20,80 Kč/os. č.</w:t>
      </w:r>
    </w:p>
    <w:p w:rsidR="00B839F0" w:rsidRDefault="00D94F45">
      <w:pPr>
        <w:numPr>
          <w:ilvl w:val="1"/>
          <w:numId w:val="5"/>
        </w:numPr>
        <w:ind w:hanging="245"/>
      </w:pPr>
      <w:r>
        <w:t>kontrolní a konzultační činnost</w:t>
      </w:r>
      <w:r>
        <w:tab/>
        <w:t>6,70 Kč/os. č.</w:t>
      </w:r>
    </w:p>
    <w:p w:rsidR="00B839F0" w:rsidRDefault="00D94F45">
      <w:pPr>
        <w:numPr>
          <w:ilvl w:val="1"/>
          <w:numId w:val="5"/>
        </w:numPr>
        <w:ind w:hanging="245"/>
      </w:pPr>
      <w:r>
        <w:t>mimořádné úkony spojené s výpočtem mezd provedeným mimo ukončený kalendářní měsíc</w:t>
      </w:r>
    </w:p>
    <w:p w:rsidR="00B839F0" w:rsidRDefault="00D94F45">
      <w:pPr>
        <w:ind w:left="543"/>
      </w:pPr>
      <w:r>
        <w:t>(např. pro operativní čerpání limitu mzdových prostředků) jednorázovou částkou ve výši max</w:t>
      </w:r>
      <w:r>
        <w:t>. 50% jedné měsíční úhrady</w:t>
      </w:r>
    </w:p>
    <w:p w:rsidR="00B839F0" w:rsidRDefault="00D94F45">
      <w:pPr>
        <w:numPr>
          <w:ilvl w:val="0"/>
          <w:numId w:val="5"/>
        </w:numPr>
        <w:spacing w:after="1157"/>
        <w:ind w:left="317" w:hanging="250"/>
      </w:pPr>
      <w:r>
        <w:t>Splatnost úhrady je měsíční na základě fakturace zhotovitele.</w:t>
      </w:r>
    </w:p>
    <w:p w:rsidR="00B839F0" w:rsidRDefault="00D94F45">
      <w:pPr>
        <w:spacing w:after="0" w:line="259" w:lineRule="auto"/>
        <w:ind w:left="77"/>
      </w:pPr>
      <w:r>
        <w:rPr>
          <w:sz w:val="26"/>
        </w:rPr>
        <w:t>Ostatní ujednání</w:t>
      </w:r>
    </w:p>
    <w:p w:rsidR="00B839F0" w:rsidRDefault="00D94F45">
      <w:pPr>
        <w:numPr>
          <w:ilvl w:val="0"/>
          <w:numId w:val="6"/>
        </w:numPr>
        <w:ind w:left="312" w:hanging="245"/>
      </w:pPr>
      <w:r>
        <w:t>Objednatel pověřuje zhotovitele vydáváním potvrzení o výši příjmů a zápočtů let,praxe.</w:t>
      </w:r>
    </w:p>
    <w:p w:rsidR="00B839F0" w:rsidRDefault="00D94F45">
      <w:pPr>
        <w:numPr>
          <w:ilvl w:val="0"/>
          <w:numId w:val="6"/>
        </w:numPr>
        <w:ind w:left="312" w:hanging="245"/>
      </w:pPr>
      <w:r>
        <w:t>Smlouva vstupuje v platnost 1. 1</w:t>
      </w:r>
      <w:r>
        <w:t xml:space="preserve"> . 2009.</w:t>
      </w:r>
    </w:p>
    <w:p w:rsidR="00B839F0" w:rsidRDefault="00D94F45">
      <w:pPr>
        <w:numPr>
          <w:ilvl w:val="0"/>
          <w:numId w:val="6"/>
        </w:numPr>
        <w:ind w:left="312" w:hanging="245"/>
      </w:pPr>
      <w:r>
        <w:t xml:space="preserve">Smlouvaje uzavřena na </w:t>
      </w:r>
      <w:r>
        <w:t>dobu neurčitou.</w:t>
      </w:r>
    </w:p>
    <w:p w:rsidR="00B839F0" w:rsidRDefault="00D94F45">
      <w:pPr>
        <w:numPr>
          <w:ilvl w:val="0"/>
          <w:numId w:val="6"/>
        </w:numPr>
        <w:ind w:left="312" w:hanging="245"/>
      </w:pPr>
      <w:r>
        <w:t>Smlouvu je možno vypovědět písemnou výpovědí. Výpovědní doba činí 2 měsíce a počíná běžet prvním dnem kalendářního měsíce následujícího po měsíci, ve kterém byla výpověď doručena druhé straně.</w:t>
      </w:r>
    </w:p>
    <w:p w:rsidR="00B839F0" w:rsidRDefault="00D94F45">
      <w:pPr>
        <w:numPr>
          <w:ilvl w:val="0"/>
          <w:numId w:val="6"/>
        </w:numPr>
        <w:spacing w:after="36"/>
        <w:ind w:left="312" w:hanging="245"/>
      </w:pPr>
      <w:r>
        <w:t>Po ukončení platnosti smlouvy obě strany vypořá</w:t>
      </w:r>
      <w:r>
        <w:t>dají do 30 dnů svá práva a závazky, které jim touto smlouvou vznikly.</w:t>
      </w:r>
    </w:p>
    <w:p w:rsidR="00B839F0" w:rsidRDefault="00D94F45">
      <w:pPr>
        <w:numPr>
          <w:ilvl w:val="0"/>
          <w:numId w:val="6"/>
        </w:numPr>
        <w:ind w:left="312" w:hanging="245"/>
      </w:pPr>
      <w:r>
        <w:t>Případné změny a dodatky k této smlouvě musí být zpracovány písemně a potvrzeny oběma stranami.</w:t>
      </w:r>
    </w:p>
    <w:p w:rsidR="00B839F0" w:rsidRDefault="00D94F45">
      <w:pPr>
        <w:numPr>
          <w:ilvl w:val="0"/>
          <w:numId w:val="6"/>
        </w:numPr>
        <w:spacing w:after="453"/>
        <w:ind w:left="312" w:hanging="245"/>
      </w:pPr>
      <w:r>
        <w:t>Každá ze smluvních stran obdrží smlouvu v jednom vyhotovení.</w:t>
      </w:r>
    </w:p>
    <w:p w:rsidR="00B839F0" w:rsidRDefault="00D94F45">
      <w:pPr>
        <w:tabs>
          <w:tab w:val="center" w:pos="8189"/>
        </w:tabs>
        <w:spacing w:after="188" w:line="259" w:lineRule="auto"/>
        <w:ind w:left="0" w:firstLine="0"/>
      </w:pPr>
      <w:r>
        <w:rPr>
          <w:noProof/>
        </w:rPr>
        <w:drawing>
          <wp:inline distT="0" distB="0" distL="0" distR="0">
            <wp:extent cx="3017520" cy="240860"/>
            <wp:effectExtent l="0" t="0" r="0" b="0"/>
            <wp:docPr id="7531" name="Picture 7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1" name="Picture 75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V Chomutově dne 8. 12. 2008</w:t>
      </w:r>
    </w:p>
    <w:p w:rsidR="00D94F45" w:rsidRDefault="00D94F45">
      <w:pPr>
        <w:tabs>
          <w:tab w:val="center" w:pos="8189"/>
        </w:tabs>
        <w:spacing w:after="188" w:line="259" w:lineRule="auto"/>
        <w:ind w:left="0" w:firstLine="0"/>
      </w:pPr>
      <w:r>
        <w:t>Za objednatele:</w:t>
      </w:r>
      <w:r>
        <w:tab/>
        <w:t>Za zhotovitele:</w:t>
      </w:r>
    </w:p>
    <w:p w:rsidR="00B839F0" w:rsidRDefault="00D94F45">
      <w:pPr>
        <w:tabs>
          <w:tab w:val="center" w:pos="8251"/>
        </w:tabs>
        <w:spacing w:after="0" w:line="259" w:lineRule="auto"/>
        <w:ind w:left="0" w:firstLine="0"/>
      </w:pPr>
      <w:r>
        <w:tab/>
      </w:r>
    </w:p>
    <w:sectPr w:rsidR="00B839F0">
      <w:pgSz w:w="11904" w:h="16834"/>
      <w:pgMar w:top="433" w:right="715" w:bottom="951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675D"/>
    <w:multiLevelType w:val="hybridMultilevel"/>
    <w:tmpl w:val="58F8779A"/>
    <w:lvl w:ilvl="0" w:tplc="C6C63A2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023472">
      <w:start w:val="1"/>
      <w:numFmt w:val="bullet"/>
      <w:lvlText w:val="•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10E2CA">
      <w:start w:val="1"/>
      <w:numFmt w:val="bullet"/>
      <w:lvlText w:val="▪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308A2A">
      <w:start w:val="1"/>
      <w:numFmt w:val="bullet"/>
      <w:lvlText w:val="•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EA5810">
      <w:start w:val="1"/>
      <w:numFmt w:val="bullet"/>
      <w:lvlText w:val="o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BC16C6">
      <w:start w:val="1"/>
      <w:numFmt w:val="bullet"/>
      <w:lvlText w:val="▪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C40FC">
      <w:start w:val="1"/>
      <w:numFmt w:val="bullet"/>
      <w:lvlText w:val="•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FA35D8">
      <w:start w:val="1"/>
      <w:numFmt w:val="bullet"/>
      <w:lvlText w:val="o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E7628">
      <w:start w:val="1"/>
      <w:numFmt w:val="bullet"/>
      <w:lvlText w:val="▪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5403E6"/>
    <w:multiLevelType w:val="hybridMultilevel"/>
    <w:tmpl w:val="7B0297F2"/>
    <w:lvl w:ilvl="0" w:tplc="8C4A59AC">
      <w:start w:val="1"/>
      <w:numFmt w:val="decimal"/>
      <w:lvlText w:val="%1."/>
      <w:lvlJc w:val="left"/>
      <w:pPr>
        <w:ind w:left="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4579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43F6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EABE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29C9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AB6C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A364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6F18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25278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B414FE"/>
    <w:multiLevelType w:val="hybridMultilevel"/>
    <w:tmpl w:val="183AB544"/>
    <w:lvl w:ilvl="0" w:tplc="63AAF59A">
      <w:start w:val="1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E6A56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24D8E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4680E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2A300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EF3D8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635FE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0AC654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4713E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F63361"/>
    <w:multiLevelType w:val="hybridMultilevel"/>
    <w:tmpl w:val="8876A5EC"/>
    <w:lvl w:ilvl="0" w:tplc="DBA6F9F6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94A884">
      <w:start w:val="1"/>
      <w:numFmt w:val="lowerLetter"/>
      <w:lvlText w:val="%2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01600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84890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09F1E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219EC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22C4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CFFDA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8EAE6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A73013"/>
    <w:multiLevelType w:val="hybridMultilevel"/>
    <w:tmpl w:val="1B2A8040"/>
    <w:lvl w:ilvl="0" w:tplc="7BA4B984">
      <w:start w:val="1"/>
      <w:numFmt w:val="decimal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269EA">
      <w:start w:val="1"/>
      <w:numFmt w:val="lowerLetter"/>
      <w:lvlText w:val="%2)"/>
      <w:lvlJc w:val="left"/>
      <w:pPr>
        <w:ind w:left="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8155A">
      <w:start w:val="1"/>
      <w:numFmt w:val="lowerRoman"/>
      <w:lvlText w:val="%3"/>
      <w:lvlJc w:val="left"/>
      <w:pPr>
        <w:ind w:left="1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C7436">
      <w:start w:val="1"/>
      <w:numFmt w:val="decimal"/>
      <w:lvlText w:val="%4"/>
      <w:lvlJc w:val="left"/>
      <w:pPr>
        <w:ind w:left="2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01106">
      <w:start w:val="1"/>
      <w:numFmt w:val="lowerLetter"/>
      <w:lvlText w:val="%5"/>
      <w:lvlJc w:val="left"/>
      <w:pPr>
        <w:ind w:left="2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42901E">
      <w:start w:val="1"/>
      <w:numFmt w:val="lowerRoman"/>
      <w:lvlText w:val="%6"/>
      <w:lvlJc w:val="left"/>
      <w:pPr>
        <w:ind w:left="3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8F31E">
      <w:start w:val="1"/>
      <w:numFmt w:val="decimal"/>
      <w:lvlText w:val="%7"/>
      <w:lvlJc w:val="left"/>
      <w:pPr>
        <w:ind w:left="4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24472">
      <w:start w:val="1"/>
      <w:numFmt w:val="lowerLetter"/>
      <w:lvlText w:val="%8"/>
      <w:lvlJc w:val="left"/>
      <w:pPr>
        <w:ind w:left="4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2F77E">
      <w:start w:val="1"/>
      <w:numFmt w:val="lowerRoman"/>
      <w:lvlText w:val="%9"/>
      <w:lvlJc w:val="left"/>
      <w:pPr>
        <w:ind w:left="5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09230F"/>
    <w:multiLevelType w:val="hybridMultilevel"/>
    <w:tmpl w:val="75AA8096"/>
    <w:lvl w:ilvl="0" w:tplc="5BC63C8A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833A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2949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6695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0996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0066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85D0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42F4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459F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F0"/>
    <w:rsid w:val="00B839F0"/>
    <w:rsid w:val="00D9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9617"/>
  <w15:docId w15:val="{83CA2AB1-8361-4076-B913-C4D00961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" w:line="249" w:lineRule="auto"/>
      <w:ind w:left="125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1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Hercegova</dc:creator>
  <cp:keywords/>
  <cp:lastModifiedBy>Monika Hercegova</cp:lastModifiedBy>
  <cp:revision>2</cp:revision>
  <dcterms:created xsi:type="dcterms:W3CDTF">2018-12-17T10:02:00Z</dcterms:created>
  <dcterms:modified xsi:type="dcterms:W3CDTF">2018-12-17T10:02:00Z</dcterms:modified>
</cp:coreProperties>
</file>