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60A" w:rsidRDefault="00B93A8D">
      <w:pPr>
        <w:spacing w:line="200" w:lineRule="exact"/>
        <w:rPr>
          <w:sz w:val="24"/>
          <w:szCs w:val="24"/>
        </w:rPr>
      </w:pPr>
      <w:bookmarkStart w:id="0" w:name="_GoBack"/>
      <w:bookmarkEnd w:id="0"/>
      <w:r>
        <w:rPr>
          <w:noProof/>
          <w:sz w:val="24"/>
          <w:szCs w:val="24"/>
        </w:rPr>
        <w:drawing>
          <wp:anchor distT="0" distB="0" distL="114300" distR="114300" simplePos="0" relativeHeight="251633152"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4"/>
          <w:szCs w:val="24"/>
        </w:rPr>
      </w:pPr>
    </w:p>
    <w:p w:rsidR="00D4760A" w:rsidRDefault="00D4760A">
      <w:pPr>
        <w:spacing w:line="200" w:lineRule="exact"/>
        <w:rPr>
          <w:sz w:val="24"/>
          <w:szCs w:val="24"/>
        </w:rPr>
      </w:pPr>
    </w:p>
    <w:p w:rsidR="00D4760A" w:rsidRDefault="00D4760A">
      <w:pPr>
        <w:spacing w:line="200" w:lineRule="exact"/>
        <w:rPr>
          <w:sz w:val="24"/>
          <w:szCs w:val="24"/>
        </w:rPr>
      </w:pPr>
    </w:p>
    <w:p w:rsidR="00D4760A" w:rsidRDefault="00D4760A">
      <w:pPr>
        <w:spacing w:line="200" w:lineRule="exact"/>
        <w:rPr>
          <w:sz w:val="24"/>
          <w:szCs w:val="24"/>
        </w:rPr>
      </w:pPr>
    </w:p>
    <w:p w:rsidR="00D4760A" w:rsidRDefault="00D4760A">
      <w:pPr>
        <w:spacing w:line="200" w:lineRule="exact"/>
        <w:rPr>
          <w:sz w:val="24"/>
          <w:szCs w:val="24"/>
        </w:rPr>
      </w:pPr>
    </w:p>
    <w:p w:rsidR="00D4760A" w:rsidRDefault="00D4760A">
      <w:pPr>
        <w:spacing w:line="266" w:lineRule="exact"/>
        <w:rPr>
          <w:sz w:val="24"/>
          <w:szCs w:val="24"/>
        </w:rPr>
      </w:pPr>
    </w:p>
    <w:p w:rsidR="00D4760A" w:rsidRDefault="00B93A8D" w:rsidP="00B93A8D">
      <w:pPr>
        <w:rPr>
          <w:sz w:val="20"/>
          <w:szCs w:val="20"/>
        </w:rPr>
      </w:pPr>
      <w:r>
        <w:rPr>
          <w:rFonts w:ascii="Cambria" w:eastAsia="Cambria" w:hAnsi="Cambria" w:cs="Cambria"/>
          <w:b/>
          <w:bCs/>
          <w:sz w:val="35"/>
          <w:szCs w:val="35"/>
        </w:rPr>
        <w:t>Příloha č. 2 - Všeobecné podmínky</w:t>
      </w:r>
    </w:p>
    <w:p w:rsidR="00D4760A" w:rsidRDefault="00B93A8D">
      <w:pPr>
        <w:spacing w:line="20" w:lineRule="exact"/>
        <w:rPr>
          <w:sz w:val="24"/>
          <w:szCs w:val="24"/>
        </w:rPr>
      </w:pPr>
      <w:r>
        <w:rPr>
          <w:noProof/>
          <w:sz w:val="24"/>
          <w:szCs w:val="24"/>
        </w:rPr>
        <w:drawing>
          <wp:anchor distT="0" distB="0" distL="114300" distR="114300" simplePos="0" relativeHeight="251634176" behindDoc="1" locked="0" layoutInCell="0" allowOverlap="1">
            <wp:simplePos x="0" y="0"/>
            <wp:positionH relativeFrom="column">
              <wp:posOffset>-17780</wp:posOffset>
            </wp:positionH>
            <wp:positionV relativeFrom="paragraph">
              <wp:posOffset>58420</wp:posOffset>
            </wp:positionV>
            <wp:extent cx="6158230" cy="18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6158230" cy="18415"/>
                    </a:xfrm>
                    <a:prstGeom prst="rect">
                      <a:avLst/>
                    </a:prstGeom>
                    <a:noFill/>
                  </pic:spPr>
                </pic:pic>
              </a:graphicData>
            </a:graphic>
          </wp:anchor>
        </w:drawing>
      </w:r>
    </w:p>
    <w:p w:rsidR="00D4760A" w:rsidRDefault="00D4760A">
      <w:pPr>
        <w:spacing w:line="200" w:lineRule="exact"/>
        <w:rPr>
          <w:sz w:val="24"/>
          <w:szCs w:val="24"/>
        </w:rPr>
      </w:pPr>
    </w:p>
    <w:p w:rsidR="00D4760A" w:rsidRDefault="00D4760A">
      <w:pPr>
        <w:spacing w:line="200" w:lineRule="exact"/>
        <w:rPr>
          <w:sz w:val="24"/>
          <w:szCs w:val="24"/>
        </w:rPr>
      </w:pPr>
    </w:p>
    <w:p w:rsidR="00D4760A" w:rsidRDefault="00D4760A">
      <w:pPr>
        <w:spacing w:line="200" w:lineRule="exact"/>
        <w:rPr>
          <w:sz w:val="24"/>
          <w:szCs w:val="24"/>
        </w:rPr>
      </w:pPr>
    </w:p>
    <w:p w:rsidR="00D4760A" w:rsidRDefault="00D4760A">
      <w:pPr>
        <w:spacing w:line="218" w:lineRule="exact"/>
        <w:rPr>
          <w:sz w:val="24"/>
          <w:szCs w:val="24"/>
        </w:rPr>
      </w:pPr>
    </w:p>
    <w:p w:rsidR="00D4760A" w:rsidRDefault="00B93A8D">
      <w:pPr>
        <w:ind w:right="-6"/>
        <w:jc w:val="center"/>
        <w:rPr>
          <w:sz w:val="20"/>
          <w:szCs w:val="20"/>
        </w:rPr>
      </w:pPr>
      <w:r>
        <w:rPr>
          <w:rFonts w:ascii="Cambria" w:eastAsia="Cambria" w:hAnsi="Cambria" w:cs="Cambria"/>
          <w:b/>
          <w:bCs/>
          <w:sz w:val="28"/>
          <w:szCs w:val="28"/>
        </w:rPr>
        <w:t>Část A – Základní ustanovení</w:t>
      </w:r>
    </w:p>
    <w:p w:rsidR="00D4760A" w:rsidRDefault="00D4760A">
      <w:pPr>
        <w:spacing w:line="291" w:lineRule="exact"/>
        <w:rPr>
          <w:sz w:val="24"/>
          <w:szCs w:val="24"/>
        </w:rPr>
      </w:pPr>
    </w:p>
    <w:p w:rsidR="00D4760A" w:rsidRDefault="00B93A8D">
      <w:pPr>
        <w:ind w:right="-6"/>
        <w:jc w:val="center"/>
        <w:rPr>
          <w:sz w:val="20"/>
          <w:szCs w:val="20"/>
        </w:rPr>
      </w:pPr>
      <w:r>
        <w:rPr>
          <w:rFonts w:ascii="Cambria" w:eastAsia="Cambria" w:hAnsi="Cambria" w:cs="Cambria"/>
          <w:b/>
          <w:bCs/>
          <w:i/>
          <w:iCs/>
        </w:rPr>
        <w:t>Článek 1</w:t>
      </w:r>
    </w:p>
    <w:p w:rsidR="00D4760A" w:rsidRDefault="00D4760A">
      <w:pPr>
        <w:spacing w:line="40" w:lineRule="exact"/>
        <w:rPr>
          <w:sz w:val="24"/>
          <w:szCs w:val="24"/>
        </w:rPr>
      </w:pPr>
    </w:p>
    <w:p w:rsidR="00D4760A" w:rsidRDefault="00B93A8D">
      <w:pPr>
        <w:ind w:right="-6"/>
        <w:jc w:val="center"/>
        <w:rPr>
          <w:sz w:val="20"/>
          <w:szCs w:val="20"/>
        </w:rPr>
      </w:pPr>
      <w:r>
        <w:rPr>
          <w:rFonts w:ascii="Cambria" w:eastAsia="Cambria" w:hAnsi="Cambria" w:cs="Cambria"/>
          <w:b/>
          <w:bCs/>
          <w:i/>
          <w:iCs/>
        </w:rPr>
        <w:t>Obecná ustanovení</w:t>
      </w:r>
    </w:p>
    <w:p w:rsidR="00D4760A" w:rsidRDefault="00D4760A">
      <w:pPr>
        <w:spacing w:line="160" w:lineRule="exact"/>
        <w:rPr>
          <w:sz w:val="24"/>
          <w:szCs w:val="24"/>
        </w:rPr>
      </w:pPr>
    </w:p>
    <w:p w:rsidR="00D4760A" w:rsidRDefault="00B93A8D">
      <w:pPr>
        <w:numPr>
          <w:ilvl w:val="0"/>
          <w:numId w:val="1"/>
        </w:numPr>
        <w:tabs>
          <w:tab w:val="left" w:pos="427"/>
        </w:tabs>
        <w:spacing w:line="274" w:lineRule="auto"/>
        <w:ind w:left="427" w:right="20" w:hanging="427"/>
        <w:rPr>
          <w:rFonts w:ascii="Cambria" w:eastAsia="Cambria" w:hAnsi="Cambria" w:cs="Cambria"/>
          <w:b/>
          <w:bCs/>
        </w:rPr>
      </w:pPr>
      <w:r>
        <w:rPr>
          <w:rFonts w:ascii="Cambria" w:eastAsia="Cambria" w:hAnsi="Cambria" w:cs="Cambria"/>
        </w:rPr>
        <w:t>Všeobecné podmínky jsou závazné a vymahatelné vůči smluvním stranám Smlouvy o poskytnutí podpory na řešení programového projektu (dále jen „Smlouva“).</w:t>
      </w:r>
    </w:p>
    <w:p w:rsidR="00D4760A" w:rsidRDefault="00D4760A">
      <w:pPr>
        <w:spacing w:line="123" w:lineRule="exact"/>
        <w:rPr>
          <w:rFonts w:ascii="Cambria" w:eastAsia="Cambria" w:hAnsi="Cambria" w:cs="Cambria"/>
          <w:b/>
          <w:bCs/>
        </w:rPr>
      </w:pPr>
    </w:p>
    <w:p w:rsidR="00D4760A" w:rsidRDefault="00B93A8D">
      <w:pPr>
        <w:numPr>
          <w:ilvl w:val="0"/>
          <w:numId w:val="1"/>
        </w:numPr>
        <w:tabs>
          <w:tab w:val="left" w:pos="427"/>
        </w:tabs>
        <w:spacing w:line="274" w:lineRule="auto"/>
        <w:ind w:left="427" w:hanging="427"/>
        <w:jc w:val="both"/>
        <w:rPr>
          <w:rFonts w:ascii="Cambria" w:eastAsia="Cambria" w:hAnsi="Cambria" w:cs="Cambria"/>
          <w:b/>
          <w:bCs/>
        </w:rPr>
      </w:pPr>
      <w:r>
        <w:rPr>
          <w:rFonts w:ascii="Cambria" w:eastAsia="Cambria" w:hAnsi="Cambria" w:cs="Cambria"/>
        </w:rPr>
        <w:t>Všeobecné podmínky jsou rovněž závazné a vymahatelné v případě Rozhodnutí o poskytnutí podpory, pokud ve prospěch příjemce bylo vydáno, přičemž v tomto případě se použijí přiměřeně.</w:t>
      </w:r>
    </w:p>
    <w:p w:rsidR="00D4760A" w:rsidRDefault="00D4760A">
      <w:pPr>
        <w:spacing w:line="123" w:lineRule="exact"/>
        <w:rPr>
          <w:rFonts w:ascii="Cambria" w:eastAsia="Cambria" w:hAnsi="Cambria" w:cs="Cambria"/>
          <w:b/>
          <w:bCs/>
        </w:rPr>
      </w:pPr>
    </w:p>
    <w:p w:rsidR="00D4760A" w:rsidRDefault="00B93A8D">
      <w:pPr>
        <w:numPr>
          <w:ilvl w:val="0"/>
          <w:numId w:val="1"/>
        </w:numPr>
        <w:tabs>
          <w:tab w:val="left" w:pos="427"/>
        </w:tabs>
        <w:spacing w:line="275" w:lineRule="auto"/>
        <w:ind w:left="427" w:hanging="427"/>
        <w:jc w:val="both"/>
        <w:rPr>
          <w:rFonts w:ascii="Cambria" w:eastAsia="Cambria" w:hAnsi="Cambria" w:cs="Cambria"/>
          <w:b/>
          <w:bCs/>
        </w:rPr>
      </w:pPr>
      <w:r>
        <w:rPr>
          <w:rFonts w:ascii="Cambria" w:eastAsia="Cambria" w:hAnsi="Cambria" w:cs="Cambria"/>
        </w:rPr>
        <w:t>Ustanovení specifických podmínek Smlouvy může stanovit v souladu s podmínkami veřejné soutěže nebo podmínkami projektu veřejné zakázky ustanovení odchylná od všeobecných podmínek.</w:t>
      </w:r>
    </w:p>
    <w:p w:rsidR="00D4760A" w:rsidRDefault="00D4760A">
      <w:pPr>
        <w:spacing w:line="123" w:lineRule="exact"/>
        <w:rPr>
          <w:rFonts w:ascii="Cambria" w:eastAsia="Cambria" w:hAnsi="Cambria" w:cs="Cambria"/>
          <w:b/>
          <w:bCs/>
        </w:rPr>
      </w:pPr>
    </w:p>
    <w:p w:rsidR="00D4760A" w:rsidRDefault="00B93A8D">
      <w:pPr>
        <w:numPr>
          <w:ilvl w:val="0"/>
          <w:numId w:val="1"/>
        </w:numPr>
        <w:tabs>
          <w:tab w:val="left" w:pos="427"/>
        </w:tabs>
        <w:spacing w:line="276" w:lineRule="auto"/>
        <w:ind w:left="427" w:right="20" w:hanging="427"/>
        <w:jc w:val="both"/>
        <w:rPr>
          <w:rFonts w:ascii="Cambria" w:eastAsia="Cambria" w:hAnsi="Cambria" w:cs="Cambria"/>
          <w:b/>
          <w:bCs/>
        </w:rPr>
      </w:pPr>
      <w:r>
        <w:rPr>
          <w:rFonts w:ascii="Cambria" w:eastAsia="Cambria" w:hAnsi="Cambria" w:cs="Cambria"/>
        </w:rPr>
        <w:t>Pokud Všeobecné podmínky odkazují na procesy (zejména změnová řízení nebo hodnotící a kontrolní procesy), které jsou upraveny vnitřními předpisy poskytovatele, jsou tyto vnitřní předpisy pro smluvní strany závazné. Vnitřní předpisy jsou dostupné na internetové adrese http://www.tacr.cz v sekci „vnitřní předpisy“.</w:t>
      </w:r>
    </w:p>
    <w:p w:rsidR="00D4760A" w:rsidRDefault="00D4760A">
      <w:pPr>
        <w:spacing w:line="119" w:lineRule="exact"/>
        <w:rPr>
          <w:rFonts w:ascii="Cambria" w:eastAsia="Cambria" w:hAnsi="Cambria" w:cs="Cambria"/>
          <w:b/>
          <w:bCs/>
        </w:rPr>
      </w:pPr>
    </w:p>
    <w:p w:rsidR="00D4760A" w:rsidRDefault="00B93A8D">
      <w:pPr>
        <w:numPr>
          <w:ilvl w:val="0"/>
          <w:numId w:val="1"/>
        </w:numPr>
        <w:tabs>
          <w:tab w:val="left" w:pos="427"/>
        </w:tabs>
        <w:spacing w:line="275" w:lineRule="auto"/>
        <w:ind w:left="427" w:hanging="427"/>
        <w:jc w:val="both"/>
        <w:rPr>
          <w:rFonts w:ascii="Cambria" w:eastAsia="Cambria" w:hAnsi="Cambria" w:cs="Cambria"/>
          <w:b/>
          <w:bCs/>
        </w:rPr>
      </w:pPr>
      <w:r>
        <w:rPr>
          <w:rFonts w:ascii="Cambria" w:eastAsia="Cambria" w:hAnsi="Cambria" w:cs="Cambria"/>
        </w:rPr>
        <w:t>Poskytovatel si vyhrazuje právo provádět změny vnitřních předpisů a smluvní strany postupují dle verze platné a účinné v době učinění příslušného úkonu. O každé změně takového předpisu poskytovatel informuje na svých webových stránkách neprodleně po nabytí jeho účinnosti.</w:t>
      </w:r>
    </w:p>
    <w:p w:rsidR="00D4760A" w:rsidRDefault="00D4760A">
      <w:pPr>
        <w:spacing w:line="123" w:lineRule="exact"/>
        <w:rPr>
          <w:rFonts w:ascii="Cambria" w:eastAsia="Cambria" w:hAnsi="Cambria" w:cs="Cambria"/>
          <w:b/>
          <w:bCs/>
        </w:rPr>
      </w:pPr>
    </w:p>
    <w:p w:rsidR="00D4760A" w:rsidRDefault="00B93A8D">
      <w:pPr>
        <w:numPr>
          <w:ilvl w:val="0"/>
          <w:numId w:val="1"/>
        </w:numPr>
        <w:tabs>
          <w:tab w:val="left" w:pos="427"/>
        </w:tabs>
        <w:spacing w:line="275" w:lineRule="auto"/>
        <w:ind w:left="427" w:hanging="427"/>
        <w:jc w:val="both"/>
        <w:rPr>
          <w:rFonts w:ascii="Cambria" w:eastAsia="Cambria" w:hAnsi="Cambria" w:cs="Cambria"/>
          <w:b/>
          <w:bCs/>
        </w:rPr>
      </w:pPr>
      <w:r>
        <w:rPr>
          <w:rFonts w:ascii="Cambria" w:eastAsia="Cambria" w:hAnsi="Cambria" w:cs="Cambria"/>
        </w:rPr>
        <w:t>Těmito vnitřními předpisy jsou zejména SME-03 Oponentní řízení, SME-07 Změnová řízení projektů, SME-12 Směrnice pro předkládání a zpracování zpráv, SME-22 Veřejnosprávní finanční kontrola a SME-27 Poskytování podpory a ukončování projektů.</w:t>
      </w:r>
    </w:p>
    <w:p w:rsidR="00D4760A" w:rsidRDefault="00D4760A">
      <w:pPr>
        <w:spacing w:line="200" w:lineRule="exact"/>
        <w:rPr>
          <w:sz w:val="24"/>
          <w:szCs w:val="24"/>
        </w:rPr>
      </w:pPr>
    </w:p>
    <w:p w:rsidR="00D4760A" w:rsidRDefault="00D4760A">
      <w:pPr>
        <w:spacing w:line="200" w:lineRule="exact"/>
        <w:rPr>
          <w:sz w:val="24"/>
          <w:szCs w:val="24"/>
        </w:rPr>
      </w:pPr>
    </w:p>
    <w:p w:rsidR="00D4760A" w:rsidRDefault="00D4760A">
      <w:pPr>
        <w:spacing w:line="259" w:lineRule="exact"/>
        <w:rPr>
          <w:sz w:val="24"/>
          <w:szCs w:val="24"/>
        </w:rPr>
      </w:pPr>
    </w:p>
    <w:p w:rsidR="00D4760A" w:rsidRDefault="00B93A8D">
      <w:pPr>
        <w:ind w:right="-6"/>
        <w:jc w:val="center"/>
        <w:rPr>
          <w:sz w:val="20"/>
          <w:szCs w:val="20"/>
        </w:rPr>
      </w:pPr>
      <w:r>
        <w:rPr>
          <w:rFonts w:ascii="Cambria" w:eastAsia="Cambria" w:hAnsi="Cambria" w:cs="Cambria"/>
          <w:b/>
          <w:bCs/>
          <w:i/>
          <w:iCs/>
        </w:rPr>
        <w:t>Článek 2</w:t>
      </w:r>
    </w:p>
    <w:p w:rsidR="00D4760A" w:rsidRDefault="00D4760A">
      <w:pPr>
        <w:spacing w:line="40" w:lineRule="exact"/>
        <w:rPr>
          <w:sz w:val="24"/>
          <w:szCs w:val="24"/>
        </w:rPr>
      </w:pPr>
    </w:p>
    <w:p w:rsidR="00D4760A" w:rsidRDefault="00B93A8D">
      <w:pPr>
        <w:ind w:right="-6"/>
        <w:jc w:val="center"/>
        <w:rPr>
          <w:sz w:val="20"/>
          <w:szCs w:val="20"/>
        </w:rPr>
      </w:pPr>
      <w:r>
        <w:rPr>
          <w:rFonts w:ascii="Cambria" w:eastAsia="Cambria" w:hAnsi="Cambria" w:cs="Cambria"/>
          <w:b/>
          <w:bCs/>
          <w:i/>
          <w:iCs/>
        </w:rPr>
        <w:t>Vymezení pojmů</w:t>
      </w:r>
    </w:p>
    <w:p w:rsidR="00D4760A" w:rsidRDefault="00D4760A">
      <w:pPr>
        <w:spacing w:line="157" w:lineRule="exact"/>
        <w:rPr>
          <w:sz w:val="24"/>
          <w:szCs w:val="24"/>
        </w:rPr>
      </w:pPr>
    </w:p>
    <w:p w:rsidR="00D4760A" w:rsidRDefault="00B93A8D">
      <w:pPr>
        <w:numPr>
          <w:ilvl w:val="0"/>
          <w:numId w:val="2"/>
        </w:numPr>
        <w:tabs>
          <w:tab w:val="left" w:pos="427"/>
        </w:tabs>
        <w:ind w:left="427" w:hanging="427"/>
        <w:rPr>
          <w:rFonts w:ascii="Cambria" w:eastAsia="Cambria" w:hAnsi="Cambria" w:cs="Cambria"/>
          <w:b/>
          <w:bCs/>
        </w:rPr>
      </w:pPr>
      <w:r>
        <w:rPr>
          <w:rFonts w:ascii="Cambria" w:eastAsia="Cambria" w:hAnsi="Cambria" w:cs="Cambria"/>
        </w:rPr>
        <w:t>Pro účely Smlouvy se rozumí:</w:t>
      </w:r>
    </w:p>
    <w:p w:rsidR="00D4760A" w:rsidRDefault="00D4760A">
      <w:pPr>
        <w:spacing w:line="159" w:lineRule="exact"/>
        <w:rPr>
          <w:rFonts w:ascii="Cambria" w:eastAsia="Cambria" w:hAnsi="Cambria" w:cs="Cambria"/>
          <w:b/>
          <w:bCs/>
        </w:rPr>
      </w:pPr>
    </w:p>
    <w:p w:rsidR="00D4760A" w:rsidRDefault="00B93A8D">
      <w:pPr>
        <w:numPr>
          <w:ilvl w:val="1"/>
          <w:numId w:val="2"/>
        </w:numPr>
        <w:tabs>
          <w:tab w:val="left" w:pos="707"/>
        </w:tabs>
        <w:spacing w:line="293" w:lineRule="auto"/>
        <w:ind w:left="707" w:hanging="349"/>
        <w:jc w:val="both"/>
        <w:rPr>
          <w:rFonts w:ascii="Cambria" w:eastAsia="Cambria" w:hAnsi="Cambria" w:cs="Cambria"/>
          <w:sz w:val="21"/>
          <w:szCs w:val="21"/>
        </w:rPr>
      </w:pPr>
      <w:r>
        <w:rPr>
          <w:rFonts w:ascii="Cambria" w:eastAsia="Cambria" w:hAnsi="Cambria" w:cs="Cambria"/>
          <w:b/>
          <w:bCs/>
          <w:sz w:val="21"/>
          <w:szCs w:val="21"/>
        </w:rPr>
        <w:t xml:space="preserve">„Dalším účastníkem” </w:t>
      </w:r>
      <w:r>
        <w:rPr>
          <w:rFonts w:ascii="Cambria" w:eastAsia="Cambria" w:hAnsi="Cambria" w:cs="Cambria"/>
          <w:sz w:val="21"/>
          <w:szCs w:val="21"/>
        </w:rPr>
        <w:t>právnická osoba nebo fyzická osoba, organizační složka státu nebo</w:t>
      </w:r>
      <w:r>
        <w:rPr>
          <w:rFonts w:ascii="Cambria" w:eastAsia="Cambria" w:hAnsi="Cambria" w:cs="Cambria"/>
          <w:b/>
          <w:bCs/>
          <w:sz w:val="21"/>
          <w:szCs w:val="21"/>
        </w:rPr>
        <w:t xml:space="preserve"> </w:t>
      </w:r>
      <w:r>
        <w:rPr>
          <w:rFonts w:ascii="Cambria" w:eastAsia="Cambria" w:hAnsi="Cambria" w:cs="Cambria"/>
          <w:sz w:val="21"/>
          <w:szCs w:val="21"/>
        </w:rPr>
        <w:t>organizační jednotka ministerstva, zabývající se výzkumem a vývojem, jejíž účast na projektu je vymezena v návrhu projektu a s níž hlavní příjemce uzavřel smlouvu o účasti na řešení projektu, přičemž se jedná o toho uchazeče či příjemce, který obvykle není ve vztahu k poskytovateli,</w:t>
      </w:r>
    </w:p>
    <w:p w:rsidR="00D4760A" w:rsidRDefault="00D4760A">
      <w:pPr>
        <w:spacing w:line="103" w:lineRule="exact"/>
        <w:rPr>
          <w:rFonts w:ascii="Cambria" w:eastAsia="Cambria" w:hAnsi="Cambria" w:cs="Cambria"/>
          <w:sz w:val="21"/>
          <w:szCs w:val="21"/>
        </w:rPr>
      </w:pPr>
    </w:p>
    <w:p w:rsidR="00D4760A" w:rsidRDefault="00B93A8D">
      <w:pPr>
        <w:numPr>
          <w:ilvl w:val="1"/>
          <w:numId w:val="2"/>
        </w:numPr>
        <w:tabs>
          <w:tab w:val="left" w:pos="707"/>
        </w:tabs>
        <w:spacing w:line="276" w:lineRule="auto"/>
        <w:ind w:left="707" w:right="20" w:hanging="349"/>
        <w:jc w:val="both"/>
        <w:rPr>
          <w:rFonts w:ascii="Cambria" w:eastAsia="Cambria" w:hAnsi="Cambria" w:cs="Cambria"/>
        </w:rPr>
      </w:pPr>
      <w:r>
        <w:rPr>
          <w:rFonts w:ascii="Cambria" w:eastAsia="Cambria" w:hAnsi="Cambria" w:cs="Cambria"/>
          <w:b/>
          <w:bCs/>
        </w:rPr>
        <w:t xml:space="preserve">„Dobou řešení” </w:t>
      </w:r>
      <w:r>
        <w:rPr>
          <w:rFonts w:ascii="Cambria" w:eastAsia="Cambria" w:hAnsi="Cambria" w:cs="Cambria"/>
        </w:rPr>
        <w:t>doba ode dne zahájení řešení projektu příjemcem do dne ukončení řešení</w:t>
      </w:r>
      <w:r>
        <w:rPr>
          <w:rFonts w:ascii="Cambria" w:eastAsia="Cambria" w:hAnsi="Cambria" w:cs="Cambria"/>
          <w:b/>
          <w:bCs/>
        </w:rPr>
        <w:t xml:space="preserve"> </w:t>
      </w:r>
      <w:r>
        <w:rPr>
          <w:rFonts w:ascii="Cambria" w:eastAsia="Cambria" w:hAnsi="Cambria" w:cs="Cambria"/>
        </w:rPr>
        <w:t>projektu příjemcem, přičemž řešení projektu se považuje za ukončené rovněž v případě</w:t>
      </w:r>
    </w:p>
    <w:p w:rsidR="00D4760A" w:rsidRDefault="00B93A8D">
      <w:pPr>
        <w:spacing w:line="20" w:lineRule="exact"/>
        <w:rPr>
          <w:sz w:val="24"/>
          <w:szCs w:val="24"/>
        </w:rPr>
      </w:pPr>
      <w:r>
        <w:rPr>
          <w:noProof/>
          <w:sz w:val="24"/>
          <w:szCs w:val="24"/>
        </w:rPr>
        <w:drawing>
          <wp:anchor distT="0" distB="0" distL="114300" distR="114300" simplePos="0" relativeHeight="251635200" behindDoc="1" locked="0" layoutInCell="0" allowOverlap="1">
            <wp:simplePos x="0" y="0"/>
            <wp:positionH relativeFrom="column">
              <wp:posOffset>-718820</wp:posOffset>
            </wp:positionH>
            <wp:positionV relativeFrom="paragraph">
              <wp:posOffset>316230</wp:posOffset>
            </wp:positionV>
            <wp:extent cx="3601085"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4"/>
          <w:szCs w:val="24"/>
        </w:rPr>
      </w:pPr>
    </w:p>
    <w:p w:rsidR="00D4760A" w:rsidRDefault="00D4760A">
      <w:pPr>
        <w:spacing w:line="362" w:lineRule="exact"/>
        <w:rPr>
          <w:sz w:val="24"/>
          <w:szCs w:val="24"/>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4"/>
          <w:szCs w:val="24"/>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1/23</w:t>
      </w:r>
    </w:p>
    <w:p w:rsidR="00D4760A" w:rsidRDefault="00D4760A">
      <w:pPr>
        <w:sectPr w:rsidR="00D4760A">
          <w:pgSz w:w="11900" w:h="16838"/>
          <w:pgMar w:top="1440" w:right="1126" w:bottom="311" w:left="1133" w:header="0" w:footer="0" w:gutter="0"/>
          <w:cols w:space="708" w:equalWidth="0">
            <w:col w:w="9647"/>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36224"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spacing w:line="276" w:lineRule="auto"/>
        <w:ind w:left="700" w:right="20"/>
        <w:rPr>
          <w:sz w:val="20"/>
          <w:szCs w:val="20"/>
        </w:rPr>
      </w:pPr>
      <w:r>
        <w:rPr>
          <w:rFonts w:ascii="Cambria" w:eastAsia="Cambria" w:hAnsi="Cambria" w:cs="Cambria"/>
        </w:rPr>
        <w:t>předčasného zastavení řešení projektu v souvislosti s ukončením platnosti Smlouvy o poskytnutí podpory či rozhodnutí o poskytnutí podpory,</w:t>
      </w:r>
    </w:p>
    <w:p w:rsidR="00D4760A" w:rsidRDefault="00D4760A">
      <w:pPr>
        <w:spacing w:line="120" w:lineRule="exact"/>
        <w:rPr>
          <w:sz w:val="20"/>
          <w:szCs w:val="20"/>
        </w:rPr>
      </w:pPr>
    </w:p>
    <w:p w:rsidR="00D4760A" w:rsidRDefault="00B93A8D">
      <w:pPr>
        <w:numPr>
          <w:ilvl w:val="0"/>
          <w:numId w:val="3"/>
        </w:numPr>
        <w:tabs>
          <w:tab w:val="left" w:pos="700"/>
        </w:tabs>
        <w:spacing w:line="276" w:lineRule="auto"/>
        <w:ind w:left="700" w:hanging="349"/>
        <w:jc w:val="both"/>
        <w:rPr>
          <w:rFonts w:ascii="Cambria" w:eastAsia="Cambria" w:hAnsi="Cambria" w:cs="Cambria"/>
        </w:rPr>
      </w:pPr>
      <w:r>
        <w:rPr>
          <w:rFonts w:ascii="Cambria" w:eastAsia="Cambria" w:hAnsi="Cambria" w:cs="Cambria"/>
          <w:b/>
          <w:bCs/>
        </w:rPr>
        <w:t xml:space="preserve">„Důvěrnou informací” </w:t>
      </w:r>
      <w:r>
        <w:rPr>
          <w:rFonts w:ascii="Cambria" w:eastAsia="Cambria" w:hAnsi="Cambria" w:cs="Cambria"/>
        </w:rPr>
        <w:t>informace,</w:t>
      </w:r>
      <w:r>
        <w:rPr>
          <w:rFonts w:ascii="Cambria" w:eastAsia="Cambria" w:hAnsi="Cambria" w:cs="Cambria"/>
          <w:b/>
          <w:bCs/>
        </w:rPr>
        <w:t xml:space="preserve"> </w:t>
      </w:r>
      <w:r>
        <w:rPr>
          <w:rFonts w:ascii="Cambria" w:eastAsia="Cambria" w:hAnsi="Cambria" w:cs="Cambria"/>
        </w:rPr>
        <w:t>kterou lze považovat ve smyslu příslušných ustanovení</w:t>
      </w:r>
      <w:r>
        <w:rPr>
          <w:rFonts w:ascii="Cambria" w:eastAsia="Cambria" w:hAnsi="Cambria" w:cs="Cambria"/>
          <w:b/>
          <w:bCs/>
        </w:rPr>
        <w:t xml:space="preserve"> </w:t>
      </w:r>
      <w:r>
        <w:rPr>
          <w:rFonts w:ascii="Cambria" w:eastAsia="Cambria" w:hAnsi="Cambria" w:cs="Cambria"/>
        </w:rPr>
        <w:t>zákona č. 89/2012 Sb., občanský zákoník za obchodní tajemství či kterou jedna ze smluvních stran označí jako důvěrnou informaci, nebo jakákoliv informace, jejíž prozrazení jednou smluvní stranou může být pro druhou smluvní stranu nevýhodné, není-li všeobecně veřejně známa nebo nebyla smluvní stranou označena za nedůvěrnou,</w:t>
      </w:r>
    </w:p>
    <w:p w:rsidR="00D4760A" w:rsidRDefault="00D4760A">
      <w:pPr>
        <w:spacing w:line="120" w:lineRule="exact"/>
        <w:rPr>
          <w:rFonts w:ascii="Cambria" w:eastAsia="Cambria" w:hAnsi="Cambria" w:cs="Cambria"/>
        </w:rPr>
      </w:pPr>
    </w:p>
    <w:p w:rsidR="00D4760A" w:rsidRDefault="00B93A8D">
      <w:pPr>
        <w:numPr>
          <w:ilvl w:val="0"/>
          <w:numId w:val="3"/>
        </w:numPr>
        <w:tabs>
          <w:tab w:val="left" w:pos="700"/>
        </w:tabs>
        <w:spacing w:line="276" w:lineRule="auto"/>
        <w:ind w:left="700" w:hanging="349"/>
        <w:jc w:val="both"/>
        <w:rPr>
          <w:rFonts w:ascii="Cambria" w:eastAsia="Cambria" w:hAnsi="Cambria" w:cs="Cambria"/>
        </w:rPr>
      </w:pPr>
      <w:r>
        <w:rPr>
          <w:rFonts w:ascii="Cambria" w:eastAsia="Cambria" w:hAnsi="Cambria" w:cs="Cambria"/>
          <w:b/>
          <w:bCs/>
        </w:rPr>
        <w:t xml:space="preserve">„Hlavním příjemcem” </w:t>
      </w:r>
      <w:r>
        <w:rPr>
          <w:rFonts w:ascii="Cambria" w:eastAsia="Cambria" w:hAnsi="Cambria" w:cs="Cambria"/>
        </w:rPr>
        <w:t>ten příjemce, který vstupuje s poskytovatelem do smluvního vztahu a</w:t>
      </w:r>
      <w:r>
        <w:rPr>
          <w:rFonts w:ascii="Cambria" w:eastAsia="Cambria" w:hAnsi="Cambria" w:cs="Cambria"/>
          <w:b/>
          <w:bCs/>
        </w:rPr>
        <w:t xml:space="preserve"> </w:t>
      </w:r>
      <w:r>
        <w:rPr>
          <w:rFonts w:ascii="Cambria" w:eastAsia="Cambria" w:hAnsi="Cambria" w:cs="Cambria"/>
        </w:rPr>
        <w:t>odpovídá za plnění veškerých povinností během řešení projektu vůči poskytovateli na základě Smlouvy o poskytnutí podpory nebo rozhodnutí o poskytnutí podpory, a to jak povinností hlavního příjemce, tak dalšího účastníka,</w:t>
      </w:r>
    </w:p>
    <w:p w:rsidR="00D4760A" w:rsidRDefault="00D4760A">
      <w:pPr>
        <w:spacing w:line="121" w:lineRule="exact"/>
        <w:rPr>
          <w:rFonts w:ascii="Cambria" w:eastAsia="Cambria" w:hAnsi="Cambria" w:cs="Cambria"/>
        </w:rPr>
      </w:pPr>
    </w:p>
    <w:p w:rsidR="00D4760A" w:rsidRDefault="00B93A8D">
      <w:pPr>
        <w:numPr>
          <w:ilvl w:val="0"/>
          <w:numId w:val="3"/>
        </w:numPr>
        <w:tabs>
          <w:tab w:val="left" w:pos="700"/>
        </w:tabs>
        <w:spacing w:line="274" w:lineRule="auto"/>
        <w:ind w:left="700" w:right="20" w:hanging="349"/>
        <w:rPr>
          <w:rFonts w:ascii="Cambria" w:eastAsia="Cambria" w:hAnsi="Cambria" w:cs="Cambria"/>
        </w:rPr>
      </w:pPr>
      <w:r>
        <w:rPr>
          <w:rFonts w:ascii="Cambria" w:eastAsia="Cambria" w:hAnsi="Cambria" w:cs="Cambria"/>
          <w:b/>
          <w:bCs/>
        </w:rPr>
        <w:t xml:space="preserve">„Implementačním plánem” </w:t>
      </w:r>
      <w:r>
        <w:rPr>
          <w:rFonts w:ascii="Cambria" w:eastAsia="Cambria" w:hAnsi="Cambria" w:cs="Cambria"/>
        </w:rPr>
        <w:t>hlavním příjemcem předkládaný plán na využití výsledků</w:t>
      </w:r>
      <w:r>
        <w:rPr>
          <w:rFonts w:ascii="Cambria" w:eastAsia="Cambria" w:hAnsi="Cambria" w:cs="Cambria"/>
          <w:b/>
          <w:bCs/>
        </w:rPr>
        <w:t xml:space="preserve"> </w:t>
      </w:r>
      <w:r>
        <w:rPr>
          <w:rFonts w:ascii="Cambria" w:eastAsia="Cambria" w:hAnsi="Cambria" w:cs="Cambria"/>
        </w:rPr>
        <w:t>projektu, jejich stručný popis, vymezení, stupeň důvěrnosti, uvedení nákladů apod.,</w:t>
      </w:r>
    </w:p>
    <w:p w:rsidR="00D4760A" w:rsidRDefault="00D4760A">
      <w:pPr>
        <w:spacing w:line="123" w:lineRule="exact"/>
        <w:rPr>
          <w:rFonts w:ascii="Cambria" w:eastAsia="Cambria" w:hAnsi="Cambria" w:cs="Cambria"/>
        </w:rPr>
      </w:pPr>
    </w:p>
    <w:p w:rsidR="00D4760A" w:rsidRDefault="00B93A8D">
      <w:pPr>
        <w:numPr>
          <w:ilvl w:val="0"/>
          <w:numId w:val="3"/>
        </w:numPr>
        <w:tabs>
          <w:tab w:val="left" w:pos="700"/>
        </w:tabs>
        <w:spacing w:line="274" w:lineRule="auto"/>
        <w:ind w:left="700" w:hanging="349"/>
        <w:jc w:val="both"/>
        <w:rPr>
          <w:rFonts w:ascii="Cambria" w:eastAsia="Cambria" w:hAnsi="Cambria" w:cs="Cambria"/>
        </w:rPr>
      </w:pPr>
      <w:r>
        <w:rPr>
          <w:rFonts w:ascii="Cambria" w:eastAsia="Cambria" w:hAnsi="Cambria" w:cs="Cambria"/>
          <w:b/>
          <w:bCs/>
        </w:rPr>
        <w:t xml:space="preserve">„IS VaVaI„ </w:t>
      </w:r>
      <w:r>
        <w:rPr>
          <w:rFonts w:ascii="Cambria" w:eastAsia="Cambria" w:hAnsi="Cambria" w:cs="Cambria"/>
        </w:rPr>
        <w:t>Informační systém výzkumu, experimentálního vývoje a inovací neboli informační</w:t>
      </w:r>
      <w:r>
        <w:rPr>
          <w:rFonts w:ascii="Cambria" w:eastAsia="Cambria" w:hAnsi="Cambria" w:cs="Cambria"/>
          <w:b/>
          <w:bCs/>
        </w:rPr>
        <w:t xml:space="preserve"> </w:t>
      </w:r>
      <w:r>
        <w:rPr>
          <w:rFonts w:ascii="Cambria" w:eastAsia="Cambria" w:hAnsi="Cambria" w:cs="Cambria"/>
        </w:rPr>
        <w:t>systém veřejné správy zajišťující shromažďování, zpracování, poskytování a využívání údajů</w:t>
      </w:r>
    </w:p>
    <w:p w:rsidR="00D4760A" w:rsidRDefault="00D4760A">
      <w:pPr>
        <w:spacing w:line="3" w:lineRule="exact"/>
        <w:rPr>
          <w:rFonts w:ascii="Cambria" w:eastAsia="Cambria" w:hAnsi="Cambria" w:cs="Cambria"/>
        </w:rPr>
      </w:pPr>
    </w:p>
    <w:p w:rsidR="00D4760A" w:rsidRDefault="00B93A8D">
      <w:pPr>
        <w:ind w:left="700"/>
        <w:rPr>
          <w:rFonts w:ascii="Cambria" w:eastAsia="Cambria" w:hAnsi="Cambria" w:cs="Cambria"/>
        </w:rPr>
      </w:pPr>
      <w:r>
        <w:rPr>
          <w:rFonts w:ascii="Cambria" w:eastAsia="Cambria" w:hAnsi="Cambria" w:cs="Cambria"/>
        </w:rPr>
        <w:t>o výzkumu, vývoji a inovacích podporovaných z veřejných prostředků, jehož obsah, postup při</w:t>
      </w:r>
    </w:p>
    <w:p w:rsidR="00D4760A" w:rsidRDefault="00D4760A">
      <w:pPr>
        <w:spacing w:line="301" w:lineRule="exact"/>
        <w:rPr>
          <w:sz w:val="20"/>
          <w:szCs w:val="20"/>
        </w:rPr>
      </w:pPr>
    </w:p>
    <w:p w:rsidR="00D4760A" w:rsidRDefault="00B93A8D">
      <w:pPr>
        <w:spacing w:line="275" w:lineRule="auto"/>
        <w:ind w:left="700"/>
        <w:jc w:val="both"/>
        <w:rPr>
          <w:sz w:val="20"/>
          <w:szCs w:val="20"/>
        </w:rPr>
      </w:pPr>
      <w:r>
        <w:rPr>
          <w:rFonts w:ascii="Cambria" w:eastAsia="Cambria" w:hAnsi="Cambria" w:cs="Cambria"/>
        </w:rPr>
        <w:t>předání, zařazení, zpracování a poskytování údajů je stanoven ZPVV, nařízením vlády č. 397/2009 Sb., o informačním systému výzkumu, experimentálního vývoje a inovací, zvláštními právními předpisy a provozním řádem IS VaVaI,</w:t>
      </w:r>
    </w:p>
    <w:p w:rsidR="00D4760A" w:rsidRDefault="00D4760A">
      <w:pPr>
        <w:spacing w:line="122" w:lineRule="exact"/>
        <w:rPr>
          <w:sz w:val="20"/>
          <w:szCs w:val="20"/>
        </w:rPr>
      </w:pPr>
    </w:p>
    <w:p w:rsidR="00D4760A" w:rsidRDefault="00B93A8D">
      <w:pPr>
        <w:tabs>
          <w:tab w:val="left" w:pos="680"/>
        </w:tabs>
        <w:spacing w:line="294" w:lineRule="auto"/>
        <w:ind w:left="700" w:right="20" w:hanging="339"/>
        <w:jc w:val="both"/>
        <w:rPr>
          <w:sz w:val="20"/>
          <w:szCs w:val="20"/>
        </w:rPr>
      </w:pPr>
      <w:r>
        <w:rPr>
          <w:rFonts w:ascii="Cambria" w:eastAsia="Cambria" w:hAnsi="Cambria" w:cs="Cambria"/>
          <w:sz w:val="21"/>
          <w:szCs w:val="21"/>
        </w:rPr>
        <w:t>g)</w:t>
      </w:r>
      <w:r>
        <w:rPr>
          <w:sz w:val="20"/>
          <w:szCs w:val="20"/>
        </w:rPr>
        <w:tab/>
      </w:r>
      <w:r>
        <w:rPr>
          <w:rFonts w:ascii="Cambria" w:eastAsia="Cambria" w:hAnsi="Cambria" w:cs="Cambria"/>
          <w:b/>
          <w:bCs/>
          <w:sz w:val="21"/>
          <w:szCs w:val="21"/>
        </w:rPr>
        <w:t xml:space="preserve">„Hodnotícím procesem” </w:t>
      </w:r>
      <w:r>
        <w:rPr>
          <w:rFonts w:ascii="Cambria" w:eastAsia="Cambria" w:hAnsi="Cambria" w:cs="Cambria"/>
          <w:sz w:val="21"/>
          <w:szCs w:val="21"/>
        </w:rPr>
        <w:t>poskytovatelem stanovený proces, zpravidla vnitřním předpisem, za</w:t>
      </w:r>
      <w:r>
        <w:rPr>
          <w:rFonts w:ascii="Cambria" w:eastAsia="Cambria" w:hAnsi="Cambria" w:cs="Cambria"/>
          <w:b/>
          <w:bCs/>
          <w:sz w:val="21"/>
          <w:szCs w:val="21"/>
        </w:rPr>
        <w:t xml:space="preserve"> </w:t>
      </w:r>
      <w:r>
        <w:rPr>
          <w:rFonts w:ascii="Cambria" w:eastAsia="Cambria" w:hAnsi="Cambria" w:cs="Cambria"/>
          <w:sz w:val="21"/>
          <w:szCs w:val="21"/>
        </w:rPr>
        <w:t>účelem hodnocení plnění cílů projektu, zhodnocení dosažených výsledků a jejich právní ochrany, zejména oponentní řízení, předkládání zpráv, závěrečné hodnocení a monitoring udržitelnosti,</w:t>
      </w:r>
    </w:p>
    <w:p w:rsidR="00D4760A" w:rsidRDefault="00D4760A">
      <w:pPr>
        <w:spacing w:line="106" w:lineRule="exact"/>
        <w:rPr>
          <w:sz w:val="20"/>
          <w:szCs w:val="20"/>
        </w:rPr>
      </w:pPr>
    </w:p>
    <w:p w:rsidR="00D4760A" w:rsidRDefault="00B93A8D">
      <w:pPr>
        <w:tabs>
          <w:tab w:val="left" w:pos="680"/>
        </w:tabs>
        <w:spacing w:line="276" w:lineRule="auto"/>
        <w:ind w:left="700" w:right="20" w:hanging="339"/>
        <w:jc w:val="both"/>
        <w:rPr>
          <w:sz w:val="20"/>
          <w:szCs w:val="20"/>
        </w:rPr>
      </w:pPr>
      <w:r>
        <w:rPr>
          <w:rFonts w:ascii="Cambria" w:eastAsia="Cambria" w:hAnsi="Cambria" w:cs="Cambria"/>
        </w:rPr>
        <w:t>h)</w:t>
      </w:r>
      <w:r>
        <w:rPr>
          <w:sz w:val="20"/>
          <w:szCs w:val="20"/>
        </w:rPr>
        <w:tab/>
      </w:r>
      <w:r>
        <w:rPr>
          <w:rFonts w:ascii="Cambria" w:eastAsia="Cambria" w:hAnsi="Cambria" w:cs="Cambria"/>
          <w:b/>
          <w:bCs/>
        </w:rPr>
        <w:t xml:space="preserve">„Nařízením” </w:t>
      </w:r>
      <w:r>
        <w:rPr>
          <w:rFonts w:ascii="Cambria" w:eastAsia="Cambria" w:hAnsi="Cambria" w:cs="Cambria"/>
        </w:rPr>
        <w:t>Nařízení Komise (ES) č. 651/2014 ze dne 17. června 2014, kterým se v souladu</w:t>
      </w:r>
      <w:r>
        <w:rPr>
          <w:rFonts w:ascii="Cambria" w:eastAsia="Cambria" w:hAnsi="Cambria" w:cs="Cambria"/>
          <w:b/>
          <w:bCs/>
        </w:rPr>
        <w:t xml:space="preserve"> </w:t>
      </w:r>
      <w:r>
        <w:rPr>
          <w:rFonts w:ascii="Cambria" w:eastAsia="Cambria" w:hAnsi="Cambria" w:cs="Cambria"/>
        </w:rPr>
        <w:t>s články 107 a 108 Smlouvy</w:t>
      </w:r>
      <w:r>
        <w:rPr>
          <w:rFonts w:ascii="Cambria" w:eastAsia="Cambria" w:hAnsi="Cambria" w:cs="Cambria"/>
          <w:sz w:val="13"/>
          <w:szCs w:val="13"/>
        </w:rPr>
        <w:t>1</w:t>
      </w:r>
      <w:r>
        <w:rPr>
          <w:rFonts w:ascii="Cambria" w:eastAsia="Cambria" w:hAnsi="Cambria" w:cs="Cambria"/>
        </w:rPr>
        <w:t xml:space="preserve"> prohlašují určité kategorie za slučitelné s vnitřním trhem,</w:t>
      </w:r>
    </w:p>
    <w:p w:rsidR="00D4760A" w:rsidRDefault="00D4760A">
      <w:pPr>
        <w:spacing w:line="120" w:lineRule="exact"/>
        <w:rPr>
          <w:sz w:val="20"/>
          <w:szCs w:val="20"/>
        </w:rPr>
      </w:pPr>
    </w:p>
    <w:p w:rsidR="00D4760A" w:rsidRDefault="00B93A8D">
      <w:pPr>
        <w:tabs>
          <w:tab w:val="left" w:pos="680"/>
        </w:tabs>
        <w:spacing w:line="276" w:lineRule="auto"/>
        <w:ind w:left="700" w:right="20" w:hanging="339"/>
        <w:jc w:val="both"/>
        <w:rPr>
          <w:sz w:val="20"/>
          <w:szCs w:val="20"/>
        </w:rPr>
      </w:pPr>
      <w:r>
        <w:rPr>
          <w:rFonts w:ascii="Cambria" w:eastAsia="Cambria" w:hAnsi="Cambria" w:cs="Cambria"/>
        </w:rPr>
        <w:t>i)</w:t>
      </w:r>
      <w:r>
        <w:rPr>
          <w:sz w:val="20"/>
          <w:szCs w:val="20"/>
        </w:rPr>
        <w:tab/>
      </w:r>
      <w:r>
        <w:rPr>
          <w:rFonts w:ascii="Cambria" w:eastAsia="Cambria" w:hAnsi="Cambria" w:cs="Cambria"/>
          <w:b/>
          <w:bCs/>
        </w:rPr>
        <w:t xml:space="preserve">„Odborným garantem“ </w:t>
      </w:r>
      <w:r>
        <w:rPr>
          <w:rFonts w:ascii="Cambria" w:eastAsia="Cambria" w:hAnsi="Cambria" w:cs="Cambria"/>
        </w:rPr>
        <w:t>orgán státní správy, který je uživatelem výsledků veřejné zakázky ve</w:t>
      </w:r>
      <w:r>
        <w:rPr>
          <w:rFonts w:ascii="Cambria" w:eastAsia="Cambria" w:hAnsi="Cambria" w:cs="Cambria"/>
          <w:b/>
          <w:bCs/>
        </w:rPr>
        <w:t xml:space="preserve"> </w:t>
      </w:r>
      <w:r>
        <w:rPr>
          <w:rFonts w:ascii="Cambria" w:eastAsia="Cambria" w:hAnsi="Cambria" w:cs="Cambria"/>
        </w:rPr>
        <w:t>výzkumu, vývoji a inovacích,</w:t>
      </w:r>
    </w:p>
    <w:p w:rsidR="00D4760A" w:rsidRDefault="00D4760A">
      <w:pPr>
        <w:spacing w:line="120" w:lineRule="exact"/>
        <w:rPr>
          <w:sz w:val="20"/>
          <w:szCs w:val="20"/>
        </w:rPr>
      </w:pPr>
    </w:p>
    <w:p w:rsidR="00D4760A" w:rsidRDefault="00B93A8D">
      <w:pPr>
        <w:tabs>
          <w:tab w:val="left" w:pos="680"/>
        </w:tabs>
        <w:spacing w:line="277" w:lineRule="auto"/>
        <w:ind w:left="700" w:hanging="339"/>
        <w:jc w:val="both"/>
        <w:rPr>
          <w:sz w:val="20"/>
          <w:szCs w:val="20"/>
        </w:rPr>
      </w:pPr>
      <w:r>
        <w:rPr>
          <w:rFonts w:ascii="Cambria" w:eastAsia="Cambria" w:hAnsi="Cambria" w:cs="Cambria"/>
        </w:rPr>
        <w:t>j)</w:t>
      </w:r>
      <w:r>
        <w:rPr>
          <w:sz w:val="20"/>
          <w:szCs w:val="20"/>
        </w:rPr>
        <w:tab/>
      </w:r>
      <w:r>
        <w:rPr>
          <w:rFonts w:ascii="Cambria" w:eastAsia="Cambria" w:hAnsi="Cambria" w:cs="Cambria"/>
          <w:b/>
          <w:bCs/>
        </w:rPr>
        <w:t xml:space="preserve">„Podnikem” </w:t>
      </w:r>
      <w:r>
        <w:rPr>
          <w:rFonts w:ascii="Cambria" w:eastAsia="Cambria" w:hAnsi="Cambria" w:cs="Cambria"/>
        </w:rPr>
        <w:t>každý subjekt vykonávající hospodářskou činnost, bez ohledu na jeho právní formu</w:t>
      </w:r>
      <w:r>
        <w:rPr>
          <w:rFonts w:ascii="Cambria" w:eastAsia="Cambria" w:hAnsi="Cambria" w:cs="Cambria"/>
          <w:b/>
          <w:bCs/>
        </w:rPr>
        <w:t xml:space="preserve"> </w:t>
      </w:r>
      <w:r>
        <w:rPr>
          <w:rFonts w:ascii="Cambria" w:eastAsia="Cambria" w:hAnsi="Cambria" w:cs="Cambria"/>
        </w:rPr>
        <w:t>ve smyslu přílohy č. 1 Nařízení, přičemž tato příloha a článek II odst. 2 a 24 Nařízení vymezují jednotlivé velikosti podniku na velký, střední, malý podnik a mikropodnik,</w:t>
      </w:r>
    </w:p>
    <w:p w:rsidR="00D4760A" w:rsidRDefault="00D4760A">
      <w:pPr>
        <w:spacing w:line="118" w:lineRule="exact"/>
        <w:rPr>
          <w:sz w:val="20"/>
          <w:szCs w:val="20"/>
        </w:rPr>
      </w:pPr>
    </w:p>
    <w:p w:rsidR="00D4760A" w:rsidRDefault="00B93A8D">
      <w:pPr>
        <w:tabs>
          <w:tab w:val="left" w:pos="680"/>
        </w:tabs>
        <w:spacing w:line="294" w:lineRule="auto"/>
        <w:ind w:left="700" w:hanging="339"/>
        <w:jc w:val="both"/>
        <w:rPr>
          <w:sz w:val="20"/>
          <w:szCs w:val="20"/>
        </w:rPr>
      </w:pPr>
      <w:r>
        <w:rPr>
          <w:rFonts w:ascii="Cambria" w:eastAsia="Cambria" w:hAnsi="Cambria" w:cs="Cambria"/>
          <w:sz w:val="21"/>
          <w:szCs w:val="21"/>
        </w:rPr>
        <w:t>k)</w:t>
      </w:r>
      <w:r>
        <w:rPr>
          <w:sz w:val="20"/>
          <w:szCs w:val="20"/>
        </w:rPr>
        <w:tab/>
      </w:r>
      <w:r>
        <w:rPr>
          <w:rFonts w:ascii="Cambria" w:eastAsia="Cambria" w:hAnsi="Cambria" w:cs="Cambria"/>
          <w:b/>
          <w:bCs/>
          <w:sz w:val="21"/>
          <w:szCs w:val="21"/>
        </w:rPr>
        <w:t xml:space="preserve">„Podporou” </w:t>
      </w:r>
      <w:r>
        <w:rPr>
          <w:rFonts w:ascii="Cambria" w:eastAsia="Cambria" w:hAnsi="Cambria" w:cs="Cambria"/>
          <w:sz w:val="21"/>
          <w:szCs w:val="21"/>
        </w:rPr>
        <w:t>účelové finanční prostředky na řešení projektu poskytnuté poskytovatelem formou</w:t>
      </w:r>
      <w:r>
        <w:rPr>
          <w:rFonts w:ascii="Cambria" w:eastAsia="Cambria" w:hAnsi="Cambria" w:cs="Cambria"/>
          <w:b/>
          <w:bCs/>
          <w:sz w:val="21"/>
          <w:szCs w:val="21"/>
        </w:rPr>
        <w:t xml:space="preserve"> </w:t>
      </w:r>
      <w:r>
        <w:rPr>
          <w:rFonts w:ascii="Cambria" w:eastAsia="Cambria" w:hAnsi="Cambria" w:cs="Cambria"/>
          <w:sz w:val="21"/>
          <w:szCs w:val="21"/>
        </w:rPr>
        <w:t>dotace v návaznosti na výsledky veřejné soutěže nebo veřejné zakázky ve výzkumu, vývoji a inovacích a na základě Smlouvy o poskytnutí podpory či rozhodnutí o poskytnutí podpory,</w:t>
      </w:r>
    </w:p>
    <w:p w:rsidR="00D4760A" w:rsidRDefault="00D4760A">
      <w:pPr>
        <w:spacing w:line="105" w:lineRule="exact"/>
        <w:rPr>
          <w:sz w:val="20"/>
          <w:szCs w:val="20"/>
        </w:rPr>
      </w:pPr>
    </w:p>
    <w:p w:rsidR="00D4760A" w:rsidRDefault="00B93A8D">
      <w:pPr>
        <w:tabs>
          <w:tab w:val="left" w:pos="680"/>
        </w:tabs>
        <w:ind w:left="360"/>
        <w:rPr>
          <w:sz w:val="20"/>
          <w:szCs w:val="20"/>
        </w:rPr>
      </w:pPr>
      <w:r>
        <w:rPr>
          <w:rFonts w:ascii="Cambria" w:eastAsia="Cambria" w:hAnsi="Cambria" w:cs="Cambria"/>
        </w:rPr>
        <w:t>l)</w:t>
      </w:r>
      <w:r>
        <w:rPr>
          <w:sz w:val="20"/>
          <w:szCs w:val="20"/>
        </w:rPr>
        <w:tab/>
      </w:r>
      <w:r>
        <w:rPr>
          <w:rFonts w:ascii="Cambria" w:eastAsia="Cambria" w:hAnsi="Cambria" w:cs="Cambria"/>
          <w:b/>
          <w:bCs/>
        </w:rPr>
        <w:t xml:space="preserve">„Poskytovatelem” </w:t>
      </w:r>
      <w:r>
        <w:rPr>
          <w:rFonts w:ascii="Cambria" w:eastAsia="Cambria" w:hAnsi="Cambria" w:cs="Cambria"/>
        </w:rPr>
        <w:t>Technologická agentura České republiky (TA ČR),</w:t>
      </w:r>
    </w:p>
    <w:p w:rsidR="00D4760A" w:rsidRDefault="00D4760A">
      <w:pPr>
        <w:spacing w:line="157" w:lineRule="exact"/>
        <w:rPr>
          <w:sz w:val="20"/>
          <w:szCs w:val="20"/>
        </w:rPr>
      </w:pPr>
    </w:p>
    <w:p w:rsidR="00D4760A" w:rsidRDefault="00B93A8D">
      <w:pPr>
        <w:spacing w:line="276" w:lineRule="auto"/>
        <w:ind w:left="700" w:hanging="354"/>
        <w:jc w:val="both"/>
        <w:rPr>
          <w:sz w:val="20"/>
          <w:szCs w:val="20"/>
        </w:rPr>
      </w:pPr>
      <w:r>
        <w:rPr>
          <w:rFonts w:ascii="Cambria" w:eastAsia="Cambria" w:hAnsi="Cambria" w:cs="Cambria"/>
        </w:rPr>
        <w:t xml:space="preserve">m) </w:t>
      </w:r>
      <w:r>
        <w:rPr>
          <w:rFonts w:ascii="Cambria" w:eastAsia="Cambria" w:hAnsi="Cambria" w:cs="Cambria"/>
          <w:b/>
          <w:bCs/>
        </w:rPr>
        <w:t>„Pravidly poskytnutí podpory”</w:t>
      </w:r>
      <w:r>
        <w:rPr>
          <w:rFonts w:ascii="Cambria" w:eastAsia="Cambria" w:hAnsi="Cambria" w:cs="Cambria"/>
        </w:rPr>
        <w:t xml:space="preserve"> souhrn práv a povinností stanovených smlouvou o poskytnutí podpory či rozhodnutím o poskytnutí podpory, všeobecnými podmínkami, vnitřními předpisy</w:t>
      </w:r>
    </w:p>
    <w:p w:rsidR="00D4760A" w:rsidRDefault="00B93A8D">
      <w:pPr>
        <w:spacing w:line="20" w:lineRule="exact"/>
        <w:rPr>
          <w:sz w:val="20"/>
          <w:szCs w:val="20"/>
        </w:rPr>
      </w:pP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-3810</wp:posOffset>
                </wp:positionH>
                <wp:positionV relativeFrom="paragraph">
                  <wp:posOffset>236855</wp:posOffset>
                </wp:positionV>
                <wp:extent cx="182816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08D5EAFF" id="Shape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3pt,18.65pt" to="143.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" o:allowincell="f" filled="t" strokeweight=".21164mm">
                <v:stroke joinstyle="miter"/>
                <o:lock v:ext="edit" shapetype="f"/>
              </v:line>
            </w:pict>
          </mc:Fallback>
        </mc:AlternateContent>
      </w:r>
    </w:p>
    <w:p w:rsidR="00D4760A" w:rsidRDefault="00D4760A">
      <w:pPr>
        <w:spacing w:line="200" w:lineRule="exact"/>
        <w:rPr>
          <w:sz w:val="20"/>
          <w:szCs w:val="20"/>
        </w:rPr>
      </w:pPr>
    </w:p>
    <w:p w:rsidR="00D4760A" w:rsidRDefault="00D4760A">
      <w:pPr>
        <w:spacing w:line="273" w:lineRule="exact"/>
        <w:rPr>
          <w:sz w:val="20"/>
          <w:szCs w:val="20"/>
        </w:rPr>
      </w:pPr>
    </w:p>
    <w:p w:rsidR="00D4760A" w:rsidRDefault="00B93A8D">
      <w:pPr>
        <w:rPr>
          <w:sz w:val="20"/>
          <w:szCs w:val="20"/>
        </w:rPr>
      </w:pPr>
      <w:r>
        <w:rPr>
          <w:rFonts w:ascii="Cambria" w:eastAsia="Cambria" w:hAnsi="Cambria" w:cs="Cambria"/>
          <w:sz w:val="27"/>
          <w:szCs w:val="27"/>
          <w:vertAlign w:val="superscript"/>
        </w:rPr>
        <w:t>1</w:t>
      </w:r>
      <w:r>
        <w:rPr>
          <w:rFonts w:ascii="Cambria" w:eastAsia="Cambria" w:hAnsi="Cambria" w:cs="Cambria"/>
          <w:sz w:val="20"/>
          <w:szCs w:val="20"/>
        </w:rPr>
        <w:t xml:space="preserve"> Smlouva o fungování Evropské unie</w:t>
      </w:r>
    </w:p>
    <w:p w:rsidR="00D4760A" w:rsidRDefault="00B93A8D">
      <w:pPr>
        <w:spacing w:line="20" w:lineRule="exact"/>
        <w:rPr>
          <w:sz w:val="20"/>
          <w:szCs w:val="20"/>
        </w:rPr>
      </w:pPr>
      <w:r>
        <w:rPr>
          <w:noProof/>
          <w:sz w:val="20"/>
          <w:szCs w:val="20"/>
        </w:rPr>
        <w:drawing>
          <wp:anchor distT="0" distB="0" distL="114300" distR="114300" simplePos="0" relativeHeight="251638272" behindDoc="1" locked="0" layoutInCell="0" allowOverlap="1">
            <wp:simplePos x="0" y="0"/>
            <wp:positionH relativeFrom="column">
              <wp:posOffset>-723265</wp:posOffset>
            </wp:positionH>
            <wp:positionV relativeFrom="paragraph">
              <wp:posOffset>13970</wp:posOffset>
            </wp:positionV>
            <wp:extent cx="3601085"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86"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2/23</w:t>
      </w:r>
    </w:p>
    <w:p w:rsidR="00D4760A" w:rsidRDefault="00D4760A">
      <w:pPr>
        <w:sectPr w:rsidR="00D4760A">
          <w:pgSz w:w="11900" w:h="16838"/>
          <w:pgMar w:top="1440" w:right="1126" w:bottom="311" w:left="1140" w:header="0" w:footer="0" w:gutter="0"/>
          <w:cols w:space="708" w:equalWidth="0">
            <w:col w:w="964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39296"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spacing w:line="275" w:lineRule="auto"/>
        <w:ind w:left="400"/>
        <w:jc w:val="both"/>
        <w:rPr>
          <w:sz w:val="20"/>
          <w:szCs w:val="20"/>
        </w:rPr>
      </w:pPr>
      <w:r>
        <w:rPr>
          <w:rFonts w:ascii="Cambria" w:eastAsia="Cambria" w:hAnsi="Cambria" w:cs="Cambria"/>
        </w:rPr>
        <w:t>poskytovatele a dalšími dokumenty, na které se odkazuje, příslušným programem a zadávací dokumentací a obecně závaznými právními předpisy (národními i evropskými), zejména ZPVV, rozpočtovými pravidly a pravidly veřejné podpory,</w:t>
      </w:r>
    </w:p>
    <w:p w:rsidR="00D4760A" w:rsidRDefault="00D4760A">
      <w:pPr>
        <w:spacing w:line="124" w:lineRule="exact"/>
        <w:rPr>
          <w:sz w:val="20"/>
          <w:szCs w:val="20"/>
        </w:rPr>
      </w:pPr>
    </w:p>
    <w:p w:rsidR="00D4760A" w:rsidRDefault="00B93A8D">
      <w:pPr>
        <w:numPr>
          <w:ilvl w:val="0"/>
          <w:numId w:val="4"/>
        </w:numPr>
        <w:tabs>
          <w:tab w:val="left" w:pos="400"/>
        </w:tabs>
        <w:spacing w:line="275" w:lineRule="auto"/>
        <w:ind w:left="400" w:right="20" w:hanging="349"/>
        <w:jc w:val="both"/>
        <w:rPr>
          <w:rFonts w:ascii="Cambria" w:eastAsia="Cambria" w:hAnsi="Cambria" w:cs="Cambria"/>
        </w:rPr>
      </w:pPr>
      <w:r>
        <w:rPr>
          <w:rFonts w:ascii="Cambria" w:eastAsia="Cambria" w:hAnsi="Cambria" w:cs="Cambria"/>
          <w:b/>
          <w:bCs/>
        </w:rPr>
        <w:t xml:space="preserve">„Pravidly veřejné podpory” </w:t>
      </w:r>
      <w:r>
        <w:rPr>
          <w:rFonts w:ascii="Cambria" w:eastAsia="Cambria" w:hAnsi="Cambria" w:cs="Cambria"/>
        </w:rPr>
        <w:t>souhrn práv a povinností stanovených článkem 107 až 109</w:t>
      </w:r>
      <w:r>
        <w:rPr>
          <w:rFonts w:ascii="Cambria" w:eastAsia="Cambria" w:hAnsi="Cambria" w:cs="Cambria"/>
          <w:b/>
          <w:bCs/>
        </w:rPr>
        <w:t xml:space="preserve"> </w:t>
      </w:r>
      <w:r>
        <w:rPr>
          <w:rFonts w:ascii="Cambria" w:eastAsia="Cambria" w:hAnsi="Cambria" w:cs="Cambria"/>
        </w:rPr>
        <w:t>Smlouvy o fungování Evropské unie, a pro účely výzkumu, vývoje a inovací zejména Rámcem a Nařízením,</w:t>
      </w:r>
    </w:p>
    <w:p w:rsidR="00D4760A" w:rsidRDefault="00D4760A">
      <w:pPr>
        <w:spacing w:line="124" w:lineRule="exact"/>
        <w:rPr>
          <w:rFonts w:ascii="Cambria" w:eastAsia="Cambria" w:hAnsi="Cambria" w:cs="Cambria"/>
        </w:rPr>
      </w:pPr>
    </w:p>
    <w:p w:rsidR="00D4760A" w:rsidRDefault="00B93A8D">
      <w:pPr>
        <w:numPr>
          <w:ilvl w:val="0"/>
          <w:numId w:val="4"/>
        </w:numPr>
        <w:tabs>
          <w:tab w:val="left" w:pos="400"/>
        </w:tabs>
        <w:ind w:left="400" w:hanging="349"/>
        <w:rPr>
          <w:rFonts w:ascii="Cambria" w:eastAsia="Cambria" w:hAnsi="Cambria" w:cs="Cambria"/>
        </w:rPr>
      </w:pPr>
      <w:r>
        <w:rPr>
          <w:rFonts w:ascii="Cambria" w:eastAsia="Cambria" w:hAnsi="Cambria" w:cs="Cambria"/>
          <w:b/>
          <w:bCs/>
        </w:rPr>
        <w:t xml:space="preserve">„Programem” </w:t>
      </w:r>
      <w:r>
        <w:rPr>
          <w:rFonts w:ascii="Cambria" w:eastAsia="Cambria" w:hAnsi="Cambria" w:cs="Cambria"/>
        </w:rPr>
        <w:t>program ve smyslu § 2 odst. 2 písm. f) ZPVV,</w:t>
      </w:r>
    </w:p>
    <w:p w:rsidR="00D4760A" w:rsidRDefault="00D4760A">
      <w:pPr>
        <w:spacing w:line="157" w:lineRule="exact"/>
        <w:rPr>
          <w:rFonts w:ascii="Cambria" w:eastAsia="Cambria" w:hAnsi="Cambria" w:cs="Cambria"/>
        </w:rPr>
      </w:pPr>
    </w:p>
    <w:p w:rsidR="00D4760A" w:rsidRDefault="00B93A8D">
      <w:pPr>
        <w:numPr>
          <w:ilvl w:val="0"/>
          <w:numId w:val="4"/>
        </w:numPr>
        <w:tabs>
          <w:tab w:val="left" w:pos="400"/>
        </w:tabs>
        <w:ind w:left="400" w:hanging="349"/>
        <w:rPr>
          <w:rFonts w:ascii="Cambria" w:eastAsia="Cambria" w:hAnsi="Cambria" w:cs="Cambria"/>
        </w:rPr>
      </w:pPr>
      <w:r>
        <w:rPr>
          <w:rFonts w:ascii="Cambria" w:eastAsia="Cambria" w:hAnsi="Cambria" w:cs="Cambria"/>
          <w:b/>
          <w:bCs/>
        </w:rPr>
        <w:t xml:space="preserve">„Projektem” </w:t>
      </w:r>
      <w:r>
        <w:rPr>
          <w:rFonts w:ascii="Cambria" w:eastAsia="Cambria" w:hAnsi="Cambria" w:cs="Cambria"/>
        </w:rPr>
        <w:t>projekt ve smyslu § 2 odst. 2 písm. g) ZPVV,</w:t>
      </w:r>
    </w:p>
    <w:p w:rsidR="00D4760A" w:rsidRDefault="00D4760A">
      <w:pPr>
        <w:spacing w:line="159" w:lineRule="exact"/>
        <w:rPr>
          <w:rFonts w:ascii="Cambria" w:eastAsia="Cambria" w:hAnsi="Cambria" w:cs="Cambria"/>
        </w:rPr>
      </w:pPr>
    </w:p>
    <w:p w:rsidR="00D4760A" w:rsidRDefault="00B93A8D">
      <w:pPr>
        <w:numPr>
          <w:ilvl w:val="0"/>
          <w:numId w:val="4"/>
        </w:numPr>
        <w:tabs>
          <w:tab w:val="left" w:pos="400"/>
        </w:tabs>
        <w:spacing w:line="275" w:lineRule="auto"/>
        <w:ind w:left="400" w:hanging="349"/>
        <w:jc w:val="both"/>
        <w:rPr>
          <w:rFonts w:ascii="Cambria" w:eastAsia="Cambria" w:hAnsi="Cambria" w:cs="Cambria"/>
        </w:rPr>
      </w:pPr>
      <w:r>
        <w:rPr>
          <w:rFonts w:ascii="Cambria" w:eastAsia="Cambria" w:hAnsi="Cambria" w:cs="Cambria"/>
          <w:b/>
          <w:bCs/>
        </w:rPr>
        <w:t xml:space="preserve">„Předmětem duševního vlastnictví” </w:t>
      </w:r>
      <w:r>
        <w:rPr>
          <w:rFonts w:ascii="Cambria" w:eastAsia="Cambria" w:hAnsi="Cambria" w:cs="Cambria"/>
        </w:rPr>
        <w:t>majetek nehmotné povahy, kterým jsou díla chráněná</w:t>
      </w:r>
      <w:r>
        <w:rPr>
          <w:rFonts w:ascii="Cambria" w:eastAsia="Cambria" w:hAnsi="Cambria" w:cs="Cambria"/>
          <w:b/>
          <w:bCs/>
        </w:rPr>
        <w:t xml:space="preserve"> </w:t>
      </w:r>
      <w:r>
        <w:rPr>
          <w:rFonts w:ascii="Cambria" w:eastAsia="Cambria" w:hAnsi="Cambria" w:cs="Cambria"/>
        </w:rPr>
        <w:t>podle práva autorského a práv souvisejících s právem autorským a předměty průmyslově právní ochrany, tj. technická řešení (patenty, užitné vzory, případně topografie polovodičových výrobků), předměty průmyslového výtvarnictví a designu (průmyslové vzory), označení výrobků a služeb (ochranné známky, označení původu, zeměpisná označení, obchodní firma) a dále především obchodní tajemství a know-how (psané i nepsané výrobní, obchodní a jiné zkušenosti),</w:t>
      </w:r>
    </w:p>
    <w:p w:rsidR="00D4760A" w:rsidRDefault="00D4760A">
      <w:pPr>
        <w:spacing w:line="127" w:lineRule="exact"/>
        <w:rPr>
          <w:rFonts w:ascii="Cambria" w:eastAsia="Cambria" w:hAnsi="Cambria" w:cs="Cambria"/>
        </w:rPr>
      </w:pPr>
    </w:p>
    <w:p w:rsidR="00D4760A" w:rsidRDefault="00B93A8D">
      <w:pPr>
        <w:numPr>
          <w:ilvl w:val="0"/>
          <w:numId w:val="4"/>
        </w:numPr>
        <w:tabs>
          <w:tab w:val="left" w:pos="400"/>
        </w:tabs>
        <w:spacing w:line="275" w:lineRule="auto"/>
        <w:ind w:left="400" w:hanging="349"/>
        <w:jc w:val="both"/>
        <w:rPr>
          <w:rFonts w:ascii="Cambria" w:eastAsia="Cambria" w:hAnsi="Cambria" w:cs="Cambria"/>
        </w:rPr>
      </w:pPr>
      <w:r>
        <w:rPr>
          <w:rFonts w:ascii="Cambria" w:eastAsia="Cambria" w:hAnsi="Cambria" w:cs="Cambria"/>
          <w:b/>
          <w:bCs/>
        </w:rPr>
        <w:t xml:space="preserve">„Příjemcem” </w:t>
      </w:r>
      <w:r>
        <w:rPr>
          <w:rFonts w:ascii="Cambria" w:eastAsia="Cambria" w:hAnsi="Cambria" w:cs="Cambria"/>
        </w:rPr>
        <w:t>uchazeč, v jehož prospěch bylo o poskytnutí podpory poskytovatelem</w:t>
      </w:r>
      <w:r>
        <w:rPr>
          <w:rFonts w:ascii="Cambria" w:eastAsia="Cambria" w:hAnsi="Cambria" w:cs="Cambria"/>
          <w:b/>
          <w:bCs/>
        </w:rPr>
        <w:t xml:space="preserve"> </w:t>
      </w:r>
      <w:r>
        <w:rPr>
          <w:rFonts w:ascii="Cambria" w:eastAsia="Cambria" w:hAnsi="Cambria" w:cs="Cambria"/>
        </w:rPr>
        <w:t>rozhodnuto, přičemž rozhodným dnem je den doručení tohoto rozhodnutí, a kterému pokud se stanoví práva a povinnosti, stanoví se tak společně hlavnímu příjemci a dalším účastníkům,</w:t>
      </w:r>
    </w:p>
    <w:p w:rsidR="00D4760A" w:rsidRDefault="00D4760A">
      <w:pPr>
        <w:spacing w:line="124" w:lineRule="exact"/>
        <w:rPr>
          <w:rFonts w:ascii="Cambria" w:eastAsia="Cambria" w:hAnsi="Cambria" w:cs="Cambria"/>
        </w:rPr>
      </w:pPr>
    </w:p>
    <w:p w:rsidR="00D4760A" w:rsidRDefault="00B93A8D">
      <w:pPr>
        <w:numPr>
          <w:ilvl w:val="0"/>
          <w:numId w:val="4"/>
        </w:numPr>
        <w:tabs>
          <w:tab w:val="left" w:pos="400"/>
        </w:tabs>
        <w:ind w:left="400" w:hanging="349"/>
        <w:rPr>
          <w:rFonts w:ascii="Cambria" w:eastAsia="Cambria" w:hAnsi="Cambria" w:cs="Cambria"/>
        </w:rPr>
      </w:pPr>
      <w:r>
        <w:rPr>
          <w:rFonts w:ascii="Cambria" w:eastAsia="Cambria" w:hAnsi="Cambria" w:cs="Cambria"/>
          <w:b/>
          <w:bCs/>
        </w:rPr>
        <w:t xml:space="preserve">„Rámcem” </w:t>
      </w:r>
      <w:r>
        <w:rPr>
          <w:rFonts w:ascii="Cambria" w:eastAsia="Cambria" w:hAnsi="Cambria" w:cs="Cambria"/>
        </w:rPr>
        <w:t>Sdělení Komise</w:t>
      </w:r>
      <w:r>
        <w:rPr>
          <w:rFonts w:ascii="Cambria" w:eastAsia="Cambria" w:hAnsi="Cambria" w:cs="Cambria"/>
          <w:b/>
          <w:bCs/>
        </w:rPr>
        <w:t xml:space="preserve"> </w:t>
      </w:r>
      <w:r>
        <w:rPr>
          <w:rFonts w:ascii="Cambria" w:eastAsia="Cambria" w:hAnsi="Cambria" w:cs="Cambria"/>
        </w:rPr>
        <w:t>-</w:t>
      </w:r>
      <w:r>
        <w:rPr>
          <w:rFonts w:ascii="Cambria" w:eastAsia="Cambria" w:hAnsi="Cambria" w:cs="Cambria"/>
          <w:b/>
          <w:bCs/>
        </w:rPr>
        <w:t xml:space="preserve"> </w:t>
      </w:r>
      <w:r>
        <w:rPr>
          <w:rFonts w:ascii="Cambria" w:eastAsia="Cambria" w:hAnsi="Cambria" w:cs="Cambria"/>
        </w:rPr>
        <w:t>Rámec pro státní podporu výzkumu, vývoje a inovací (2014/C</w:t>
      </w:r>
    </w:p>
    <w:p w:rsidR="00D4760A" w:rsidRDefault="00D4760A">
      <w:pPr>
        <w:spacing w:line="37" w:lineRule="exact"/>
        <w:rPr>
          <w:rFonts w:ascii="Cambria" w:eastAsia="Cambria" w:hAnsi="Cambria" w:cs="Cambria"/>
        </w:rPr>
      </w:pPr>
    </w:p>
    <w:p w:rsidR="00D4760A" w:rsidRDefault="00B93A8D">
      <w:pPr>
        <w:ind w:left="400"/>
        <w:rPr>
          <w:rFonts w:ascii="Cambria" w:eastAsia="Cambria" w:hAnsi="Cambria" w:cs="Cambria"/>
        </w:rPr>
      </w:pPr>
      <w:r>
        <w:rPr>
          <w:rFonts w:ascii="Cambria" w:eastAsia="Cambria" w:hAnsi="Cambria" w:cs="Cambria"/>
        </w:rPr>
        <w:t>198/01),</w:t>
      </w:r>
    </w:p>
    <w:p w:rsidR="00D4760A" w:rsidRDefault="00D4760A">
      <w:pPr>
        <w:spacing w:line="159" w:lineRule="exact"/>
        <w:rPr>
          <w:rFonts w:ascii="Cambria" w:eastAsia="Cambria" w:hAnsi="Cambria" w:cs="Cambria"/>
        </w:rPr>
      </w:pPr>
    </w:p>
    <w:p w:rsidR="00D4760A" w:rsidRDefault="00B93A8D">
      <w:pPr>
        <w:numPr>
          <w:ilvl w:val="0"/>
          <w:numId w:val="4"/>
        </w:numPr>
        <w:tabs>
          <w:tab w:val="left" w:pos="400"/>
        </w:tabs>
        <w:spacing w:line="274" w:lineRule="auto"/>
        <w:ind w:left="400" w:hanging="349"/>
        <w:rPr>
          <w:rFonts w:ascii="Cambria" w:eastAsia="Cambria" w:hAnsi="Cambria" w:cs="Cambria"/>
        </w:rPr>
      </w:pPr>
      <w:r>
        <w:rPr>
          <w:rFonts w:ascii="Cambria" w:eastAsia="Cambria" w:hAnsi="Cambria" w:cs="Cambria"/>
          <w:b/>
          <w:bCs/>
        </w:rPr>
        <w:t xml:space="preserve">„Rozpočtovými pravidly” </w:t>
      </w:r>
      <w:r>
        <w:rPr>
          <w:rFonts w:ascii="Cambria" w:eastAsia="Cambria" w:hAnsi="Cambria" w:cs="Cambria"/>
        </w:rPr>
        <w:t>zákon č. 218/2000 Sb., o rozpočtových pravidlech a o změně</w:t>
      </w:r>
      <w:r>
        <w:rPr>
          <w:rFonts w:ascii="Cambria" w:eastAsia="Cambria" w:hAnsi="Cambria" w:cs="Cambria"/>
          <w:b/>
          <w:bCs/>
        </w:rPr>
        <w:t xml:space="preserve"> </w:t>
      </w:r>
      <w:r>
        <w:rPr>
          <w:rFonts w:ascii="Cambria" w:eastAsia="Cambria" w:hAnsi="Cambria" w:cs="Cambria"/>
        </w:rPr>
        <w:t>některých souvisejících zákonů (rozpočtová pravidla), ve znění pozdějších předpisů,</w:t>
      </w:r>
    </w:p>
    <w:p w:rsidR="00D4760A" w:rsidRDefault="00D4760A">
      <w:pPr>
        <w:spacing w:line="123" w:lineRule="exact"/>
        <w:rPr>
          <w:rFonts w:ascii="Cambria" w:eastAsia="Cambria" w:hAnsi="Cambria" w:cs="Cambria"/>
        </w:rPr>
      </w:pPr>
    </w:p>
    <w:p w:rsidR="00D4760A" w:rsidRDefault="00B93A8D">
      <w:pPr>
        <w:numPr>
          <w:ilvl w:val="0"/>
          <w:numId w:val="4"/>
        </w:numPr>
        <w:tabs>
          <w:tab w:val="left" w:pos="400"/>
        </w:tabs>
        <w:ind w:left="400" w:hanging="349"/>
        <w:rPr>
          <w:rFonts w:ascii="Cambria" w:eastAsia="Cambria" w:hAnsi="Cambria" w:cs="Cambria"/>
        </w:rPr>
      </w:pPr>
      <w:r>
        <w:rPr>
          <w:rFonts w:ascii="Cambria" w:eastAsia="Cambria" w:hAnsi="Cambria" w:cs="Cambria"/>
          <w:b/>
          <w:bCs/>
        </w:rPr>
        <w:t xml:space="preserve">„Řešitelem” </w:t>
      </w:r>
      <w:r>
        <w:rPr>
          <w:rFonts w:ascii="Cambria" w:eastAsia="Cambria" w:hAnsi="Cambria" w:cs="Cambria"/>
        </w:rPr>
        <w:t>fyzická osoba odpovědná příjemci za odbornou úroveň projektu,</w:t>
      </w:r>
    </w:p>
    <w:p w:rsidR="00D4760A" w:rsidRDefault="00D4760A">
      <w:pPr>
        <w:spacing w:line="159" w:lineRule="exact"/>
        <w:rPr>
          <w:rFonts w:ascii="Cambria" w:eastAsia="Cambria" w:hAnsi="Cambria" w:cs="Cambria"/>
        </w:rPr>
      </w:pPr>
    </w:p>
    <w:p w:rsidR="00D4760A" w:rsidRDefault="00B93A8D">
      <w:pPr>
        <w:numPr>
          <w:ilvl w:val="0"/>
          <w:numId w:val="4"/>
        </w:numPr>
        <w:tabs>
          <w:tab w:val="left" w:pos="400"/>
        </w:tabs>
        <w:spacing w:line="274" w:lineRule="auto"/>
        <w:ind w:left="400" w:hanging="349"/>
        <w:rPr>
          <w:rFonts w:ascii="Cambria" w:eastAsia="Cambria" w:hAnsi="Cambria" w:cs="Cambria"/>
        </w:rPr>
      </w:pPr>
      <w:r>
        <w:rPr>
          <w:rFonts w:ascii="Cambria" w:eastAsia="Cambria" w:hAnsi="Cambria" w:cs="Cambria"/>
          <w:b/>
          <w:bCs/>
        </w:rPr>
        <w:t xml:space="preserve">„Smlouvou o účasti na řešení projektu” </w:t>
      </w:r>
      <w:r>
        <w:rPr>
          <w:rFonts w:ascii="Cambria" w:eastAsia="Cambria" w:hAnsi="Cambria" w:cs="Cambria"/>
        </w:rPr>
        <w:t>smlouva uzavřená mezi hlavním příjemcem a dalšími</w:t>
      </w:r>
      <w:r>
        <w:rPr>
          <w:rFonts w:ascii="Cambria" w:eastAsia="Cambria" w:hAnsi="Cambria" w:cs="Cambria"/>
          <w:b/>
          <w:bCs/>
        </w:rPr>
        <w:t xml:space="preserve"> </w:t>
      </w:r>
      <w:r>
        <w:rPr>
          <w:rFonts w:ascii="Cambria" w:eastAsia="Cambria" w:hAnsi="Cambria" w:cs="Cambria"/>
        </w:rPr>
        <w:t>účastníky v souladu s § 2 odst. 2 písm. h) ZPVV,</w:t>
      </w:r>
    </w:p>
    <w:p w:rsidR="00D4760A" w:rsidRDefault="00D4760A">
      <w:pPr>
        <w:spacing w:line="123" w:lineRule="exact"/>
        <w:rPr>
          <w:rFonts w:ascii="Cambria" w:eastAsia="Cambria" w:hAnsi="Cambria" w:cs="Cambria"/>
        </w:rPr>
      </w:pPr>
    </w:p>
    <w:p w:rsidR="00D4760A" w:rsidRDefault="00B93A8D">
      <w:pPr>
        <w:numPr>
          <w:ilvl w:val="0"/>
          <w:numId w:val="4"/>
        </w:numPr>
        <w:tabs>
          <w:tab w:val="left" w:pos="460"/>
        </w:tabs>
        <w:ind w:left="460" w:hanging="409"/>
        <w:rPr>
          <w:rFonts w:ascii="Cambria" w:eastAsia="Cambria" w:hAnsi="Cambria" w:cs="Cambria"/>
        </w:rPr>
      </w:pPr>
      <w:r>
        <w:rPr>
          <w:rFonts w:ascii="Cambria" w:eastAsia="Cambria" w:hAnsi="Cambria" w:cs="Cambria"/>
          <w:b/>
          <w:bCs/>
        </w:rPr>
        <w:t xml:space="preserve">„Uznanými náklady” </w:t>
      </w:r>
      <w:r>
        <w:rPr>
          <w:rFonts w:ascii="Cambria" w:eastAsia="Cambria" w:hAnsi="Cambria" w:cs="Cambria"/>
        </w:rPr>
        <w:t>náklady ve smyslu § 2 odst. 2 písm. l) ZPVV,</w:t>
      </w:r>
    </w:p>
    <w:p w:rsidR="00D4760A" w:rsidRDefault="00D4760A">
      <w:pPr>
        <w:spacing w:line="158" w:lineRule="exact"/>
        <w:rPr>
          <w:rFonts w:ascii="Cambria" w:eastAsia="Cambria" w:hAnsi="Cambria" w:cs="Cambria"/>
        </w:rPr>
      </w:pPr>
    </w:p>
    <w:p w:rsidR="00D4760A" w:rsidRDefault="00B93A8D">
      <w:pPr>
        <w:numPr>
          <w:ilvl w:val="0"/>
          <w:numId w:val="4"/>
        </w:numPr>
        <w:tabs>
          <w:tab w:val="left" w:pos="400"/>
        </w:tabs>
        <w:spacing w:line="276" w:lineRule="auto"/>
        <w:ind w:left="400" w:hanging="349"/>
        <w:jc w:val="both"/>
        <w:rPr>
          <w:rFonts w:ascii="Cambria" w:eastAsia="Cambria" w:hAnsi="Cambria" w:cs="Cambria"/>
        </w:rPr>
      </w:pPr>
      <w:r>
        <w:rPr>
          <w:rFonts w:ascii="Cambria" w:eastAsia="Cambria" w:hAnsi="Cambria" w:cs="Cambria"/>
          <w:b/>
          <w:bCs/>
        </w:rPr>
        <w:t xml:space="preserve">„Veřejnosprávní kontrolou“ </w:t>
      </w:r>
      <w:r>
        <w:rPr>
          <w:rFonts w:ascii="Cambria" w:eastAsia="Cambria" w:hAnsi="Cambria" w:cs="Cambria"/>
        </w:rPr>
        <w:t>kontrola prováděná u příjemců veřejné finanční podpory nebo</w:t>
      </w:r>
      <w:r>
        <w:rPr>
          <w:rFonts w:ascii="Cambria" w:eastAsia="Cambria" w:hAnsi="Cambria" w:cs="Cambria"/>
          <w:b/>
          <w:bCs/>
        </w:rPr>
        <w:t xml:space="preserve"> </w:t>
      </w:r>
      <w:r>
        <w:rPr>
          <w:rFonts w:ascii="Cambria" w:eastAsia="Cambria" w:hAnsi="Cambria" w:cs="Cambria"/>
        </w:rPr>
        <w:t>u uchazečů o veřejnou finanční podporu poskytovatelem jako kontrolním orgánem ve smyslu § 3 odst. 1 písm. a) zákona č. 320/2001 Sb., o finanční kontrole,</w:t>
      </w:r>
    </w:p>
    <w:p w:rsidR="00D4760A" w:rsidRDefault="00D4760A">
      <w:pPr>
        <w:spacing w:line="120" w:lineRule="exact"/>
        <w:rPr>
          <w:rFonts w:ascii="Cambria" w:eastAsia="Cambria" w:hAnsi="Cambria" w:cs="Cambria"/>
        </w:rPr>
      </w:pPr>
    </w:p>
    <w:p w:rsidR="00D4760A" w:rsidRDefault="00B93A8D">
      <w:pPr>
        <w:numPr>
          <w:ilvl w:val="0"/>
          <w:numId w:val="4"/>
        </w:numPr>
        <w:tabs>
          <w:tab w:val="left" w:pos="400"/>
        </w:tabs>
        <w:spacing w:line="276" w:lineRule="auto"/>
        <w:ind w:left="400" w:right="20" w:hanging="349"/>
        <w:rPr>
          <w:rFonts w:ascii="Cambria" w:eastAsia="Cambria" w:hAnsi="Cambria" w:cs="Cambria"/>
        </w:rPr>
      </w:pPr>
      <w:r>
        <w:rPr>
          <w:rFonts w:ascii="Cambria" w:eastAsia="Cambria" w:hAnsi="Cambria" w:cs="Cambria"/>
          <w:b/>
          <w:bCs/>
        </w:rPr>
        <w:t xml:space="preserve">„Veřejnou podporou” </w:t>
      </w:r>
      <w:r>
        <w:rPr>
          <w:rFonts w:ascii="Cambria" w:eastAsia="Cambria" w:hAnsi="Cambria" w:cs="Cambria"/>
        </w:rPr>
        <w:t>podpora ve smyslu článku 107 odst. 1 Smlouvy o fungování Evropské</w:t>
      </w:r>
      <w:r>
        <w:rPr>
          <w:rFonts w:ascii="Cambria" w:eastAsia="Cambria" w:hAnsi="Cambria" w:cs="Cambria"/>
          <w:b/>
          <w:bCs/>
        </w:rPr>
        <w:t xml:space="preserve"> </w:t>
      </w:r>
      <w:r>
        <w:rPr>
          <w:rFonts w:ascii="Cambria" w:eastAsia="Cambria" w:hAnsi="Cambria" w:cs="Cambria"/>
        </w:rPr>
        <w:t>unie,</w:t>
      </w:r>
    </w:p>
    <w:p w:rsidR="00D4760A" w:rsidRDefault="00D4760A">
      <w:pPr>
        <w:spacing w:line="119" w:lineRule="exact"/>
        <w:rPr>
          <w:rFonts w:ascii="Cambria" w:eastAsia="Cambria" w:hAnsi="Cambria" w:cs="Cambria"/>
        </w:rPr>
      </w:pPr>
    </w:p>
    <w:p w:rsidR="00D4760A" w:rsidRDefault="00B93A8D">
      <w:pPr>
        <w:numPr>
          <w:ilvl w:val="0"/>
          <w:numId w:val="4"/>
        </w:numPr>
        <w:tabs>
          <w:tab w:val="left" w:pos="400"/>
        </w:tabs>
        <w:ind w:left="400" w:hanging="349"/>
        <w:rPr>
          <w:rFonts w:ascii="Cambria" w:eastAsia="Cambria" w:hAnsi="Cambria" w:cs="Cambria"/>
        </w:rPr>
      </w:pPr>
      <w:r>
        <w:rPr>
          <w:rFonts w:ascii="Cambria" w:eastAsia="Cambria" w:hAnsi="Cambria" w:cs="Cambria"/>
          <w:b/>
          <w:bCs/>
        </w:rPr>
        <w:t xml:space="preserve">„Veřejnou soutěží” </w:t>
      </w:r>
      <w:r>
        <w:rPr>
          <w:rFonts w:ascii="Cambria" w:eastAsia="Cambria" w:hAnsi="Cambria" w:cs="Cambria"/>
        </w:rPr>
        <w:t>veřejná soutěž ve výzkumu, vývoji a inovacích podle Hlavy V</w:t>
      </w:r>
      <w:r>
        <w:rPr>
          <w:rFonts w:ascii="Cambria" w:eastAsia="Cambria" w:hAnsi="Cambria" w:cs="Cambria"/>
          <w:b/>
          <w:bCs/>
        </w:rPr>
        <w:t xml:space="preserve"> </w:t>
      </w:r>
      <w:r>
        <w:rPr>
          <w:rFonts w:ascii="Cambria" w:eastAsia="Cambria" w:hAnsi="Cambria" w:cs="Cambria"/>
        </w:rPr>
        <w:t>ZPVV,</w:t>
      </w:r>
    </w:p>
    <w:p w:rsidR="00D4760A" w:rsidRDefault="00D4760A">
      <w:pPr>
        <w:spacing w:line="160" w:lineRule="exact"/>
        <w:rPr>
          <w:sz w:val="20"/>
          <w:szCs w:val="20"/>
        </w:rPr>
      </w:pPr>
    </w:p>
    <w:p w:rsidR="00D4760A" w:rsidRDefault="00B93A8D">
      <w:pPr>
        <w:numPr>
          <w:ilvl w:val="0"/>
          <w:numId w:val="5"/>
        </w:numPr>
        <w:tabs>
          <w:tab w:val="left" w:pos="400"/>
        </w:tabs>
        <w:spacing w:line="274" w:lineRule="auto"/>
        <w:ind w:left="400" w:hanging="349"/>
        <w:rPr>
          <w:rFonts w:ascii="Cambria" w:eastAsia="Cambria" w:hAnsi="Cambria" w:cs="Cambria"/>
        </w:rPr>
      </w:pPr>
      <w:r>
        <w:rPr>
          <w:rFonts w:ascii="Cambria" w:eastAsia="Cambria" w:hAnsi="Cambria" w:cs="Cambria"/>
          <w:b/>
          <w:bCs/>
        </w:rPr>
        <w:t>„Veřejnou zakázkou ve výzkumu, vývoji a inovacích</w:t>
      </w:r>
      <w:r>
        <w:rPr>
          <w:rFonts w:ascii="Cambria" w:eastAsia="Cambria" w:hAnsi="Cambria" w:cs="Cambria"/>
        </w:rPr>
        <w:t>“ zakázka na služby v aplikovaném</w:t>
      </w:r>
      <w:r>
        <w:rPr>
          <w:rFonts w:ascii="Cambria" w:eastAsia="Cambria" w:hAnsi="Cambria" w:cs="Cambria"/>
          <w:b/>
          <w:bCs/>
        </w:rPr>
        <w:t xml:space="preserve"> </w:t>
      </w:r>
      <w:r>
        <w:rPr>
          <w:rFonts w:ascii="Cambria" w:eastAsia="Cambria" w:hAnsi="Cambria" w:cs="Cambria"/>
        </w:rPr>
        <w:t>výzkumu, vývoji nebo inovacích podle § 2 odst. 2, písm. e) ZPVV,</w:t>
      </w:r>
    </w:p>
    <w:p w:rsidR="00D4760A" w:rsidRDefault="00D4760A">
      <w:pPr>
        <w:spacing w:line="123" w:lineRule="exact"/>
        <w:rPr>
          <w:rFonts w:ascii="Cambria" w:eastAsia="Cambria" w:hAnsi="Cambria" w:cs="Cambria"/>
        </w:rPr>
      </w:pPr>
    </w:p>
    <w:p w:rsidR="00D4760A" w:rsidRDefault="00B93A8D">
      <w:pPr>
        <w:numPr>
          <w:ilvl w:val="0"/>
          <w:numId w:val="5"/>
        </w:numPr>
        <w:tabs>
          <w:tab w:val="left" w:pos="400"/>
        </w:tabs>
        <w:ind w:left="400" w:hanging="349"/>
        <w:rPr>
          <w:rFonts w:ascii="Cambria" w:eastAsia="Cambria" w:hAnsi="Cambria" w:cs="Cambria"/>
        </w:rPr>
      </w:pPr>
      <w:r>
        <w:rPr>
          <w:rFonts w:ascii="Cambria" w:eastAsia="Cambria" w:hAnsi="Cambria" w:cs="Cambria"/>
          <w:b/>
          <w:bCs/>
        </w:rPr>
        <w:t xml:space="preserve">„Výsledek projektu” </w:t>
      </w:r>
      <w:r>
        <w:rPr>
          <w:rFonts w:ascii="Cambria" w:eastAsia="Cambria" w:hAnsi="Cambria" w:cs="Cambria"/>
        </w:rPr>
        <w:t>výsledek ve smyslu § 2 odst. 2 písm. i) ZPVV,</w:t>
      </w:r>
    </w:p>
    <w:p w:rsidR="00D4760A" w:rsidRDefault="00B93A8D">
      <w:pPr>
        <w:spacing w:line="20" w:lineRule="exact"/>
        <w:rPr>
          <w:sz w:val="20"/>
          <w:szCs w:val="20"/>
        </w:rPr>
      </w:pPr>
      <w:r>
        <w:rPr>
          <w:noProof/>
          <w:sz w:val="20"/>
          <w:szCs w:val="20"/>
        </w:rPr>
        <w:drawing>
          <wp:anchor distT="0" distB="0" distL="114300" distR="114300" simplePos="0" relativeHeight="251640320" behindDoc="1" locked="0" layoutInCell="0" allowOverlap="1">
            <wp:simplePos x="0" y="0"/>
            <wp:positionH relativeFrom="column">
              <wp:posOffset>-913765</wp:posOffset>
            </wp:positionH>
            <wp:positionV relativeFrom="paragraph">
              <wp:posOffset>247015</wp:posOffset>
            </wp:positionV>
            <wp:extent cx="3601085" cy="960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53"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3/23</w:t>
      </w:r>
    </w:p>
    <w:p w:rsidR="00D4760A" w:rsidRDefault="00D4760A">
      <w:pPr>
        <w:sectPr w:rsidR="00D4760A">
          <w:pgSz w:w="11900" w:h="16838"/>
          <w:pgMar w:top="1440" w:right="1126" w:bottom="311" w:left="1440" w:header="0" w:footer="0" w:gutter="0"/>
          <w:cols w:space="708" w:equalWidth="0">
            <w:col w:w="934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41344"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6"/>
        </w:numPr>
        <w:tabs>
          <w:tab w:val="left" w:pos="755"/>
        </w:tabs>
        <w:spacing w:line="276" w:lineRule="auto"/>
        <w:ind w:left="707" w:hanging="349"/>
        <w:rPr>
          <w:rFonts w:ascii="Cambria" w:eastAsia="Cambria" w:hAnsi="Cambria" w:cs="Cambria"/>
        </w:rPr>
      </w:pPr>
      <w:r>
        <w:rPr>
          <w:rFonts w:ascii="Cambria" w:eastAsia="Cambria" w:hAnsi="Cambria" w:cs="Cambria"/>
          <w:b/>
          <w:bCs/>
        </w:rPr>
        <w:t xml:space="preserve">„Výzkumnou organizací” </w:t>
      </w:r>
      <w:r>
        <w:rPr>
          <w:rFonts w:ascii="Cambria" w:eastAsia="Cambria" w:hAnsi="Cambria" w:cs="Cambria"/>
        </w:rPr>
        <w:t>organizace pro výzkum a šíření znalostí ve smyslu článku. II odst. 83</w:t>
      </w:r>
      <w:r>
        <w:rPr>
          <w:rFonts w:ascii="Cambria" w:eastAsia="Cambria" w:hAnsi="Cambria" w:cs="Cambria"/>
          <w:b/>
          <w:bCs/>
        </w:rPr>
        <w:t xml:space="preserve"> </w:t>
      </w:r>
      <w:r>
        <w:rPr>
          <w:rFonts w:ascii="Cambria" w:eastAsia="Cambria" w:hAnsi="Cambria" w:cs="Cambria"/>
        </w:rPr>
        <w:t>Nařízení,</w:t>
      </w:r>
    </w:p>
    <w:p w:rsidR="00D4760A" w:rsidRDefault="00D4760A">
      <w:pPr>
        <w:spacing w:line="119" w:lineRule="exact"/>
        <w:rPr>
          <w:rFonts w:ascii="Cambria" w:eastAsia="Cambria" w:hAnsi="Cambria" w:cs="Cambria"/>
        </w:rPr>
      </w:pPr>
    </w:p>
    <w:p w:rsidR="00D4760A" w:rsidRDefault="00B93A8D">
      <w:pPr>
        <w:numPr>
          <w:ilvl w:val="0"/>
          <w:numId w:val="6"/>
        </w:numPr>
        <w:tabs>
          <w:tab w:val="left" w:pos="707"/>
        </w:tabs>
        <w:spacing w:line="275" w:lineRule="auto"/>
        <w:ind w:left="707" w:right="20" w:hanging="349"/>
        <w:jc w:val="both"/>
        <w:rPr>
          <w:rFonts w:ascii="Cambria" w:eastAsia="Cambria" w:hAnsi="Cambria" w:cs="Cambria"/>
        </w:rPr>
      </w:pPr>
      <w:r>
        <w:rPr>
          <w:rFonts w:ascii="Cambria" w:eastAsia="Cambria" w:hAnsi="Cambria" w:cs="Cambria"/>
          <w:b/>
          <w:bCs/>
        </w:rPr>
        <w:t xml:space="preserve">„ZPVV” </w:t>
      </w:r>
      <w:r>
        <w:rPr>
          <w:rFonts w:ascii="Cambria" w:eastAsia="Cambria" w:hAnsi="Cambria" w:cs="Cambria"/>
        </w:rPr>
        <w:t>zákon č. 130/2002 Sb., o podpoře výzkumu, experimentálního vývoje a inovací</w:t>
      </w:r>
      <w:r>
        <w:rPr>
          <w:rFonts w:ascii="Cambria" w:eastAsia="Cambria" w:hAnsi="Cambria" w:cs="Cambria"/>
          <w:b/>
          <w:bCs/>
        </w:rPr>
        <w:t xml:space="preserve"> </w:t>
      </w:r>
      <w:r>
        <w:rPr>
          <w:rFonts w:ascii="Cambria" w:eastAsia="Cambria" w:hAnsi="Cambria" w:cs="Cambria"/>
        </w:rPr>
        <w:t>z veřejných prostředků a o změně některých souvisejících zákonů (zákon o podpoře výzkumu, experimentálního vývoje a inovací),</w:t>
      </w:r>
    </w:p>
    <w:p w:rsidR="00D4760A" w:rsidRDefault="00D4760A">
      <w:pPr>
        <w:spacing w:line="123" w:lineRule="exact"/>
        <w:rPr>
          <w:rFonts w:ascii="Cambria" w:eastAsia="Cambria" w:hAnsi="Cambria" w:cs="Cambria"/>
        </w:rPr>
      </w:pPr>
    </w:p>
    <w:p w:rsidR="00D4760A" w:rsidRDefault="00B93A8D">
      <w:pPr>
        <w:numPr>
          <w:ilvl w:val="0"/>
          <w:numId w:val="6"/>
        </w:numPr>
        <w:tabs>
          <w:tab w:val="left" w:pos="707"/>
        </w:tabs>
        <w:ind w:left="707" w:hanging="349"/>
        <w:rPr>
          <w:rFonts w:ascii="Cambria" w:eastAsia="Cambria" w:hAnsi="Cambria" w:cs="Cambria"/>
        </w:rPr>
      </w:pPr>
      <w:r>
        <w:rPr>
          <w:rFonts w:ascii="Cambria" w:eastAsia="Cambria" w:hAnsi="Cambria" w:cs="Cambria"/>
          <w:b/>
          <w:bCs/>
        </w:rPr>
        <w:t xml:space="preserve">“ZVZ” </w:t>
      </w:r>
      <w:r>
        <w:rPr>
          <w:rFonts w:ascii="Cambria" w:eastAsia="Cambria" w:hAnsi="Cambria" w:cs="Cambria"/>
        </w:rPr>
        <w:t>zákon č. 134/2016 Sb., o zadávání veřejných zakázek,</w:t>
      </w:r>
    </w:p>
    <w:p w:rsidR="00D4760A" w:rsidRDefault="00D4760A">
      <w:pPr>
        <w:spacing w:line="160" w:lineRule="exact"/>
        <w:rPr>
          <w:rFonts w:ascii="Cambria" w:eastAsia="Cambria" w:hAnsi="Cambria" w:cs="Cambria"/>
        </w:rPr>
      </w:pPr>
    </w:p>
    <w:p w:rsidR="00D4760A" w:rsidRDefault="00B93A8D">
      <w:pPr>
        <w:numPr>
          <w:ilvl w:val="0"/>
          <w:numId w:val="6"/>
        </w:numPr>
        <w:tabs>
          <w:tab w:val="left" w:pos="707"/>
        </w:tabs>
        <w:ind w:left="707" w:hanging="349"/>
        <w:rPr>
          <w:rFonts w:ascii="Cambria" w:eastAsia="Cambria" w:hAnsi="Cambria" w:cs="Cambria"/>
        </w:rPr>
      </w:pPr>
      <w:r>
        <w:rPr>
          <w:rFonts w:ascii="Cambria" w:eastAsia="Cambria" w:hAnsi="Cambria" w:cs="Cambria"/>
          <w:b/>
          <w:bCs/>
        </w:rPr>
        <w:t xml:space="preserve">„Způsobilými náklady” </w:t>
      </w:r>
      <w:r>
        <w:rPr>
          <w:rFonts w:ascii="Cambria" w:eastAsia="Cambria" w:hAnsi="Cambria" w:cs="Cambria"/>
        </w:rPr>
        <w:t>náklady ve smyslu § 2 odst. 2 písm. k) ZPVV.</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56" w:lineRule="exact"/>
        <w:rPr>
          <w:sz w:val="20"/>
          <w:szCs w:val="20"/>
        </w:rPr>
      </w:pPr>
    </w:p>
    <w:p w:rsidR="00D4760A" w:rsidRDefault="00B93A8D">
      <w:pPr>
        <w:spacing w:line="277" w:lineRule="auto"/>
        <w:ind w:right="13"/>
        <w:jc w:val="center"/>
        <w:rPr>
          <w:sz w:val="20"/>
          <w:szCs w:val="20"/>
        </w:rPr>
      </w:pPr>
      <w:r>
        <w:rPr>
          <w:rFonts w:ascii="Cambria" w:eastAsia="Cambria" w:hAnsi="Cambria" w:cs="Cambria"/>
          <w:b/>
          <w:bCs/>
          <w:sz w:val="28"/>
          <w:szCs w:val="28"/>
        </w:rPr>
        <w:t>Část B – Práva a povinnosti smluvních stran, důsledky jejich porušení a ukončení Smlouvy</w:t>
      </w:r>
    </w:p>
    <w:p w:rsidR="00D4760A" w:rsidRDefault="00D4760A">
      <w:pPr>
        <w:spacing w:line="240" w:lineRule="exact"/>
        <w:rPr>
          <w:sz w:val="20"/>
          <w:szCs w:val="20"/>
        </w:rPr>
      </w:pPr>
    </w:p>
    <w:p w:rsidR="00D4760A" w:rsidRDefault="00B93A8D">
      <w:pPr>
        <w:ind w:right="-6"/>
        <w:jc w:val="center"/>
        <w:rPr>
          <w:sz w:val="20"/>
          <w:szCs w:val="20"/>
        </w:rPr>
      </w:pPr>
      <w:r>
        <w:rPr>
          <w:rFonts w:ascii="Cambria" w:eastAsia="Cambria" w:hAnsi="Cambria" w:cs="Cambria"/>
          <w:b/>
          <w:bCs/>
          <w:i/>
          <w:iCs/>
        </w:rPr>
        <w:t>Článek 3</w:t>
      </w:r>
    </w:p>
    <w:p w:rsidR="00D4760A" w:rsidRDefault="00D4760A">
      <w:pPr>
        <w:spacing w:line="37" w:lineRule="exact"/>
        <w:rPr>
          <w:sz w:val="20"/>
          <w:szCs w:val="20"/>
        </w:rPr>
      </w:pPr>
    </w:p>
    <w:p w:rsidR="00D4760A" w:rsidRDefault="00B93A8D">
      <w:pPr>
        <w:ind w:right="-6"/>
        <w:jc w:val="center"/>
        <w:rPr>
          <w:sz w:val="20"/>
          <w:szCs w:val="20"/>
        </w:rPr>
      </w:pPr>
      <w:r>
        <w:rPr>
          <w:rFonts w:ascii="Cambria" w:eastAsia="Cambria" w:hAnsi="Cambria" w:cs="Cambria"/>
          <w:b/>
          <w:bCs/>
          <w:i/>
          <w:iCs/>
        </w:rPr>
        <w:t>Poskytnutí podpory</w:t>
      </w:r>
    </w:p>
    <w:p w:rsidR="00D4760A" w:rsidRDefault="00D4760A">
      <w:pPr>
        <w:spacing w:line="160" w:lineRule="exact"/>
        <w:rPr>
          <w:sz w:val="20"/>
          <w:szCs w:val="20"/>
        </w:rPr>
      </w:pPr>
    </w:p>
    <w:p w:rsidR="00D4760A" w:rsidRDefault="00B93A8D">
      <w:pPr>
        <w:numPr>
          <w:ilvl w:val="0"/>
          <w:numId w:val="7"/>
        </w:numPr>
        <w:tabs>
          <w:tab w:val="left" w:pos="427"/>
        </w:tabs>
        <w:spacing w:line="276" w:lineRule="auto"/>
        <w:ind w:left="427" w:hanging="427"/>
        <w:rPr>
          <w:rFonts w:ascii="Cambria" w:eastAsia="Cambria" w:hAnsi="Cambria" w:cs="Cambria"/>
          <w:b/>
          <w:bCs/>
        </w:rPr>
      </w:pPr>
      <w:r>
        <w:rPr>
          <w:rFonts w:ascii="Cambria" w:eastAsia="Cambria" w:hAnsi="Cambria" w:cs="Cambria"/>
        </w:rPr>
        <w:t>Poskytovatel poskytuje hlavnímu příjemci podporu na základě Smlouvy a za podmínek v ní uvedených včetně podpory určené dalším účastníkům.</w:t>
      </w:r>
    </w:p>
    <w:p w:rsidR="00D4760A" w:rsidRDefault="00D4760A">
      <w:pPr>
        <w:spacing w:line="119" w:lineRule="exact"/>
        <w:rPr>
          <w:rFonts w:ascii="Cambria" w:eastAsia="Cambria" w:hAnsi="Cambria" w:cs="Cambria"/>
          <w:b/>
          <w:bCs/>
        </w:rPr>
      </w:pPr>
    </w:p>
    <w:p w:rsidR="00D4760A" w:rsidRDefault="00B93A8D">
      <w:pPr>
        <w:numPr>
          <w:ilvl w:val="0"/>
          <w:numId w:val="7"/>
        </w:numPr>
        <w:tabs>
          <w:tab w:val="left" w:pos="427"/>
        </w:tabs>
        <w:spacing w:line="276" w:lineRule="auto"/>
        <w:ind w:left="427" w:right="20" w:hanging="427"/>
        <w:jc w:val="both"/>
        <w:rPr>
          <w:rFonts w:ascii="Cambria" w:eastAsia="Cambria" w:hAnsi="Cambria" w:cs="Cambria"/>
          <w:b/>
          <w:bCs/>
        </w:rPr>
      </w:pPr>
      <w:r>
        <w:rPr>
          <w:rFonts w:ascii="Cambria" w:eastAsia="Cambria" w:hAnsi="Cambria" w:cs="Cambria"/>
        </w:rPr>
        <w:t>Poskytovatel se zavazuje po provedení veřejné soutěže či veřejné zakázky poskytnout podporu na řešení ve výši uvedené v Závazných parametrech řešení projektu způsobem uvedeným ve specifických podmínkách Smlouvy. Harmonogram plateb je uveden v Závazných parametrech řešení projektu.</w:t>
      </w:r>
    </w:p>
    <w:p w:rsidR="00D4760A" w:rsidRDefault="00D4760A">
      <w:pPr>
        <w:spacing w:line="121" w:lineRule="exact"/>
        <w:rPr>
          <w:rFonts w:ascii="Cambria" w:eastAsia="Cambria" w:hAnsi="Cambria" w:cs="Cambria"/>
          <w:b/>
          <w:bCs/>
        </w:rPr>
      </w:pPr>
    </w:p>
    <w:p w:rsidR="00D4760A" w:rsidRDefault="00B93A8D">
      <w:pPr>
        <w:numPr>
          <w:ilvl w:val="0"/>
          <w:numId w:val="7"/>
        </w:numPr>
        <w:tabs>
          <w:tab w:val="left" w:pos="427"/>
        </w:tabs>
        <w:ind w:left="427" w:hanging="427"/>
        <w:rPr>
          <w:rFonts w:ascii="Cambria" w:eastAsia="Cambria" w:hAnsi="Cambria" w:cs="Cambria"/>
          <w:b/>
          <w:bCs/>
        </w:rPr>
      </w:pPr>
      <w:r>
        <w:rPr>
          <w:rFonts w:ascii="Cambria" w:eastAsia="Cambria" w:hAnsi="Cambria" w:cs="Cambria"/>
        </w:rPr>
        <w:t>Předpokladem pro poskytnutí podpory je, že</w:t>
      </w:r>
    </w:p>
    <w:p w:rsidR="00D4760A" w:rsidRDefault="00D4760A">
      <w:pPr>
        <w:spacing w:line="157" w:lineRule="exact"/>
        <w:rPr>
          <w:sz w:val="20"/>
          <w:szCs w:val="20"/>
        </w:rPr>
      </w:pPr>
    </w:p>
    <w:p w:rsidR="00D4760A" w:rsidRDefault="00B93A8D">
      <w:pPr>
        <w:tabs>
          <w:tab w:val="left" w:pos="706"/>
        </w:tabs>
        <w:spacing w:line="276" w:lineRule="auto"/>
        <w:ind w:left="727" w:hanging="359"/>
        <w:rPr>
          <w:sz w:val="20"/>
          <w:szCs w:val="20"/>
        </w:rPr>
      </w:pPr>
      <w:r>
        <w:rPr>
          <w:rFonts w:ascii="Cambria" w:eastAsia="Cambria" w:hAnsi="Cambria" w:cs="Cambria"/>
        </w:rPr>
        <w:t>a)</w:t>
      </w:r>
      <w:r>
        <w:rPr>
          <w:rFonts w:ascii="Cambria" w:eastAsia="Cambria" w:hAnsi="Cambria" w:cs="Cambria"/>
        </w:rPr>
        <w:tab/>
        <w:t>nedojde v důsledku rozpočtového provizoria nebo krácení prostředků ze státního rozpočtu k regulaci čerpání státního rozpočtu a</w:t>
      </w:r>
    </w:p>
    <w:p w:rsidR="00D4760A" w:rsidRDefault="00D4760A">
      <w:pPr>
        <w:spacing w:line="119" w:lineRule="exact"/>
        <w:rPr>
          <w:sz w:val="20"/>
          <w:szCs w:val="20"/>
        </w:rPr>
      </w:pPr>
    </w:p>
    <w:p w:rsidR="00D4760A" w:rsidRDefault="00B93A8D">
      <w:pPr>
        <w:numPr>
          <w:ilvl w:val="1"/>
          <w:numId w:val="8"/>
        </w:numPr>
        <w:tabs>
          <w:tab w:val="left" w:pos="727"/>
        </w:tabs>
        <w:ind w:left="727" w:hanging="367"/>
        <w:rPr>
          <w:rFonts w:ascii="Cambria" w:eastAsia="Cambria" w:hAnsi="Cambria" w:cs="Cambria"/>
        </w:rPr>
      </w:pPr>
      <w:r>
        <w:rPr>
          <w:rFonts w:ascii="Cambria" w:eastAsia="Cambria" w:hAnsi="Cambria" w:cs="Cambria"/>
        </w:rPr>
        <w:t>nebylo rozhodnuto o pozastavení poskytování podpory.</w:t>
      </w:r>
    </w:p>
    <w:p w:rsidR="00D4760A" w:rsidRDefault="00D4760A">
      <w:pPr>
        <w:spacing w:line="159" w:lineRule="exact"/>
        <w:rPr>
          <w:rFonts w:ascii="Cambria" w:eastAsia="Cambria" w:hAnsi="Cambria" w:cs="Cambria"/>
        </w:rPr>
      </w:pPr>
    </w:p>
    <w:p w:rsidR="00D4760A" w:rsidRDefault="00B93A8D">
      <w:pPr>
        <w:numPr>
          <w:ilvl w:val="0"/>
          <w:numId w:val="9"/>
        </w:numPr>
        <w:tabs>
          <w:tab w:val="left" w:pos="427"/>
        </w:tabs>
        <w:spacing w:line="275" w:lineRule="auto"/>
        <w:ind w:left="427" w:right="20" w:hanging="427"/>
        <w:rPr>
          <w:rFonts w:ascii="Cambria" w:eastAsia="Cambria" w:hAnsi="Cambria" w:cs="Cambria"/>
          <w:b/>
          <w:bCs/>
        </w:rPr>
      </w:pPr>
      <w:r>
        <w:rPr>
          <w:rFonts w:ascii="Cambria" w:eastAsia="Cambria" w:hAnsi="Cambria" w:cs="Cambria"/>
        </w:rPr>
        <w:t>Dojde-li k regulaci čerpání státního rozpočtu, poskytovatel v závislosti na povaze a rozsahu takového opatření</w:t>
      </w:r>
    </w:p>
    <w:p w:rsidR="00D4760A" w:rsidRDefault="00D4760A">
      <w:pPr>
        <w:spacing w:line="122" w:lineRule="exact"/>
        <w:rPr>
          <w:rFonts w:ascii="Cambria" w:eastAsia="Cambria" w:hAnsi="Cambria" w:cs="Cambria"/>
          <w:b/>
          <w:bCs/>
        </w:rPr>
      </w:pPr>
    </w:p>
    <w:p w:rsidR="00D4760A" w:rsidRDefault="00B93A8D">
      <w:pPr>
        <w:numPr>
          <w:ilvl w:val="1"/>
          <w:numId w:val="9"/>
        </w:numPr>
        <w:tabs>
          <w:tab w:val="left" w:pos="727"/>
        </w:tabs>
        <w:spacing w:line="276" w:lineRule="auto"/>
        <w:ind w:left="727" w:right="20" w:hanging="367"/>
        <w:jc w:val="both"/>
        <w:rPr>
          <w:rFonts w:ascii="Cambria" w:eastAsia="Cambria" w:hAnsi="Cambria" w:cs="Cambria"/>
        </w:rPr>
      </w:pPr>
      <w:r>
        <w:rPr>
          <w:rFonts w:ascii="Cambria" w:eastAsia="Cambria" w:hAnsi="Cambria" w:cs="Cambria"/>
        </w:rPr>
        <w:t>oznámí písemně hlavnímu příjemci, že příslušnou část podpory neposkytne ve stanovené lhůtě a je-li tak možné, uvede jinou lhůtu, kdy bude hlavnímu příjemci tato část podpory poskytnuta,</w:t>
      </w:r>
    </w:p>
    <w:p w:rsidR="00D4760A" w:rsidRDefault="00D4760A">
      <w:pPr>
        <w:spacing w:line="119" w:lineRule="exact"/>
        <w:rPr>
          <w:rFonts w:ascii="Cambria" w:eastAsia="Cambria" w:hAnsi="Cambria" w:cs="Cambria"/>
        </w:rPr>
      </w:pPr>
    </w:p>
    <w:p w:rsidR="00D4760A" w:rsidRDefault="00B93A8D">
      <w:pPr>
        <w:numPr>
          <w:ilvl w:val="1"/>
          <w:numId w:val="9"/>
        </w:numPr>
        <w:tabs>
          <w:tab w:val="left" w:pos="727"/>
        </w:tabs>
        <w:ind w:left="727" w:hanging="367"/>
        <w:rPr>
          <w:rFonts w:ascii="Cambria" w:eastAsia="Cambria" w:hAnsi="Cambria" w:cs="Cambria"/>
        </w:rPr>
      </w:pPr>
      <w:r>
        <w:rPr>
          <w:rFonts w:ascii="Cambria" w:eastAsia="Cambria" w:hAnsi="Cambria" w:cs="Cambria"/>
        </w:rPr>
        <w:t>navrhne hlavnímu příjemci změnu Závazných parametrů řešení projektu nebo</w:t>
      </w:r>
    </w:p>
    <w:p w:rsidR="00D4760A" w:rsidRDefault="00D4760A">
      <w:pPr>
        <w:spacing w:line="159" w:lineRule="exact"/>
        <w:rPr>
          <w:rFonts w:ascii="Cambria" w:eastAsia="Cambria" w:hAnsi="Cambria" w:cs="Cambria"/>
        </w:rPr>
      </w:pPr>
    </w:p>
    <w:p w:rsidR="00D4760A" w:rsidRDefault="00B93A8D">
      <w:pPr>
        <w:numPr>
          <w:ilvl w:val="1"/>
          <w:numId w:val="9"/>
        </w:numPr>
        <w:tabs>
          <w:tab w:val="left" w:pos="727"/>
        </w:tabs>
        <w:ind w:left="727" w:hanging="367"/>
        <w:rPr>
          <w:rFonts w:ascii="Cambria" w:eastAsia="Cambria" w:hAnsi="Cambria" w:cs="Cambria"/>
        </w:rPr>
      </w:pPr>
      <w:r>
        <w:rPr>
          <w:rFonts w:ascii="Cambria" w:eastAsia="Cambria" w:hAnsi="Cambria" w:cs="Cambria"/>
        </w:rPr>
        <w:t>smlouvu vypoví.</w:t>
      </w:r>
    </w:p>
    <w:p w:rsidR="00D4760A" w:rsidRDefault="00D4760A">
      <w:pPr>
        <w:spacing w:line="157" w:lineRule="exact"/>
        <w:rPr>
          <w:rFonts w:ascii="Cambria" w:eastAsia="Cambria" w:hAnsi="Cambria" w:cs="Cambria"/>
        </w:rPr>
      </w:pPr>
    </w:p>
    <w:p w:rsidR="00D4760A" w:rsidRDefault="00B93A8D">
      <w:pPr>
        <w:numPr>
          <w:ilvl w:val="0"/>
          <w:numId w:val="9"/>
        </w:numPr>
        <w:tabs>
          <w:tab w:val="left" w:pos="427"/>
        </w:tabs>
        <w:spacing w:line="276" w:lineRule="auto"/>
        <w:ind w:left="427" w:hanging="427"/>
        <w:jc w:val="both"/>
        <w:rPr>
          <w:rFonts w:ascii="Cambria" w:eastAsia="Cambria" w:hAnsi="Cambria" w:cs="Cambria"/>
          <w:b/>
          <w:bCs/>
        </w:rPr>
      </w:pPr>
      <w:r>
        <w:rPr>
          <w:rFonts w:ascii="Cambria" w:eastAsia="Cambria" w:hAnsi="Cambria" w:cs="Cambria"/>
        </w:rPr>
        <w:t>Poskytovatel si vyhrazuje právo neposkytnout podporu ve lhůtě podle odst. 2, pokud má pochybnosti o splnění veškerých povinností hlavního příjemce, přičemž k ověření je zapotřebí využít jiný hodnotící proces nebo veřejnosprávní kontrolu. Lhůta se prodlouží o tu dobu, co byl prováděn ověřovací hodnotící proces nebo veřejnosprávní kontrola.</w:t>
      </w:r>
    </w:p>
    <w:p w:rsidR="00D4760A" w:rsidRDefault="00B93A8D">
      <w:pPr>
        <w:spacing w:line="20" w:lineRule="exact"/>
        <w:rPr>
          <w:sz w:val="20"/>
          <w:szCs w:val="20"/>
        </w:rPr>
      </w:pPr>
      <w:r>
        <w:rPr>
          <w:noProof/>
          <w:sz w:val="20"/>
          <w:szCs w:val="20"/>
        </w:rPr>
        <w:drawing>
          <wp:anchor distT="0" distB="0" distL="114300" distR="114300" simplePos="0" relativeHeight="251642368" behindDoc="1" locked="0" layoutInCell="0" allowOverlap="1">
            <wp:simplePos x="0" y="0"/>
            <wp:positionH relativeFrom="column">
              <wp:posOffset>-718820</wp:posOffset>
            </wp:positionH>
            <wp:positionV relativeFrom="paragraph">
              <wp:posOffset>416560</wp:posOffset>
            </wp:positionV>
            <wp:extent cx="3601085" cy="960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20"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4/23</w:t>
      </w:r>
    </w:p>
    <w:p w:rsidR="00D4760A" w:rsidRDefault="00D4760A">
      <w:pPr>
        <w:sectPr w:rsidR="00D4760A">
          <w:pgSz w:w="11900" w:h="16838"/>
          <w:pgMar w:top="1440" w:right="1126" w:bottom="311" w:left="1133" w:header="0" w:footer="0" w:gutter="0"/>
          <w:cols w:space="708" w:equalWidth="0">
            <w:col w:w="9647"/>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43392"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10"/>
        </w:numPr>
        <w:tabs>
          <w:tab w:val="left" w:pos="427"/>
        </w:tabs>
        <w:spacing w:line="275" w:lineRule="auto"/>
        <w:ind w:left="427" w:hanging="427"/>
        <w:jc w:val="both"/>
        <w:rPr>
          <w:rFonts w:ascii="Cambria" w:eastAsia="Cambria" w:hAnsi="Cambria" w:cs="Cambria"/>
          <w:b/>
          <w:bCs/>
        </w:rPr>
      </w:pPr>
      <w:r>
        <w:rPr>
          <w:rFonts w:ascii="Cambria" w:eastAsia="Cambria" w:hAnsi="Cambria" w:cs="Cambria"/>
        </w:rPr>
        <w:t>Povinnosti hlavního příjemce se považují pro účely poskytnutí podpory za splněné, pokud na základě ukončených nebo probíhajících hodnotících procesů nebo veřejnosprávní kontroly poskytovatel ve lhůtě pro poskytnutí podpory</w:t>
      </w:r>
    </w:p>
    <w:p w:rsidR="00D4760A" w:rsidRDefault="00D4760A">
      <w:pPr>
        <w:spacing w:line="123" w:lineRule="exact"/>
        <w:rPr>
          <w:rFonts w:ascii="Cambria" w:eastAsia="Cambria" w:hAnsi="Cambria" w:cs="Cambria"/>
          <w:b/>
          <w:bCs/>
        </w:rPr>
      </w:pPr>
    </w:p>
    <w:p w:rsidR="00D4760A" w:rsidRDefault="00B93A8D">
      <w:pPr>
        <w:numPr>
          <w:ilvl w:val="1"/>
          <w:numId w:val="10"/>
        </w:numPr>
        <w:tabs>
          <w:tab w:val="left" w:pos="727"/>
        </w:tabs>
        <w:spacing w:line="274" w:lineRule="auto"/>
        <w:ind w:left="727" w:right="20" w:hanging="367"/>
        <w:rPr>
          <w:rFonts w:ascii="Cambria" w:eastAsia="Cambria" w:hAnsi="Cambria" w:cs="Cambria"/>
        </w:rPr>
      </w:pPr>
      <w:r>
        <w:rPr>
          <w:rFonts w:ascii="Cambria" w:eastAsia="Cambria" w:hAnsi="Cambria" w:cs="Cambria"/>
        </w:rPr>
        <w:t>písemně hlavnímu příjemci neoznámí zahájení jiného hodnotícího procesu nebo veřejnosprávní kontroly,</w:t>
      </w:r>
    </w:p>
    <w:p w:rsidR="00D4760A" w:rsidRDefault="00D4760A">
      <w:pPr>
        <w:spacing w:line="123" w:lineRule="exact"/>
        <w:rPr>
          <w:rFonts w:ascii="Cambria" w:eastAsia="Cambria" w:hAnsi="Cambria" w:cs="Cambria"/>
        </w:rPr>
      </w:pPr>
    </w:p>
    <w:p w:rsidR="00D4760A" w:rsidRDefault="00B93A8D">
      <w:pPr>
        <w:numPr>
          <w:ilvl w:val="1"/>
          <w:numId w:val="10"/>
        </w:numPr>
        <w:tabs>
          <w:tab w:val="left" w:pos="727"/>
        </w:tabs>
        <w:ind w:left="727" w:hanging="367"/>
        <w:rPr>
          <w:rFonts w:ascii="Cambria" w:eastAsia="Cambria" w:hAnsi="Cambria" w:cs="Cambria"/>
        </w:rPr>
      </w:pPr>
      <w:r>
        <w:rPr>
          <w:rFonts w:ascii="Cambria" w:eastAsia="Cambria" w:hAnsi="Cambria" w:cs="Cambria"/>
        </w:rPr>
        <w:t>písemně hlavního příjemce nevyzve k dodatečnému splnění všech jeho závazků,</w:t>
      </w:r>
    </w:p>
    <w:p w:rsidR="00D4760A" w:rsidRDefault="00D4760A">
      <w:pPr>
        <w:spacing w:line="160" w:lineRule="exact"/>
        <w:rPr>
          <w:rFonts w:ascii="Cambria" w:eastAsia="Cambria" w:hAnsi="Cambria" w:cs="Cambria"/>
        </w:rPr>
      </w:pPr>
    </w:p>
    <w:p w:rsidR="00D4760A" w:rsidRDefault="00B93A8D">
      <w:pPr>
        <w:numPr>
          <w:ilvl w:val="1"/>
          <w:numId w:val="10"/>
        </w:numPr>
        <w:tabs>
          <w:tab w:val="left" w:pos="727"/>
        </w:tabs>
        <w:ind w:left="727" w:hanging="367"/>
        <w:rPr>
          <w:rFonts w:ascii="Cambria" w:eastAsia="Cambria" w:hAnsi="Cambria" w:cs="Cambria"/>
        </w:rPr>
      </w:pPr>
      <w:r>
        <w:rPr>
          <w:rFonts w:ascii="Cambria" w:eastAsia="Cambria" w:hAnsi="Cambria" w:cs="Cambria"/>
        </w:rPr>
        <w:t>neodešle hlavnímu příjemci výpověď nebo odstoupení od Smlouvy nebo</w:t>
      </w:r>
    </w:p>
    <w:p w:rsidR="00D4760A" w:rsidRDefault="00D4760A">
      <w:pPr>
        <w:spacing w:line="157" w:lineRule="exact"/>
        <w:rPr>
          <w:rFonts w:ascii="Cambria" w:eastAsia="Cambria" w:hAnsi="Cambria" w:cs="Cambria"/>
        </w:rPr>
      </w:pPr>
    </w:p>
    <w:p w:rsidR="00D4760A" w:rsidRDefault="00B93A8D">
      <w:pPr>
        <w:numPr>
          <w:ilvl w:val="1"/>
          <w:numId w:val="10"/>
        </w:numPr>
        <w:tabs>
          <w:tab w:val="left" w:pos="727"/>
        </w:tabs>
        <w:spacing w:line="294" w:lineRule="auto"/>
        <w:ind w:left="727" w:hanging="367"/>
        <w:jc w:val="both"/>
        <w:rPr>
          <w:rFonts w:ascii="Cambria" w:eastAsia="Cambria" w:hAnsi="Cambria" w:cs="Cambria"/>
          <w:sz w:val="21"/>
          <w:szCs w:val="21"/>
        </w:rPr>
      </w:pPr>
      <w:r>
        <w:rPr>
          <w:rFonts w:ascii="Cambria" w:eastAsia="Cambria" w:hAnsi="Cambria" w:cs="Cambria"/>
          <w:sz w:val="21"/>
          <w:szCs w:val="21"/>
        </w:rPr>
        <w:t>nepodá podnět k zahájení řízení o porušení rozpočtové kázně k místně příslušnému finančnímu úřadu nebo nepodá v souvislosti s domnělým trestným činem spáchaným v souvislosti s řešením projektu trestní oznámení na věcně a místně příslušný orgán činný v trestním řízení.</w:t>
      </w:r>
    </w:p>
    <w:p w:rsidR="00D4760A" w:rsidRDefault="00D4760A">
      <w:pPr>
        <w:spacing w:line="105" w:lineRule="exact"/>
        <w:rPr>
          <w:rFonts w:ascii="Cambria" w:eastAsia="Cambria" w:hAnsi="Cambria" w:cs="Cambria"/>
          <w:sz w:val="21"/>
          <w:szCs w:val="21"/>
        </w:rPr>
      </w:pPr>
    </w:p>
    <w:p w:rsidR="00D4760A" w:rsidRDefault="00B93A8D">
      <w:pPr>
        <w:numPr>
          <w:ilvl w:val="0"/>
          <w:numId w:val="10"/>
        </w:numPr>
        <w:tabs>
          <w:tab w:val="left" w:pos="427"/>
        </w:tabs>
        <w:ind w:left="427" w:hanging="427"/>
        <w:rPr>
          <w:rFonts w:ascii="Cambria" w:eastAsia="Cambria" w:hAnsi="Cambria" w:cs="Cambria"/>
          <w:b/>
          <w:bCs/>
        </w:rPr>
      </w:pPr>
      <w:r>
        <w:rPr>
          <w:rFonts w:ascii="Cambria" w:eastAsia="Cambria" w:hAnsi="Cambria" w:cs="Cambria"/>
        </w:rPr>
        <w:t>Poskytovatel poskytuje podporu</w:t>
      </w:r>
    </w:p>
    <w:p w:rsidR="00D4760A" w:rsidRDefault="00D4760A">
      <w:pPr>
        <w:spacing w:line="159" w:lineRule="exact"/>
        <w:rPr>
          <w:rFonts w:ascii="Cambria" w:eastAsia="Cambria" w:hAnsi="Cambria" w:cs="Cambria"/>
          <w:b/>
          <w:bCs/>
        </w:rPr>
      </w:pPr>
    </w:p>
    <w:p w:rsidR="00D4760A" w:rsidRDefault="00B93A8D">
      <w:pPr>
        <w:numPr>
          <w:ilvl w:val="1"/>
          <w:numId w:val="10"/>
        </w:numPr>
        <w:tabs>
          <w:tab w:val="left" w:pos="727"/>
        </w:tabs>
        <w:spacing w:line="274" w:lineRule="auto"/>
        <w:ind w:left="727" w:hanging="367"/>
        <w:rPr>
          <w:rFonts w:ascii="Cambria" w:eastAsia="Cambria" w:hAnsi="Cambria" w:cs="Cambria"/>
        </w:rPr>
      </w:pPr>
      <w:r>
        <w:rPr>
          <w:rFonts w:ascii="Cambria" w:eastAsia="Cambria" w:hAnsi="Cambria" w:cs="Cambria"/>
        </w:rPr>
        <w:t>veřejné vysoké škole a veřejné výzkumné instituci převodem z bankovního účtu poskytovatele na bankovní účet u České národní banky uvedený ve smlouvě,</w:t>
      </w:r>
    </w:p>
    <w:p w:rsidR="00D4760A" w:rsidRDefault="00D4760A">
      <w:pPr>
        <w:spacing w:line="123" w:lineRule="exact"/>
        <w:rPr>
          <w:rFonts w:ascii="Cambria" w:eastAsia="Cambria" w:hAnsi="Cambria" w:cs="Cambria"/>
        </w:rPr>
      </w:pPr>
    </w:p>
    <w:p w:rsidR="00D4760A" w:rsidRDefault="00B93A8D">
      <w:pPr>
        <w:numPr>
          <w:ilvl w:val="1"/>
          <w:numId w:val="10"/>
        </w:numPr>
        <w:tabs>
          <w:tab w:val="left" w:pos="727"/>
        </w:tabs>
        <w:spacing w:line="274" w:lineRule="auto"/>
        <w:ind w:left="727" w:hanging="367"/>
        <w:rPr>
          <w:rFonts w:ascii="Cambria" w:eastAsia="Cambria" w:hAnsi="Cambria" w:cs="Cambria"/>
        </w:rPr>
      </w:pPr>
      <w:r>
        <w:rPr>
          <w:rFonts w:ascii="Cambria" w:eastAsia="Cambria" w:hAnsi="Cambria" w:cs="Cambria"/>
        </w:rPr>
        <w:t>ostatním fyzickým a právnickým osobám převodem z bankovního účtu poskytovatele na bankovní účet uvedený ve smlouvě a</w:t>
      </w:r>
    </w:p>
    <w:p w:rsidR="00D4760A" w:rsidRDefault="00D4760A">
      <w:pPr>
        <w:spacing w:line="124" w:lineRule="exact"/>
        <w:rPr>
          <w:rFonts w:ascii="Cambria" w:eastAsia="Cambria" w:hAnsi="Cambria" w:cs="Cambria"/>
        </w:rPr>
      </w:pPr>
    </w:p>
    <w:p w:rsidR="00D4760A" w:rsidRDefault="00B93A8D">
      <w:pPr>
        <w:numPr>
          <w:ilvl w:val="1"/>
          <w:numId w:val="10"/>
        </w:numPr>
        <w:tabs>
          <w:tab w:val="left" w:pos="727"/>
        </w:tabs>
        <w:spacing w:line="276" w:lineRule="auto"/>
        <w:ind w:left="727" w:right="20" w:hanging="367"/>
        <w:rPr>
          <w:rFonts w:ascii="Cambria" w:eastAsia="Cambria" w:hAnsi="Cambria" w:cs="Cambria"/>
        </w:rPr>
      </w:pPr>
      <w:r>
        <w:rPr>
          <w:rFonts w:ascii="Cambria" w:eastAsia="Cambria" w:hAnsi="Cambria" w:cs="Cambria"/>
        </w:rPr>
        <w:t>organizačním složkám státu nebo organizačním jednotkám ministerstva přesunem prostředků státního rozpočtu pomocí rozpočtového opatření.</w:t>
      </w:r>
    </w:p>
    <w:p w:rsidR="00D4760A" w:rsidRDefault="00D4760A">
      <w:pPr>
        <w:spacing w:line="119" w:lineRule="exact"/>
        <w:rPr>
          <w:rFonts w:ascii="Cambria" w:eastAsia="Cambria" w:hAnsi="Cambria" w:cs="Cambria"/>
        </w:rPr>
      </w:pPr>
    </w:p>
    <w:p w:rsidR="00D4760A" w:rsidRDefault="00B93A8D">
      <w:pPr>
        <w:numPr>
          <w:ilvl w:val="0"/>
          <w:numId w:val="10"/>
        </w:numPr>
        <w:tabs>
          <w:tab w:val="left" w:pos="427"/>
        </w:tabs>
        <w:spacing w:line="275" w:lineRule="auto"/>
        <w:ind w:left="427" w:right="20" w:hanging="427"/>
        <w:jc w:val="both"/>
        <w:rPr>
          <w:rFonts w:ascii="Cambria" w:eastAsia="Cambria" w:hAnsi="Cambria" w:cs="Cambria"/>
          <w:b/>
          <w:bCs/>
        </w:rPr>
      </w:pPr>
      <w:r>
        <w:rPr>
          <w:rFonts w:ascii="Cambria" w:eastAsia="Cambria" w:hAnsi="Cambria" w:cs="Cambria"/>
        </w:rPr>
        <w:t>Příslušná část podpory se považuje za poskytnutou dnem, kdy jsou finanční prostředky takto určené uvolněny z bankovního účtu poskytovatele, nebo schválením rozpočtového opatření Ministerstvem financí České republiky.</w:t>
      </w:r>
    </w:p>
    <w:p w:rsidR="00D4760A" w:rsidRDefault="00D4760A">
      <w:pPr>
        <w:spacing w:line="123" w:lineRule="exact"/>
        <w:rPr>
          <w:rFonts w:ascii="Cambria" w:eastAsia="Cambria" w:hAnsi="Cambria" w:cs="Cambria"/>
          <w:b/>
          <w:bCs/>
        </w:rPr>
      </w:pPr>
    </w:p>
    <w:p w:rsidR="00D4760A" w:rsidRDefault="00B93A8D">
      <w:pPr>
        <w:numPr>
          <w:ilvl w:val="0"/>
          <w:numId w:val="10"/>
        </w:numPr>
        <w:tabs>
          <w:tab w:val="left" w:pos="427"/>
        </w:tabs>
        <w:spacing w:line="275" w:lineRule="auto"/>
        <w:ind w:left="427" w:hanging="427"/>
        <w:jc w:val="both"/>
        <w:rPr>
          <w:rFonts w:ascii="Cambria" w:eastAsia="Cambria" w:hAnsi="Cambria" w:cs="Cambria"/>
          <w:b/>
          <w:bCs/>
        </w:rPr>
      </w:pPr>
      <w:r>
        <w:rPr>
          <w:rFonts w:ascii="Cambria" w:eastAsia="Cambria" w:hAnsi="Cambria" w:cs="Cambria"/>
        </w:rPr>
        <w:t>Veškeré činnosti, na které je podpora poskytována musí směřovat k dosažení cílů projektu, neboli k naplnění účelu podpory, tj. příjemce svou činností vytvoří předpoklady k tomu, aby těchto cílů bylo dosaženo.</w:t>
      </w:r>
    </w:p>
    <w:p w:rsidR="00D4760A" w:rsidRDefault="00D4760A">
      <w:pPr>
        <w:spacing w:line="123" w:lineRule="exact"/>
        <w:rPr>
          <w:rFonts w:ascii="Cambria" w:eastAsia="Cambria" w:hAnsi="Cambria" w:cs="Cambria"/>
          <w:b/>
          <w:bCs/>
        </w:rPr>
      </w:pPr>
    </w:p>
    <w:p w:rsidR="00D4760A" w:rsidRDefault="00B93A8D">
      <w:pPr>
        <w:numPr>
          <w:ilvl w:val="0"/>
          <w:numId w:val="10"/>
        </w:numPr>
        <w:tabs>
          <w:tab w:val="left" w:pos="427"/>
        </w:tabs>
        <w:spacing w:line="275" w:lineRule="auto"/>
        <w:ind w:left="427" w:hanging="427"/>
        <w:jc w:val="both"/>
        <w:rPr>
          <w:rFonts w:ascii="Cambria" w:eastAsia="Cambria" w:hAnsi="Cambria" w:cs="Cambria"/>
          <w:b/>
          <w:bCs/>
        </w:rPr>
      </w:pPr>
      <w:r>
        <w:rPr>
          <w:rFonts w:ascii="Cambria" w:eastAsia="Cambria" w:hAnsi="Cambria" w:cs="Cambria"/>
        </w:rPr>
        <w:t>Pokud nedojde k čerpání celé poskytnuté podpory v průběhu řešení projektu, hlavní příjemce vrací nevyčerpanou část podpory zpět poskytovateli na běžný výdajový účet uvedený ve smlouvě a v termínu stanoveném níže v povinnostech hlavního příjemce. Příjemce je povinen převést nevyčerpanou část podpory na běžný výdajový účet poskytovatele nejpozději do 14 kalendářních dnů poté, co se dozví, že tuto část z jakéhokoliv důvodu nevyužije, nebo poté, co byl poskytovatelem k jejímu vrácení vyzván. Takto vrácená podpora musí být připsána na běžný výdajový účet poskytovatele nejpozději do 31. prosince roku, ve kterém končí řešení projektu. Nejvýše 5 % z poskytnuté podpory za poslední rok řešení je povinen vrátit nejpozději do 15. února roku následujícího po ukončení řešení projektu na účet 6015-3125001/0710. Příjemce je dále povinen vyúčtovat poskytnutou podporu za celou dobu řešení projektu a provést finanční vypořádání v souladu s rozpočtovými pravidly.</w:t>
      </w:r>
    </w:p>
    <w:p w:rsidR="00D4760A" w:rsidRDefault="00B93A8D">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-718820</wp:posOffset>
            </wp:positionH>
            <wp:positionV relativeFrom="paragraph">
              <wp:posOffset>722630</wp:posOffset>
            </wp:positionV>
            <wp:extent cx="3601085" cy="9601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2"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5/23</w:t>
      </w:r>
    </w:p>
    <w:p w:rsidR="00D4760A" w:rsidRDefault="00D4760A">
      <w:pPr>
        <w:sectPr w:rsidR="00D4760A">
          <w:pgSz w:w="11900" w:h="16838"/>
          <w:pgMar w:top="1440" w:right="1126" w:bottom="311" w:left="1133" w:header="0" w:footer="0" w:gutter="0"/>
          <w:cols w:space="708" w:equalWidth="0">
            <w:col w:w="9647"/>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45440"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ind w:right="80"/>
        <w:jc w:val="center"/>
        <w:rPr>
          <w:sz w:val="20"/>
          <w:szCs w:val="20"/>
        </w:rPr>
      </w:pPr>
      <w:r>
        <w:rPr>
          <w:rFonts w:ascii="Cambria" w:eastAsia="Cambria" w:hAnsi="Cambria" w:cs="Cambria"/>
          <w:b/>
          <w:bCs/>
          <w:i/>
          <w:iCs/>
        </w:rPr>
        <w:t>Článek 4</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Povinnosti hlavního příjemce</w:t>
      </w:r>
    </w:p>
    <w:p w:rsidR="00D4760A" w:rsidRDefault="00D4760A">
      <w:pPr>
        <w:spacing w:line="157" w:lineRule="exact"/>
        <w:rPr>
          <w:sz w:val="20"/>
          <w:szCs w:val="20"/>
        </w:rPr>
      </w:pPr>
    </w:p>
    <w:p w:rsidR="00D4760A" w:rsidRDefault="00B93A8D">
      <w:pPr>
        <w:numPr>
          <w:ilvl w:val="0"/>
          <w:numId w:val="11"/>
        </w:numPr>
        <w:tabs>
          <w:tab w:val="left" w:pos="360"/>
        </w:tabs>
        <w:ind w:left="360" w:hanging="360"/>
        <w:rPr>
          <w:rFonts w:ascii="Cambria" w:eastAsia="Cambria" w:hAnsi="Cambria" w:cs="Cambria"/>
          <w:b/>
          <w:bCs/>
        </w:rPr>
      </w:pPr>
      <w:r>
        <w:rPr>
          <w:rFonts w:ascii="Cambria" w:eastAsia="Cambria" w:hAnsi="Cambria" w:cs="Cambria"/>
        </w:rPr>
        <w:t>Hlavní příjemce je povinen</w:t>
      </w:r>
    </w:p>
    <w:p w:rsidR="00D4760A" w:rsidRDefault="00D4760A">
      <w:pPr>
        <w:spacing w:line="159" w:lineRule="exact"/>
        <w:rPr>
          <w:rFonts w:ascii="Cambria" w:eastAsia="Cambria" w:hAnsi="Cambria" w:cs="Cambria"/>
          <w:b/>
          <w:bCs/>
        </w:rPr>
      </w:pPr>
    </w:p>
    <w:p w:rsidR="00D4760A" w:rsidRDefault="00B93A8D">
      <w:pPr>
        <w:numPr>
          <w:ilvl w:val="1"/>
          <w:numId w:val="11"/>
        </w:numPr>
        <w:tabs>
          <w:tab w:val="left" w:pos="660"/>
        </w:tabs>
        <w:spacing w:line="274" w:lineRule="auto"/>
        <w:ind w:left="660" w:hanging="367"/>
        <w:jc w:val="both"/>
        <w:rPr>
          <w:rFonts w:ascii="Cambria" w:eastAsia="Cambria" w:hAnsi="Cambria" w:cs="Cambria"/>
        </w:rPr>
      </w:pPr>
      <w:r>
        <w:rPr>
          <w:rFonts w:ascii="Cambria" w:eastAsia="Cambria" w:hAnsi="Cambria" w:cs="Cambria"/>
        </w:rPr>
        <w:t>čerpat a využívat podporu v souladu s pravidly poskytnutí podpory a Závaznými parametry řešení projektu, zejména využívat podporu na uznané náklady v souladu s částí E a postupovat</w:t>
      </w:r>
    </w:p>
    <w:p w:rsidR="00D4760A" w:rsidRDefault="00D4760A">
      <w:pPr>
        <w:spacing w:line="3" w:lineRule="exact"/>
        <w:rPr>
          <w:rFonts w:ascii="Cambria" w:eastAsia="Cambria" w:hAnsi="Cambria" w:cs="Cambria"/>
        </w:rPr>
      </w:pPr>
    </w:p>
    <w:p w:rsidR="00D4760A" w:rsidRDefault="00B93A8D">
      <w:pPr>
        <w:numPr>
          <w:ilvl w:val="2"/>
          <w:numId w:val="11"/>
        </w:numPr>
        <w:tabs>
          <w:tab w:val="left" w:pos="820"/>
        </w:tabs>
        <w:ind w:left="820" w:hanging="167"/>
        <w:rPr>
          <w:rFonts w:ascii="Cambria" w:eastAsia="Cambria" w:hAnsi="Cambria" w:cs="Cambria"/>
        </w:rPr>
      </w:pPr>
      <w:r>
        <w:rPr>
          <w:rFonts w:ascii="Cambria" w:eastAsia="Cambria" w:hAnsi="Cambria" w:cs="Cambria"/>
        </w:rPr>
        <w:t>souladu s § 8 odst. 4 ZPVV podle ZVZ,</w:t>
      </w:r>
    </w:p>
    <w:p w:rsidR="00D4760A" w:rsidRDefault="00D4760A">
      <w:pPr>
        <w:spacing w:line="160" w:lineRule="exact"/>
        <w:rPr>
          <w:rFonts w:ascii="Cambria" w:eastAsia="Cambria" w:hAnsi="Cambria" w:cs="Cambria"/>
        </w:rPr>
      </w:pPr>
    </w:p>
    <w:p w:rsidR="00D4760A" w:rsidRDefault="00B93A8D">
      <w:pPr>
        <w:numPr>
          <w:ilvl w:val="1"/>
          <w:numId w:val="11"/>
        </w:numPr>
        <w:tabs>
          <w:tab w:val="left" w:pos="660"/>
        </w:tabs>
        <w:spacing w:line="275" w:lineRule="auto"/>
        <w:ind w:left="660" w:hanging="367"/>
        <w:jc w:val="both"/>
        <w:rPr>
          <w:rFonts w:ascii="Cambria" w:eastAsia="Cambria" w:hAnsi="Cambria" w:cs="Cambria"/>
        </w:rPr>
      </w:pPr>
      <w:r>
        <w:rPr>
          <w:rFonts w:ascii="Cambria" w:eastAsia="Cambria" w:hAnsi="Cambria" w:cs="Cambria"/>
        </w:rPr>
        <w:t>uhradit část podpory využité dalším účastníkem v rozporu s pravidly poskytnutí podpory a Závaznými parametry řešení projektu, spočívající zejména v nevyužití podpory dalším účastníkem na uznané náklady v souladu s částí E a nepostupování v souladu s § 8 odst. 5 ZPVV podle ZVZ,</w:t>
      </w:r>
    </w:p>
    <w:p w:rsidR="00D4760A" w:rsidRDefault="00D4760A">
      <w:pPr>
        <w:spacing w:line="123" w:lineRule="exact"/>
        <w:rPr>
          <w:rFonts w:ascii="Cambria" w:eastAsia="Cambria" w:hAnsi="Cambria" w:cs="Cambria"/>
        </w:rPr>
      </w:pPr>
    </w:p>
    <w:p w:rsidR="00D4760A" w:rsidRDefault="00B93A8D">
      <w:pPr>
        <w:numPr>
          <w:ilvl w:val="1"/>
          <w:numId w:val="11"/>
        </w:numPr>
        <w:tabs>
          <w:tab w:val="left" w:pos="660"/>
        </w:tabs>
        <w:spacing w:line="276" w:lineRule="auto"/>
        <w:ind w:left="660" w:hanging="367"/>
        <w:rPr>
          <w:rFonts w:ascii="Cambria" w:eastAsia="Cambria" w:hAnsi="Cambria" w:cs="Cambria"/>
        </w:rPr>
      </w:pPr>
      <w:r>
        <w:rPr>
          <w:rFonts w:ascii="Cambria" w:eastAsia="Cambria" w:hAnsi="Cambria" w:cs="Cambria"/>
        </w:rPr>
        <w:t>dosáhnout do ukončení řešení projektu všech výsledků deklarovaných v Závazných parametrech řešení projektu,</w:t>
      </w:r>
    </w:p>
    <w:p w:rsidR="00D4760A" w:rsidRDefault="00D4760A">
      <w:pPr>
        <w:spacing w:line="119" w:lineRule="exact"/>
        <w:rPr>
          <w:rFonts w:ascii="Cambria" w:eastAsia="Cambria" w:hAnsi="Cambria" w:cs="Cambria"/>
        </w:rPr>
      </w:pPr>
    </w:p>
    <w:p w:rsidR="00D4760A" w:rsidRDefault="00B93A8D">
      <w:pPr>
        <w:numPr>
          <w:ilvl w:val="1"/>
          <w:numId w:val="11"/>
        </w:numPr>
        <w:tabs>
          <w:tab w:val="left" w:pos="660"/>
        </w:tabs>
        <w:spacing w:line="275" w:lineRule="auto"/>
        <w:ind w:left="660" w:hanging="367"/>
        <w:jc w:val="both"/>
        <w:rPr>
          <w:rFonts w:ascii="Cambria" w:eastAsia="Cambria" w:hAnsi="Cambria" w:cs="Cambria"/>
        </w:rPr>
      </w:pPr>
      <w:r>
        <w:rPr>
          <w:rFonts w:ascii="Cambria" w:eastAsia="Cambria" w:hAnsi="Cambria" w:cs="Cambria"/>
        </w:rPr>
        <w:t>převést ze svého bankovního účtu na bankovní účty dalších účastníků příslušnou část podpory podle Závazných parametrů řešení projektu ve lhůtách stanovených ve smlouvě o účasti na řešení projektu,</w:t>
      </w:r>
    </w:p>
    <w:p w:rsidR="00D4760A" w:rsidRDefault="00D4760A">
      <w:pPr>
        <w:spacing w:line="123" w:lineRule="exact"/>
        <w:rPr>
          <w:rFonts w:ascii="Cambria" w:eastAsia="Cambria" w:hAnsi="Cambria" w:cs="Cambria"/>
        </w:rPr>
      </w:pPr>
    </w:p>
    <w:p w:rsidR="00D4760A" w:rsidRDefault="00B93A8D">
      <w:pPr>
        <w:numPr>
          <w:ilvl w:val="1"/>
          <w:numId w:val="11"/>
        </w:numPr>
        <w:tabs>
          <w:tab w:val="left" w:pos="660"/>
        </w:tabs>
        <w:ind w:left="660" w:hanging="367"/>
        <w:rPr>
          <w:rFonts w:ascii="Cambria" w:eastAsia="Cambria" w:hAnsi="Cambria" w:cs="Cambria"/>
        </w:rPr>
      </w:pPr>
      <w:r>
        <w:rPr>
          <w:rFonts w:ascii="Cambria" w:eastAsia="Cambria" w:hAnsi="Cambria" w:cs="Cambria"/>
        </w:rPr>
        <w:t>vrátit poskytovateli na jeho běžný výdajový účet část podpory, kterou nevyužije, a to v souladu</w:t>
      </w:r>
    </w:p>
    <w:p w:rsidR="00D4760A" w:rsidRDefault="00D4760A">
      <w:pPr>
        <w:spacing w:line="40" w:lineRule="exact"/>
        <w:rPr>
          <w:rFonts w:ascii="Cambria" w:eastAsia="Cambria" w:hAnsi="Cambria" w:cs="Cambria"/>
        </w:rPr>
      </w:pPr>
    </w:p>
    <w:p w:rsidR="00D4760A" w:rsidRDefault="00B93A8D">
      <w:pPr>
        <w:numPr>
          <w:ilvl w:val="2"/>
          <w:numId w:val="12"/>
        </w:numPr>
        <w:tabs>
          <w:tab w:val="left" w:pos="800"/>
        </w:tabs>
        <w:ind w:left="800" w:hanging="147"/>
        <w:rPr>
          <w:rFonts w:ascii="Cambria" w:eastAsia="Cambria" w:hAnsi="Cambria" w:cs="Cambria"/>
        </w:rPr>
      </w:pPr>
      <w:r>
        <w:rPr>
          <w:rFonts w:ascii="Cambria" w:eastAsia="Cambria" w:hAnsi="Cambria" w:cs="Cambria"/>
        </w:rPr>
        <w:t>čl. 3 odst. 10,</w:t>
      </w:r>
    </w:p>
    <w:p w:rsidR="00D4760A" w:rsidRDefault="00D4760A">
      <w:pPr>
        <w:spacing w:line="157" w:lineRule="exact"/>
        <w:rPr>
          <w:rFonts w:ascii="Cambria" w:eastAsia="Cambria" w:hAnsi="Cambria" w:cs="Cambria"/>
        </w:rPr>
      </w:pPr>
    </w:p>
    <w:p w:rsidR="00D4760A" w:rsidRDefault="00B93A8D">
      <w:pPr>
        <w:numPr>
          <w:ilvl w:val="1"/>
          <w:numId w:val="13"/>
        </w:numPr>
        <w:tabs>
          <w:tab w:val="left" w:pos="660"/>
        </w:tabs>
        <w:spacing w:line="275" w:lineRule="auto"/>
        <w:ind w:left="660" w:hanging="367"/>
        <w:jc w:val="both"/>
        <w:rPr>
          <w:rFonts w:ascii="Cambria" w:eastAsia="Cambria" w:hAnsi="Cambria" w:cs="Cambria"/>
        </w:rPr>
      </w:pPr>
      <w:r>
        <w:rPr>
          <w:rFonts w:ascii="Cambria" w:eastAsia="Cambria" w:hAnsi="Cambria" w:cs="Cambria"/>
        </w:rPr>
        <w:t>vést v účetnictví oddělenou účetní evidenci uznaných nákladů a poskytnuté podpory projektu, financovaných z prostředků určených k řešení projektu pro každý jednotlivý projekt, a v případě daňové evidence oddělenou evidenci příjmů a nákladů projektu,</w:t>
      </w:r>
    </w:p>
    <w:p w:rsidR="00D4760A" w:rsidRDefault="00D4760A">
      <w:pPr>
        <w:spacing w:line="123" w:lineRule="exact"/>
        <w:rPr>
          <w:rFonts w:ascii="Cambria" w:eastAsia="Cambria" w:hAnsi="Cambria" w:cs="Cambria"/>
        </w:rPr>
      </w:pPr>
    </w:p>
    <w:p w:rsidR="00D4760A" w:rsidRDefault="00B93A8D">
      <w:pPr>
        <w:numPr>
          <w:ilvl w:val="1"/>
          <w:numId w:val="13"/>
        </w:numPr>
        <w:tabs>
          <w:tab w:val="left" w:pos="660"/>
        </w:tabs>
        <w:ind w:left="660" w:hanging="367"/>
        <w:rPr>
          <w:rFonts w:ascii="Cambria" w:eastAsia="Cambria" w:hAnsi="Cambria" w:cs="Cambria"/>
        </w:rPr>
      </w:pPr>
      <w:r>
        <w:rPr>
          <w:rFonts w:ascii="Cambria" w:eastAsia="Cambria" w:hAnsi="Cambria" w:cs="Cambria"/>
        </w:rPr>
        <w:t>zaplatit smluvní pokutu stanovenou podle článku 5 odst. 3,</w:t>
      </w:r>
    </w:p>
    <w:p w:rsidR="00D4760A" w:rsidRDefault="00D4760A">
      <w:pPr>
        <w:spacing w:line="157" w:lineRule="exact"/>
        <w:rPr>
          <w:rFonts w:ascii="Cambria" w:eastAsia="Cambria" w:hAnsi="Cambria" w:cs="Cambria"/>
        </w:rPr>
      </w:pPr>
    </w:p>
    <w:p w:rsidR="00D4760A" w:rsidRDefault="00B93A8D">
      <w:pPr>
        <w:numPr>
          <w:ilvl w:val="1"/>
          <w:numId w:val="13"/>
        </w:numPr>
        <w:tabs>
          <w:tab w:val="left" w:pos="660"/>
        </w:tabs>
        <w:spacing w:line="276" w:lineRule="auto"/>
        <w:ind w:left="660" w:right="20" w:hanging="367"/>
        <w:rPr>
          <w:rFonts w:ascii="Cambria" w:eastAsia="Cambria" w:hAnsi="Cambria" w:cs="Cambria"/>
        </w:rPr>
      </w:pPr>
      <w:r>
        <w:rPr>
          <w:rFonts w:ascii="Cambria" w:eastAsia="Cambria" w:hAnsi="Cambria" w:cs="Cambria"/>
        </w:rPr>
        <w:t>mít uzavřenou písemnou smlouvu o účasti na řešení projektu se všemi jejími povinnými náležitostmi podle článku 6, pokud se na řešení projektu podílí více příjemců,</w:t>
      </w:r>
    </w:p>
    <w:p w:rsidR="00D4760A" w:rsidRDefault="00D4760A">
      <w:pPr>
        <w:spacing w:line="121" w:lineRule="exact"/>
        <w:rPr>
          <w:rFonts w:ascii="Cambria" w:eastAsia="Cambria" w:hAnsi="Cambria" w:cs="Cambria"/>
        </w:rPr>
      </w:pPr>
    </w:p>
    <w:p w:rsidR="00D4760A" w:rsidRDefault="00B93A8D">
      <w:pPr>
        <w:numPr>
          <w:ilvl w:val="1"/>
          <w:numId w:val="13"/>
        </w:numPr>
        <w:tabs>
          <w:tab w:val="left" w:pos="660"/>
        </w:tabs>
        <w:spacing w:line="275" w:lineRule="auto"/>
        <w:ind w:left="660" w:hanging="367"/>
        <w:jc w:val="both"/>
        <w:rPr>
          <w:rFonts w:ascii="Cambria" w:eastAsia="Cambria" w:hAnsi="Cambria" w:cs="Cambria"/>
        </w:rPr>
      </w:pPr>
      <w:r>
        <w:rPr>
          <w:rFonts w:ascii="Cambria" w:eastAsia="Cambria" w:hAnsi="Cambria" w:cs="Cambria"/>
        </w:rPr>
        <w:t>s výjimkou veřejné zakázky ve výzkumu, vývoji a inovacích předložit společně se závěrečnou zprávou smlouvu o využití výsledků uzavřenou s uživatelem výsledků anebo řádné odůvodnění (čestné prohlášení o využití výsledků), zejména pokud příjemce bude jediným uživatelem výsledku projektu,</w:t>
      </w:r>
    </w:p>
    <w:p w:rsidR="00D4760A" w:rsidRDefault="00D4760A">
      <w:pPr>
        <w:spacing w:line="123" w:lineRule="exact"/>
        <w:rPr>
          <w:rFonts w:ascii="Cambria" w:eastAsia="Cambria" w:hAnsi="Cambria" w:cs="Cambria"/>
        </w:rPr>
      </w:pPr>
    </w:p>
    <w:p w:rsidR="00D4760A" w:rsidRDefault="00B93A8D">
      <w:pPr>
        <w:numPr>
          <w:ilvl w:val="1"/>
          <w:numId w:val="13"/>
        </w:numPr>
        <w:tabs>
          <w:tab w:val="left" w:pos="660"/>
        </w:tabs>
        <w:ind w:left="660" w:hanging="367"/>
        <w:rPr>
          <w:rFonts w:ascii="Cambria" w:eastAsia="Cambria" w:hAnsi="Cambria" w:cs="Cambria"/>
        </w:rPr>
      </w:pPr>
      <w:r>
        <w:rPr>
          <w:rFonts w:ascii="Cambria" w:eastAsia="Cambria" w:hAnsi="Cambria" w:cs="Cambria"/>
        </w:rPr>
        <w:t>poskytovat výsledky podle pravidel stanovených v článku 15,</w:t>
      </w:r>
    </w:p>
    <w:p w:rsidR="00D4760A" w:rsidRDefault="00D4760A">
      <w:pPr>
        <w:spacing w:line="159" w:lineRule="exact"/>
        <w:rPr>
          <w:rFonts w:ascii="Cambria" w:eastAsia="Cambria" w:hAnsi="Cambria" w:cs="Cambria"/>
        </w:rPr>
      </w:pPr>
    </w:p>
    <w:p w:rsidR="00D4760A" w:rsidRDefault="00B93A8D">
      <w:pPr>
        <w:numPr>
          <w:ilvl w:val="1"/>
          <w:numId w:val="13"/>
        </w:numPr>
        <w:tabs>
          <w:tab w:val="left" w:pos="660"/>
        </w:tabs>
        <w:spacing w:line="274" w:lineRule="auto"/>
        <w:ind w:left="660" w:hanging="367"/>
        <w:rPr>
          <w:rFonts w:ascii="Cambria" w:eastAsia="Cambria" w:hAnsi="Cambria" w:cs="Cambria"/>
        </w:rPr>
      </w:pPr>
      <w:r>
        <w:rPr>
          <w:rFonts w:ascii="Cambria" w:eastAsia="Cambria" w:hAnsi="Cambria" w:cs="Cambria"/>
        </w:rPr>
        <w:t>bez zbytečného odkladu po výzvě poskytovatele protokolárně předat poskytovateli výsledek veřejné zakázky ve výzkumu, vývoji a inovacích.</w:t>
      </w:r>
    </w:p>
    <w:p w:rsidR="00D4760A" w:rsidRDefault="00D4760A">
      <w:pPr>
        <w:spacing w:line="200" w:lineRule="exact"/>
        <w:rPr>
          <w:rFonts w:ascii="Cambria" w:eastAsia="Cambria" w:hAnsi="Cambria" w:cs="Cambria"/>
        </w:rPr>
      </w:pPr>
    </w:p>
    <w:p w:rsidR="00D4760A" w:rsidRDefault="00D4760A">
      <w:pPr>
        <w:spacing w:line="338" w:lineRule="exact"/>
        <w:rPr>
          <w:rFonts w:ascii="Cambria" w:eastAsia="Cambria" w:hAnsi="Cambria" w:cs="Cambria"/>
        </w:rPr>
      </w:pPr>
    </w:p>
    <w:p w:rsidR="00D4760A" w:rsidRDefault="00B93A8D">
      <w:pPr>
        <w:numPr>
          <w:ilvl w:val="0"/>
          <w:numId w:val="14"/>
        </w:numPr>
        <w:tabs>
          <w:tab w:val="left" w:pos="360"/>
        </w:tabs>
        <w:ind w:left="360" w:hanging="360"/>
        <w:rPr>
          <w:rFonts w:ascii="Cambria" w:eastAsia="Cambria" w:hAnsi="Cambria" w:cs="Cambria"/>
          <w:b/>
          <w:bCs/>
        </w:rPr>
      </w:pPr>
      <w:r>
        <w:rPr>
          <w:rFonts w:ascii="Cambria" w:eastAsia="Cambria" w:hAnsi="Cambria" w:cs="Cambria"/>
        </w:rPr>
        <w:t>Hlavní příjemce je dále povinen</w:t>
      </w:r>
    </w:p>
    <w:p w:rsidR="00D4760A" w:rsidRDefault="00D4760A">
      <w:pPr>
        <w:spacing w:line="159" w:lineRule="exact"/>
        <w:rPr>
          <w:rFonts w:ascii="Cambria" w:eastAsia="Cambria" w:hAnsi="Cambria" w:cs="Cambria"/>
          <w:b/>
          <w:bCs/>
        </w:rPr>
      </w:pPr>
    </w:p>
    <w:p w:rsidR="00D4760A" w:rsidRDefault="00B93A8D">
      <w:pPr>
        <w:numPr>
          <w:ilvl w:val="1"/>
          <w:numId w:val="14"/>
        </w:numPr>
        <w:tabs>
          <w:tab w:val="left" w:pos="660"/>
        </w:tabs>
        <w:spacing w:line="274" w:lineRule="auto"/>
        <w:ind w:left="660" w:right="20" w:hanging="367"/>
        <w:rPr>
          <w:rFonts w:ascii="Cambria" w:eastAsia="Cambria" w:hAnsi="Cambria" w:cs="Cambria"/>
        </w:rPr>
      </w:pPr>
      <w:r>
        <w:rPr>
          <w:rFonts w:ascii="Cambria" w:eastAsia="Cambria" w:hAnsi="Cambria" w:cs="Cambria"/>
        </w:rPr>
        <w:t>zahájit řešení projektu v termínu stanoveném v Závazných parametrech řešení projektu, nejpozději však do 60 kalendářních dnů ode dne nabytí účinnosti Smlouvy,</w:t>
      </w:r>
    </w:p>
    <w:p w:rsidR="00D4760A" w:rsidRDefault="00B93A8D">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-761365</wp:posOffset>
            </wp:positionH>
            <wp:positionV relativeFrom="paragraph">
              <wp:posOffset>413385</wp:posOffset>
            </wp:positionV>
            <wp:extent cx="3601085" cy="9601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15"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6/23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47488"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1"/>
          <w:numId w:val="15"/>
        </w:numPr>
        <w:tabs>
          <w:tab w:val="left" w:pos="660"/>
        </w:tabs>
        <w:spacing w:line="276" w:lineRule="auto"/>
        <w:ind w:left="660" w:hanging="367"/>
        <w:rPr>
          <w:rFonts w:ascii="Cambria" w:eastAsia="Cambria" w:hAnsi="Cambria" w:cs="Cambria"/>
        </w:rPr>
      </w:pPr>
      <w:r>
        <w:rPr>
          <w:rFonts w:ascii="Cambria" w:eastAsia="Cambria" w:hAnsi="Cambria" w:cs="Cambria"/>
        </w:rPr>
        <w:t>svou činností při řešení projektu dosahovat výsledků ve lhůtách uvedených v Závazných parametrech řešení projektu,</w:t>
      </w:r>
    </w:p>
    <w:p w:rsidR="00D4760A" w:rsidRDefault="00D4760A">
      <w:pPr>
        <w:spacing w:line="119" w:lineRule="exact"/>
        <w:rPr>
          <w:rFonts w:ascii="Cambria" w:eastAsia="Cambria" w:hAnsi="Cambria" w:cs="Cambria"/>
        </w:rPr>
      </w:pPr>
    </w:p>
    <w:p w:rsidR="00D4760A" w:rsidRDefault="00B93A8D">
      <w:pPr>
        <w:numPr>
          <w:ilvl w:val="1"/>
          <w:numId w:val="15"/>
        </w:numPr>
        <w:tabs>
          <w:tab w:val="left" w:pos="660"/>
        </w:tabs>
        <w:spacing w:line="276" w:lineRule="auto"/>
        <w:ind w:left="660" w:hanging="367"/>
        <w:jc w:val="both"/>
        <w:rPr>
          <w:rFonts w:ascii="Cambria" w:eastAsia="Cambria" w:hAnsi="Cambria" w:cs="Cambria"/>
        </w:rPr>
      </w:pPr>
      <w:r>
        <w:rPr>
          <w:rFonts w:ascii="Cambria" w:eastAsia="Cambria" w:hAnsi="Cambria" w:cs="Cambria"/>
        </w:rPr>
        <w:t xml:space="preserve">písemně informovat poskytovatele o veškerých změnách, týkajících se jeho osoby nebo dalšího účastníka, o změnách veškerých skutečností uvedených v Závazných parametrech řešení projektu, a dále o jakýchkoliv dalších změnách a skutečnostech, které by mohly mít vliv na řešení a cíle projektu nebo změnu údajů zveřejňovaných v IS VaVaI, a o tom, že jeho osoba či další účastník přestal splňovat podmínky kvalifikace, které nastaly v době ode dne nabytí účinnosti Smlouvy, a to v souladu se směrnicí </w:t>
      </w:r>
      <w:r>
        <w:rPr>
          <w:rFonts w:ascii="Cambria" w:eastAsia="Cambria" w:hAnsi="Cambria" w:cs="Cambria"/>
          <w:b/>
          <w:bCs/>
        </w:rPr>
        <w:t>SME-07 Změnová řízení projektů</w:t>
      </w:r>
      <w:r>
        <w:rPr>
          <w:rFonts w:ascii="Cambria" w:eastAsia="Cambria" w:hAnsi="Cambria" w:cs="Cambria"/>
        </w:rPr>
        <w:t>, přičemž informování je možné provést rovnou žádostí o změnu podle této směrnice,</w:t>
      </w:r>
    </w:p>
    <w:p w:rsidR="00D4760A" w:rsidRDefault="00D4760A">
      <w:pPr>
        <w:spacing w:line="120" w:lineRule="exact"/>
        <w:rPr>
          <w:rFonts w:ascii="Cambria" w:eastAsia="Cambria" w:hAnsi="Cambria" w:cs="Cambria"/>
        </w:rPr>
      </w:pPr>
    </w:p>
    <w:p w:rsidR="00D4760A" w:rsidRDefault="00B93A8D">
      <w:pPr>
        <w:numPr>
          <w:ilvl w:val="1"/>
          <w:numId w:val="15"/>
        </w:numPr>
        <w:tabs>
          <w:tab w:val="left" w:pos="660"/>
        </w:tabs>
        <w:spacing w:line="276" w:lineRule="auto"/>
        <w:ind w:left="660" w:hanging="367"/>
        <w:rPr>
          <w:rFonts w:ascii="Cambria" w:eastAsia="Cambria" w:hAnsi="Cambria" w:cs="Cambria"/>
        </w:rPr>
      </w:pPr>
      <w:r>
        <w:rPr>
          <w:rFonts w:ascii="Cambria" w:eastAsia="Cambria" w:hAnsi="Cambria" w:cs="Cambria"/>
        </w:rPr>
        <w:t xml:space="preserve">postupovat v souladu s dokumentem </w:t>
      </w:r>
      <w:r>
        <w:rPr>
          <w:rFonts w:ascii="Cambria" w:eastAsia="Cambria" w:hAnsi="Cambria" w:cs="Cambria"/>
          <w:b/>
          <w:bCs/>
        </w:rPr>
        <w:t>„Pravidla pro publicitu projektů podpořených</w:t>
      </w:r>
      <w:r>
        <w:rPr>
          <w:rFonts w:ascii="Cambria" w:eastAsia="Cambria" w:hAnsi="Cambria" w:cs="Cambria"/>
        </w:rPr>
        <w:t xml:space="preserve"> </w:t>
      </w:r>
      <w:r>
        <w:rPr>
          <w:rFonts w:ascii="Cambria" w:eastAsia="Cambria" w:hAnsi="Cambria" w:cs="Cambria"/>
          <w:b/>
          <w:bCs/>
        </w:rPr>
        <w:t>z prostředků TA ČR“</w:t>
      </w:r>
      <w:r>
        <w:rPr>
          <w:rFonts w:ascii="Cambria" w:eastAsia="Cambria" w:hAnsi="Cambria" w:cs="Cambria"/>
        </w:rPr>
        <w:t>,</w:t>
      </w:r>
    </w:p>
    <w:p w:rsidR="00D4760A" w:rsidRDefault="00D4760A">
      <w:pPr>
        <w:spacing w:line="121" w:lineRule="exact"/>
        <w:rPr>
          <w:rFonts w:ascii="Cambria" w:eastAsia="Cambria" w:hAnsi="Cambria" w:cs="Cambria"/>
        </w:rPr>
      </w:pPr>
    </w:p>
    <w:p w:rsidR="00D4760A" w:rsidRDefault="00B93A8D">
      <w:pPr>
        <w:numPr>
          <w:ilvl w:val="1"/>
          <w:numId w:val="15"/>
        </w:numPr>
        <w:tabs>
          <w:tab w:val="left" w:pos="660"/>
        </w:tabs>
        <w:spacing w:line="274" w:lineRule="auto"/>
        <w:ind w:left="660" w:right="20" w:hanging="367"/>
        <w:rPr>
          <w:rFonts w:ascii="Cambria" w:eastAsia="Cambria" w:hAnsi="Cambria" w:cs="Cambria"/>
        </w:rPr>
      </w:pPr>
      <w:r>
        <w:rPr>
          <w:rFonts w:ascii="Cambria" w:eastAsia="Cambria" w:hAnsi="Cambria" w:cs="Cambria"/>
        </w:rPr>
        <w:t>předkládat úplné zprávy a další relevantní informace v souladu se Smlouvou a příslušnými hodnotícími procesy, které se týkají jak řešení projektu tak plnění implementačního plánu,</w:t>
      </w:r>
    </w:p>
    <w:p w:rsidR="00D4760A" w:rsidRDefault="00D4760A">
      <w:pPr>
        <w:spacing w:line="123" w:lineRule="exact"/>
        <w:rPr>
          <w:rFonts w:ascii="Cambria" w:eastAsia="Cambria" w:hAnsi="Cambria" w:cs="Cambria"/>
        </w:rPr>
      </w:pPr>
    </w:p>
    <w:p w:rsidR="00D4760A" w:rsidRDefault="00B93A8D">
      <w:pPr>
        <w:numPr>
          <w:ilvl w:val="1"/>
          <w:numId w:val="15"/>
        </w:numPr>
        <w:tabs>
          <w:tab w:val="left" w:pos="660"/>
        </w:tabs>
        <w:spacing w:line="276" w:lineRule="auto"/>
        <w:ind w:left="660" w:hanging="367"/>
        <w:jc w:val="both"/>
        <w:rPr>
          <w:rFonts w:ascii="Cambria" w:eastAsia="Cambria" w:hAnsi="Cambria" w:cs="Cambria"/>
        </w:rPr>
      </w:pPr>
      <w:r>
        <w:rPr>
          <w:rFonts w:ascii="Cambria" w:eastAsia="Cambria" w:hAnsi="Cambria" w:cs="Cambria"/>
        </w:rPr>
        <w:t>uvádět informace, které nejsou zmatečné a zajistit, že veškeré informace uváděné ve zprávách či jiných zasílaných dokumentech nejsou v rozporu se skutečným stavem, zejména finanční vypořádání uváděné v závěrečné zprávě odpovídají skutečné výši vrácené nevyčerpané části podpory,</w:t>
      </w:r>
    </w:p>
    <w:p w:rsidR="00D4760A" w:rsidRDefault="00D4760A">
      <w:pPr>
        <w:spacing w:line="119" w:lineRule="exact"/>
        <w:rPr>
          <w:rFonts w:ascii="Cambria" w:eastAsia="Cambria" w:hAnsi="Cambria" w:cs="Cambria"/>
        </w:rPr>
      </w:pPr>
    </w:p>
    <w:p w:rsidR="00D4760A" w:rsidRDefault="00B93A8D">
      <w:pPr>
        <w:numPr>
          <w:ilvl w:val="1"/>
          <w:numId w:val="15"/>
        </w:numPr>
        <w:tabs>
          <w:tab w:val="left" w:pos="660"/>
        </w:tabs>
        <w:spacing w:line="276" w:lineRule="auto"/>
        <w:ind w:left="660" w:hanging="367"/>
        <w:jc w:val="both"/>
        <w:rPr>
          <w:rFonts w:ascii="Cambria" w:eastAsia="Cambria" w:hAnsi="Cambria" w:cs="Cambria"/>
        </w:rPr>
      </w:pPr>
      <w:r>
        <w:rPr>
          <w:rFonts w:ascii="Cambria" w:eastAsia="Cambria" w:hAnsi="Cambria" w:cs="Cambria"/>
        </w:rPr>
        <w:t>poskytovat veškerou součinnost v souvislosti s průběhem hodnotících a kontrolních procesů jinou než uvedenou v písm. e), poskytovat na žádost poskytovatele jakékoliv informace týkající se průběhu řešení projektu, jeho výsledků, a průběhu realizace implementačního plánu a poskytovat poskytovateli veškeré potřebné informace za účelem zveřejňování v IS VaVaI, a to vše ve lhůtách stanovených jednotlivými hodnotícími procesy, zákonných lhůtách, nebo lhůtách uvedených v žádostech poskytovatele,</w:t>
      </w:r>
    </w:p>
    <w:p w:rsidR="00D4760A" w:rsidRDefault="00D4760A">
      <w:pPr>
        <w:spacing w:line="121" w:lineRule="exact"/>
        <w:rPr>
          <w:rFonts w:ascii="Cambria" w:eastAsia="Cambria" w:hAnsi="Cambria" w:cs="Cambria"/>
        </w:rPr>
      </w:pPr>
    </w:p>
    <w:p w:rsidR="00D4760A" w:rsidRDefault="00B93A8D">
      <w:pPr>
        <w:numPr>
          <w:ilvl w:val="1"/>
          <w:numId w:val="15"/>
        </w:numPr>
        <w:tabs>
          <w:tab w:val="left" w:pos="660"/>
        </w:tabs>
        <w:spacing w:line="274" w:lineRule="auto"/>
        <w:ind w:left="660" w:hanging="367"/>
        <w:rPr>
          <w:rFonts w:ascii="Cambria" w:eastAsia="Cambria" w:hAnsi="Cambria" w:cs="Cambria"/>
        </w:rPr>
      </w:pPr>
      <w:r>
        <w:rPr>
          <w:rFonts w:ascii="Cambria" w:eastAsia="Cambria" w:hAnsi="Cambria" w:cs="Cambria"/>
        </w:rPr>
        <w:t>prokázat na výzvu poskytovatele, že splňuje povinnosti stanovené pravidly poskytnutí podpory, a to ve lhůtě uvedené v této výzvě,</w:t>
      </w:r>
    </w:p>
    <w:p w:rsidR="00D4760A" w:rsidRDefault="00D4760A">
      <w:pPr>
        <w:spacing w:line="123" w:lineRule="exact"/>
        <w:rPr>
          <w:rFonts w:ascii="Cambria" w:eastAsia="Cambria" w:hAnsi="Cambria" w:cs="Cambria"/>
        </w:rPr>
      </w:pPr>
    </w:p>
    <w:p w:rsidR="00D4760A" w:rsidRDefault="00B93A8D">
      <w:pPr>
        <w:numPr>
          <w:ilvl w:val="1"/>
          <w:numId w:val="15"/>
        </w:numPr>
        <w:tabs>
          <w:tab w:val="left" w:pos="660"/>
        </w:tabs>
        <w:spacing w:line="276" w:lineRule="auto"/>
        <w:ind w:left="660" w:hanging="367"/>
        <w:jc w:val="both"/>
        <w:rPr>
          <w:rFonts w:ascii="Cambria" w:eastAsia="Cambria" w:hAnsi="Cambria" w:cs="Cambria"/>
        </w:rPr>
      </w:pPr>
      <w:r>
        <w:rPr>
          <w:rFonts w:ascii="Cambria" w:eastAsia="Cambria" w:hAnsi="Cambria" w:cs="Cambria"/>
        </w:rPr>
        <w:t xml:space="preserve">poskytovat veškerou součinnost podle směrnice </w:t>
      </w:r>
      <w:r>
        <w:rPr>
          <w:rFonts w:ascii="Cambria" w:eastAsia="Cambria" w:hAnsi="Cambria" w:cs="Cambria"/>
          <w:b/>
          <w:bCs/>
        </w:rPr>
        <w:t>SME-07 Změnová řízení projektů</w:t>
      </w:r>
      <w:r>
        <w:rPr>
          <w:rFonts w:ascii="Cambria" w:eastAsia="Cambria" w:hAnsi="Cambria" w:cs="Cambria"/>
        </w:rPr>
        <w:t>, zejména předkládat požadované informace a dokumenty ve stanovených lhůtách tak, aby mohl být proces podle této směrnice řádně dokončen, včetně uzavření dodatku ke smlouvě či rozhodnutí o poskytnutí podpory, pokud tak tato směrnice stanoví a</w:t>
      </w:r>
    </w:p>
    <w:p w:rsidR="00D4760A" w:rsidRDefault="00D4760A">
      <w:pPr>
        <w:spacing w:line="119" w:lineRule="exact"/>
        <w:rPr>
          <w:rFonts w:ascii="Cambria" w:eastAsia="Cambria" w:hAnsi="Cambria" w:cs="Cambria"/>
        </w:rPr>
      </w:pPr>
    </w:p>
    <w:p w:rsidR="00D4760A" w:rsidRDefault="00B93A8D">
      <w:pPr>
        <w:numPr>
          <w:ilvl w:val="1"/>
          <w:numId w:val="15"/>
        </w:numPr>
        <w:tabs>
          <w:tab w:val="left" w:pos="660"/>
        </w:tabs>
        <w:spacing w:line="276" w:lineRule="auto"/>
        <w:ind w:left="660" w:right="20" w:hanging="367"/>
        <w:rPr>
          <w:rFonts w:ascii="Cambria" w:eastAsia="Cambria" w:hAnsi="Cambria" w:cs="Cambria"/>
        </w:rPr>
      </w:pPr>
      <w:r>
        <w:rPr>
          <w:rFonts w:ascii="Cambria" w:eastAsia="Cambria" w:hAnsi="Cambria" w:cs="Cambria"/>
        </w:rPr>
        <w:t>v souladu s článkem 9 vyčíslit a odvést poskytovateli veškeré příjmy z projektů a nezamezovat jejich získávání.</w:t>
      </w:r>
    </w:p>
    <w:p w:rsidR="00D4760A" w:rsidRDefault="00D4760A">
      <w:pPr>
        <w:spacing w:line="119" w:lineRule="exact"/>
        <w:rPr>
          <w:rFonts w:ascii="Cambria" w:eastAsia="Cambria" w:hAnsi="Cambria" w:cs="Cambria"/>
        </w:rPr>
      </w:pPr>
    </w:p>
    <w:p w:rsidR="00D4760A" w:rsidRDefault="00B93A8D">
      <w:pPr>
        <w:numPr>
          <w:ilvl w:val="0"/>
          <w:numId w:val="16"/>
        </w:numPr>
        <w:tabs>
          <w:tab w:val="left" w:pos="360"/>
        </w:tabs>
        <w:spacing w:line="275" w:lineRule="auto"/>
        <w:ind w:left="360" w:hanging="360"/>
        <w:jc w:val="both"/>
        <w:rPr>
          <w:rFonts w:ascii="Cambria" w:eastAsia="Cambria" w:hAnsi="Cambria" w:cs="Cambria"/>
          <w:b/>
          <w:bCs/>
        </w:rPr>
      </w:pPr>
      <w:r>
        <w:rPr>
          <w:rFonts w:ascii="Cambria" w:eastAsia="Cambria" w:hAnsi="Cambria" w:cs="Cambria"/>
        </w:rPr>
        <w:t>Hlavní příjemce je zároveň povinen zajistit, aby další účastník rovněž dodržoval výše uvedené povinnosti, popř. aby prováděl veškerou potřebnou součinnost za účelem dodržení těchto povinností hlavním příjemcem.</w:t>
      </w:r>
    </w:p>
    <w:p w:rsidR="00D4760A" w:rsidRDefault="00D4760A">
      <w:pPr>
        <w:spacing w:line="123" w:lineRule="exact"/>
        <w:rPr>
          <w:rFonts w:ascii="Cambria" w:eastAsia="Cambria" w:hAnsi="Cambria" w:cs="Cambria"/>
          <w:b/>
          <w:bCs/>
        </w:rPr>
      </w:pPr>
    </w:p>
    <w:p w:rsidR="00D4760A" w:rsidRDefault="00B93A8D">
      <w:pPr>
        <w:numPr>
          <w:ilvl w:val="0"/>
          <w:numId w:val="16"/>
        </w:numPr>
        <w:tabs>
          <w:tab w:val="left" w:pos="360"/>
        </w:tabs>
        <w:spacing w:line="275" w:lineRule="auto"/>
        <w:ind w:left="360" w:hanging="360"/>
        <w:jc w:val="both"/>
        <w:rPr>
          <w:rFonts w:ascii="Cambria" w:eastAsia="Cambria" w:hAnsi="Cambria" w:cs="Cambria"/>
          <w:b/>
          <w:bCs/>
        </w:rPr>
      </w:pPr>
      <w:r>
        <w:rPr>
          <w:rFonts w:ascii="Cambria" w:eastAsia="Cambria" w:hAnsi="Cambria" w:cs="Cambria"/>
        </w:rPr>
        <w:t xml:space="preserve">Pokud je hlavnímu příjemci stanovena povinnost písemného doručování poskytovateli v dané lhůtě, a v případě, že nevyužije elektronické podání (informační systém datových schránek nebo e-mailová zpráva se zaručeným elektronickým podpisem na adresu </w:t>
      </w:r>
      <w:r>
        <w:rPr>
          <w:rFonts w:ascii="Cambria" w:eastAsia="Cambria" w:hAnsi="Cambria" w:cs="Cambria"/>
          <w:u w:val="single"/>
        </w:rPr>
        <w:t>posta@tacr.cz</w:t>
      </w:r>
      <w:r>
        <w:rPr>
          <w:rFonts w:ascii="Cambria" w:eastAsia="Cambria" w:hAnsi="Cambria" w:cs="Cambria"/>
        </w:rPr>
        <w:t>), je povinen</w:t>
      </w:r>
    </w:p>
    <w:p w:rsidR="00D4760A" w:rsidRDefault="00B93A8D">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-761365</wp:posOffset>
            </wp:positionH>
            <wp:positionV relativeFrom="paragraph">
              <wp:posOffset>228600</wp:posOffset>
            </wp:positionV>
            <wp:extent cx="3601085" cy="9601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24"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7/23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49536"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spacing w:line="276" w:lineRule="auto"/>
        <w:ind w:left="360"/>
        <w:rPr>
          <w:sz w:val="20"/>
          <w:szCs w:val="20"/>
        </w:rPr>
      </w:pPr>
      <w:r>
        <w:rPr>
          <w:rFonts w:ascii="Cambria" w:eastAsia="Cambria" w:hAnsi="Cambria" w:cs="Cambria"/>
        </w:rPr>
        <w:t>doručit příslušný dokument nejpozději do konce úředních hodin podatelny TA ČR v poslední den lhůty. Úřední hodiny podatelny TA ČR jsou uvedeny na webových stránkách poskytovatele.</w:t>
      </w:r>
    </w:p>
    <w:p w:rsidR="00D4760A" w:rsidRDefault="00D4760A">
      <w:pPr>
        <w:spacing w:line="120" w:lineRule="exact"/>
        <w:rPr>
          <w:sz w:val="20"/>
          <w:szCs w:val="20"/>
        </w:rPr>
      </w:pPr>
    </w:p>
    <w:p w:rsidR="00D4760A" w:rsidRDefault="00B93A8D">
      <w:pPr>
        <w:numPr>
          <w:ilvl w:val="0"/>
          <w:numId w:val="17"/>
        </w:numPr>
        <w:tabs>
          <w:tab w:val="left" w:pos="360"/>
        </w:tabs>
        <w:spacing w:line="276" w:lineRule="auto"/>
        <w:ind w:left="360" w:hanging="360"/>
        <w:jc w:val="both"/>
        <w:rPr>
          <w:rFonts w:ascii="Cambria" w:eastAsia="Cambria" w:hAnsi="Cambria" w:cs="Cambria"/>
          <w:b/>
          <w:bCs/>
        </w:rPr>
      </w:pPr>
      <w:r>
        <w:rPr>
          <w:rFonts w:ascii="Cambria" w:eastAsia="Cambria" w:hAnsi="Cambria" w:cs="Cambria"/>
        </w:rPr>
        <w:t>Příjemce je povinen přijmout opatření k odstranění nedostatků zjištěných při veřejnosprávní kontrole bez zbytečného odkladu, nejpozději však ve lhůtě stanovené kontrolním orgánem, a o příjemcem přijatých opatřeních informovat poskytovatele, přičemž si poskytovatel vyhrazuje právo prověřit u příjemce plnění uložených opatření k nápravě.</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57" w:lineRule="exact"/>
        <w:rPr>
          <w:sz w:val="20"/>
          <w:szCs w:val="20"/>
        </w:rPr>
      </w:pPr>
    </w:p>
    <w:p w:rsidR="00D4760A" w:rsidRDefault="00B93A8D">
      <w:pPr>
        <w:ind w:right="80"/>
        <w:jc w:val="center"/>
        <w:rPr>
          <w:sz w:val="20"/>
          <w:szCs w:val="20"/>
        </w:rPr>
      </w:pPr>
      <w:r>
        <w:rPr>
          <w:rFonts w:ascii="Cambria" w:eastAsia="Cambria" w:hAnsi="Cambria" w:cs="Cambria"/>
          <w:b/>
          <w:bCs/>
          <w:i/>
          <w:iCs/>
        </w:rPr>
        <w:t>Článek 5</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Důsledky porušení podmínek poskytnutí podpory</w:t>
      </w:r>
    </w:p>
    <w:p w:rsidR="00D4760A" w:rsidRDefault="00D4760A">
      <w:pPr>
        <w:spacing w:line="157" w:lineRule="exact"/>
        <w:rPr>
          <w:sz w:val="20"/>
          <w:szCs w:val="20"/>
        </w:rPr>
      </w:pPr>
    </w:p>
    <w:p w:rsidR="00D4760A" w:rsidRDefault="00B93A8D">
      <w:pPr>
        <w:numPr>
          <w:ilvl w:val="0"/>
          <w:numId w:val="18"/>
        </w:numPr>
        <w:tabs>
          <w:tab w:val="left" w:pos="360"/>
        </w:tabs>
        <w:spacing w:line="276" w:lineRule="auto"/>
        <w:ind w:left="360" w:hanging="360"/>
        <w:rPr>
          <w:rFonts w:ascii="Cambria" w:eastAsia="Cambria" w:hAnsi="Cambria" w:cs="Cambria"/>
          <w:b/>
          <w:bCs/>
        </w:rPr>
      </w:pPr>
      <w:r>
        <w:rPr>
          <w:rFonts w:ascii="Cambria" w:eastAsia="Cambria" w:hAnsi="Cambria" w:cs="Cambria"/>
        </w:rPr>
        <w:t>V případě jakéhokoliv porušení povinností hlavním příjemcem je poskytovatel oprávněn pozastavit poskytování podpory a neposkytnout příslušnou část podpory ve stanovených lhůtách.</w:t>
      </w:r>
    </w:p>
    <w:p w:rsidR="00D4760A" w:rsidRDefault="00D4760A">
      <w:pPr>
        <w:spacing w:line="121" w:lineRule="exact"/>
        <w:rPr>
          <w:rFonts w:ascii="Cambria" w:eastAsia="Cambria" w:hAnsi="Cambria" w:cs="Cambria"/>
          <w:b/>
          <w:bCs/>
        </w:rPr>
      </w:pPr>
    </w:p>
    <w:p w:rsidR="00D4760A" w:rsidRDefault="00B93A8D">
      <w:pPr>
        <w:numPr>
          <w:ilvl w:val="0"/>
          <w:numId w:val="18"/>
        </w:numPr>
        <w:tabs>
          <w:tab w:val="left" w:pos="360"/>
        </w:tabs>
        <w:spacing w:line="275" w:lineRule="auto"/>
        <w:ind w:left="360" w:right="20" w:hanging="360"/>
        <w:jc w:val="both"/>
        <w:rPr>
          <w:rFonts w:ascii="Cambria" w:eastAsia="Cambria" w:hAnsi="Cambria" w:cs="Cambria"/>
          <w:b/>
          <w:bCs/>
        </w:rPr>
      </w:pPr>
      <w:r>
        <w:rPr>
          <w:rFonts w:ascii="Cambria" w:eastAsia="Cambria" w:hAnsi="Cambria" w:cs="Cambria"/>
        </w:rPr>
        <w:t>Porušení povinností hlavním příjemcem stanovených v čl. 4 odst. 1 se považuje za porušení rozpočtové kázně a má za následek podání podnětu k zahájení řízení o porušení rozpočtové kázně s tím, že</w:t>
      </w:r>
    </w:p>
    <w:p w:rsidR="00D4760A" w:rsidRDefault="00D4760A">
      <w:pPr>
        <w:spacing w:line="121" w:lineRule="exact"/>
        <w:rPr>
          <w:rFonts w:ascii="Cambria" w:eastAsia="Cambria" w:hAnsi="Cambria" w:cs="Cambria"/>
          <w:b/>
          <w:bCs/>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a) se odvádí 100 % takto neoprávněně použité podpory,</w:t>
      </w:r>
    </w:p>
    <w:p w:rsidR="00D4760A" w:rsidRDefault="00D4760A">
      <w:pPr>
        <w:spacing w:line="160"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b) se odvádí 100 % takto nevrácené podpory,</w:t>
      </w:r>
    </w:p>
    <w:p w:rsidR="00D4760A" w:rsidRDefault="00D4760A">
      <w:pPr>
        <w:spacing w:line="159" w:lineRule="exact"/>
        <w:rPr>
          <w:rFonts w:ascii="Cambria" w:eastAsia="Cambria" w:hAnsi="Cambria" w:cs="Cambria"/>
        </w:rPr>
      </w:pPr>
    </w:p>
    <w:p w:rsidR="00D4760A" w:rsidRDefault="00B93A8D">
      <w:pPr>
        <w:numPr>
          <w:ilvl w:val="1"/>
          <w:numId w:val="18"/>
        </w:numPr>
        <w:tabs>
          <w:tab w:val="left" w:pos="660"/>
        </w:tabs>
        <w:spacing w:line="274" w:lineRule="auto"/>
        <w:ind w:left="660" w:hanging="367"/>
        <w:rPr>
          <w:rFonts w:ascii="Cambria" w:eastAsia="Cambria" w:hAnsi="Cambria" w:cs="Cambria"/>
        </w:rPr>
      </w:pPr>
      <w:r>
        <w:rPr>
          <w:rFonts w:ascii="Cambria" w:eastAsia="Cambria" w:hAnsi="Cambria" w:cs="Cambria"/>
        </w:rPr>
        <w:t>podle písm. c) pokud mělo vliv na nedosažení cíle projektu se odvádí 100% poskytnuté podpory určené k dosažení toho výsledku, kterého nebylo dosaženo,</w:t>
      </w:r>
    </w:p>
    <w:p w:rsidR="00D4760A" w:rsidRDefault="00D4760A">
      <w:pPr>
        <w:spacing w:line="123"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d) se odvádí 5 % příslušné části podpory nepřevedené dalšímu účastníku,</w:t>
      </w:r>
    </w:p>
    <w:p w:rsidR="00D4760A" w:rsidRDefault="00D4760A">
      <w:pPr>
        <w:spacing w:line="157" w:lineRule="exact"/>
        <w:rPr>
          <w:rFonts w:ascii="Cambria" w:eastAsia="Cambria" w:hAnsi="Cambria" w:cs="Cambria"/>
        </w:rPr>
      </w:pPr>
    </w:p>
    <w:p w:rsidR="00D4760A" w:rsidRDefault="00B93A8D">
      <w:pPr>
        <w:numPr>
          <w:ilvl w:val="1"/>
          <w:numId w:val="18"/>
        </w:numPr>
        <w:tabs>
          <w:tab w:val="left" w:pos="660"/>
        </w:tabs>
        <w:spacing w:line="275" w:lineRule="auto"/>
        <w:ind w:left="660" w:hanging="367"/>
        <w:jc w:val="both"/>
        <w:rPr>
          <w:rFonts w:ascii="Cambria" w:eastAsia="Cambria" w:hAnsi="Cambria" w:cs="Cambria"/>
        </w:rPr>
      </w:pPr>
      <w:r>
        <w:rPr>
          <w:rFonts w:ascii="Cambria" w:eastAsia="Cambria" w:hAnsi="Cambria" w:cs="Cambria"/>
        </w:rPr>
        <w:t>podle písm. e) se odvádí 100 % takto nevrácené příslušné části podpory a její části vrácené v dalším kalendářním roce po ukončení řešení projektu nad rámec povolených procentuálních limitů dle čl. 3 odst. 12,</w:t>
      </w:r>
    </w:p>
    <w:p w:rsidR="00D4760A" w:rsidRDefault="00D4760A">
      <w:pPr>
        <w:spacing w:line="123"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f) se odvádí 100 % veškeré dosud poskytnuté podpory,</w:t>
      </w:r>
    </w:p>
    <w:p w:rsidR="00D4760A" w:rsidRDefault="00D4760A">
      <w:pPr>
        <w:spacing w:line="159"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g) se odvádí 100 % částky odpovídající stanovené smluvní pokutě,</w:t>
      </w:r>
    </w:p>
    <w:p w:rsidR="00D4760A" w:rsidRDefault="00D4760A">
      <w:pPr>
        <w:spacing w:line="157"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h) se odvádí 100 % veškeré dosud poskytnuté podpory,</w:t>
      </w:r>
    </w:p>
    <w:p w:rsidR="00D4760A" w:rsidRDefault="00D4760A">
      <w:pPr>
        <w:spacing w:line="159"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i) se odvádí 5 % veškeré dosud poskytnuté podpory,</w:t>
      </w:r>
    </w:p>
    <w:p w:rsidR="00D4760A" w:rsidRDefault="00D4760A">
      <w:pPr>
        <w:spacing w:line="157"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j) se odvádí 100 % celkové podpory,</w:t>
      </w:r>
    </w:p>
    <w:p w:rsidR="00D4760A" w:rsidRDefault="00D4760A">
      <w:pPr>
        <w:spacing w:line="159"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k) se odvádí 100 % celkové podpory.</w:t>
      </w:r>
    </w:p>
    <w:p w:rsidR="00D4760A" w:rsidRDefault="00D4760A">
      <w:pPr>
        <w:spacing w:line="159" w:lineRule="exact"/>
        <w:rPr>
          <w:rFonts w:ascii="Cambria" w:eastAsia="Cambria" w:hAnsi="Cambria" w:cs="Cambria"/>
        </w:rPr>
      </w:pPr>
    </w:p>
    <w:p w:rsidR="00D4760A" w:rsidRDefault="00B93A8D">
      <w:pPr>
        <w:numPr>
          <w:ilvl w:val="0"/>
          <w:numId w:val="18"/>
        </w:numPr>
        <w:tabs>
          <w:tab w:val="left" w:pos="360"/>
        </w:tabs>
        <w:ind w:left="360" w:hanging="360"/>
        <w:rPr>
          <w:rFonts w:ascii="Cambria" w:eastAsia="Cambria" w:hAnsi="Cambria" w:cs="Cambria"/>
          <w:b/>
          <w:bCs/>
        </w:rPr>
      </w:pPr>
      <w:r>
        <w:rPr>
          <w:rFonts w:ascii="Cambria" w:eastAsia="Cambria" w:hAnsi="Cambria" w:cs="Cambria"/>
        </w:rPr>
        <w:t>Porušení povinností hlavním příjemcem stanovených v čl. 4 odst. 2 má za následek</w:t>
      </w:r>
    </w:p>
    <w:p w:rsidR="00D4760A" w:rsidRDefault="00D4760A">
      <w:pPr>
        <w:spacing w:line="157" w:lineRule="exact"/>
        <w:rPr>
          <w:rFonts w:ascii="Cambria" w:eastAsia="Cambria" w:hAnsi="Cambria" w:cs="Cambria"/>
          <w:b/>
          <w:bCs/>
        </w:rPr>
      </w:pPr>
    </w:p>
    <w:p w:rsidR="00D4760A" w:rsidRDefault="00B93A8D">
      <w:pPr>
        <w:numPr>
          <w:ilvl w:val="1"/>
          <w:numId w:val="18"/>
        </w:numPr>
        <w:tabs>
          <w:tab w:val="left" w:pos="660"/>
        </w:tabs>
        <w:spacing w:line="276" w:lineRule="auto"/>
        <w:ind w:left="660" w:hanging="367"/>
        <w:rPr>
          <w:rFonts w:ascii="Cambria" w:eastAsia="Cambria" w:hAnsi="Cambria" w:cs="Cambria"/>
        </w:rPr>
      </w:pPr>
      <w:r>
        <w:rPr>
          <w:rFonts w:ascii="Cambria" w:eastAsia="Cambria" w:hAnsi="Cambria" w:cs="Cambria"/>
        </w:rPr>
        <w:t>podle písm. a) smluvní pokutu ve výši 5.000,- Kč za každý byť započatý měsíc prodlení, maximálně však 50.000 Kč,</w:t>
      </w:r>
    </w:p>
    <w:p w:rsidR="00D4760A" w:rsidRDefault="00D4760A">
      <w:pPr>
        <w:spacing w:line="119" w:lineRule="exact"/>
        <w:rPr>
          <w:rFonts w:ascii="Cambria" w:eastAsia="Cambria" w:hAnsi="Cambria" w:cs="Cambria"/>
        </w:rPr>
      </w:pPr>
    </w:p>
    <w:p w:rsidR="00D4760A" w:rsidRDefault="00B93A8D">
      <w:pPr>
        <w:numPr>
          <w:ilvl w:val="1"/>
          <w:numId w:val="18"/>
        </w:numPr>
        <w:tabs>
          <w:tab w:val="left" w:pos="660"/>
        </w:tabs>
        <w:ind w:left="660" w:hanging="367"/>
        <w:rPr>
          <w:rFonts w:ascii="Cambria" w:eastAsia="Cambria" w:hAnsi="Cambria" w:cs="Cambria"/>
        </w:rPr>
      </w:pPr>
      <w:r>
        <w:rPr>
          <w:rFonts w:ascii="Cambria" w:eastAsia="Cambria" w:hAnsi="Cambria" w:cs="Cambria"/>
        </w:rPr>
        <w:t>podle písm. b) smluvní pokutu ve výši 5000,- za každý byť započatý měsíc prodlení,</w:t>
      </w:r>
    </w:p>
    <w:p w:rsidR="00D4760A" w:rsidRDefault="00B93A8D">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-761365</wp:posOffset>
            </wp:positionH>
            <wp:positionV relativeFrom="paragraph">
              <wp:posOffset>431800</wp:posOffset>
            </wp:positionV>
            <wp:extent cx="3601085" cy="9601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4"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8/23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51584"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1"/>
          <w:numId w:val="19"/>
        </w:numPr>
        <w:tabs>
          <w:tab w:val="left" w:pos="660"/>
        </w:tabs>
        <w:spacing w:line="276" w:lineRule="auto"/>
        <w:ind w:left="660" w:hanging="367"/>
        <w:rPr>
          <w:rFonts w:ascii="Cambria" w:eastAsia="Cambria" w:hAnsi="Cambria" w:cs="Cambria"/>
        </w:rPr>
      </w:pPr>
      <w:r>
        <w:rPr>
          <w:rFonts w:ascii="Cambria" w:eastAsia="Cambria" w:hAnsi="Cambria" w:cs="Cambria"/>
        </w:rPr>
        <w:t>podle písm. c) povinnost uhradit smluvní pokutu ve výši 5.000,- Kč za každé takové jednotlivé porušení</w:t>
      </w:r>
    </w:p>
    <w:p w:rsidR="00D4760A" w:rsidRDefault="00D4760A">
      <w:pPr>
        <w:spacing w:line="119" w:lineRule="exact"/>
        <w:rPr>
          <w:rFonts w:ascii="Cambria" w:eastAsia="Cambria" w:hAnsi="Cambria" w:cs="Cambria"/>
        </w:rPr>
      </w:pPr>
    </w:p>
    <w:p w:rsidR="00D4760A" w:rsidRDefault="00B93A8D">
      <w:pPr>
        <w:numPr>
          <w:ilvl w:val="1"/>
          <w:numId w:val="19"/>
        </w:numPr>
        <w:tabs>
          <w:tab w:val="left" w:pos="660"/>
        </w:tabs>
        <w:spacing w:line="276" w:lineRule="auto"/>
        <w:ind w:left="660" w:hanging="367"/>
        <w:rPr>
          <w:rFonts w:ascii="Cambria" w:eastAsia="Cambria" w:hAnsi="Cambria" w:cs="Cambria"/>
        </w:rPr>
      </w:pPr>
      <w:r>
        <w:rPr>
          <w:rFonts w:ascii="Cambria" w:eastAsia="Cambria" w:hAnsi="Cambria" w:cs="Cambria"/>
        </w:rPr>
        <w:t>podle písm. d) povinnost uhradit smluvní pokutu ve výši 5.000 Kč,- za každé takové jednotlivé porušení,</w:t>
      </w:r>
    </w:p>
    <w:p w:rsidR="00D4760A" w:rsidRDefault="00D4760A">
      <w:pPr>
        <w:spacing w:line="119" w:lineRule="exact"/>
        <w:rPr>
          <w:rFonts w:ascii="Cambria" w:eastAsia="Cambria" w:hAnsi="Cambria" w:cs="Cambria"/>
        </w:rPr>
      </w:pPr>
    </w:p>
    <w:p w:rsidR="00D4760A" w:rsidRDefault="00B93A8D">
      <w:pPr>
        <w:numPr>
          <w:ilvl w:val="1"/>
          <w:numId w:val="19"/>
        </w:numPr>
        <w:tabs>
          <w:tab w:val="left" w:pos="660"/>
        </w:tabs>
        <w:spacing w:line="276" w:lineRule="auto"/>
        <w:ind w:left="660" w:hanging="367"/>
        <w:rPr>
          <w:rFonts w:ascii="Cambria" w:eastAsia="Cambria" w:hAnsi="Cambria" w:cs="Cambria"/>
        </w:rPr>
      </w:pPr>
      <w:r>
        <w:rPr>
          <w:rFonts w:ascii="Cambria" w:eastAsia="Cambria" w:hAnsi="Cambria" w:cs="Cambria"/>
        </w:rPr>
        <w:t>podle písm. e) povinnost uhradit smluvní pokutu ve výši 1.000 Kč,- za každý byť započatý den prodlení, maximálně však 50.000 Kč,</w:t>
      </w:r>
    </w:p>
    <w:p w:rsidR="00D4760A" w:rsidRDefault="00D4760A">
      <w:pPr>
        <w:spacing w:line="122" w:lineRule="exact"/>
        <w:rPr>
          <w:rFonts w:ascii="Cambria" w:eastAsia="Cambria" w:hAnsi="Cambria" w:cs="Cambria"/>
        </w:rPr>
      </w:pPr>
    </w:p>
    <w:p w:rsidR="00D4760A" w:rsidRDefault="00B93A8D">
      <w:pPr>
        <w:numPr>
          <w:ilvl w:val="1"/>
          <w:numId w:val="19"/>
        </w:numPr>
        <w:tabs>
          <w:tab w:val="left" w:pos="660"/>
        </w:tabs>
        <w:spacing w:line="274" w:lineRule="auto"/>
        <w:ind w:left="660" w:hanging="367"/>
        <w:rPr>
          <w:rFonts w:ascii="Cambria" w:eastAsia="Cambria" w:hAnsi="Cambria" w:cs="Cambria"/>
        </w:rPr>
      </w:pPr>
      <w:r>
        <w:rPr>
          <w:rFonts w:ascii="Cambria" w:eastAsia="Cambria" w:hAnsi="Cambria" w:cs="Cambria"/>
        </w:rPr>
        <w:t>podle písm. f) povinnost uhradit smluvní pokutu ve výši 5.000 Kč,- za každé takové jednotlivé porušení,</w:t>
      </w:r>
    </w:p>
    <w:p w:rsidR="00D4760A" w:rsidRDefault="00D4760A">
      <w:pPr>
        <w:spacing w:line="123" w:lineRule="exact"/>
        <w:rPr>
          <w:rFonts w:ascii="Cambria" w:eastAsia="Cambria" w:hAnsi="Cambria" w:cs="Cambria"/>
        </w:rPr>
      </w:pPr>
    </w:p>
    <w:p w:rsidR="00D4760A" w:rsidRDefault="00B93A8D">
      <w:pPr>
        <w:numPr>
          <w:ilvl w:val="1"/>
          <w:numId w:val="19"/>
        </w:numPr>
        <w:tabs>
          <w:tab w:val="left" w:pos="660"/>
        </w:tabs>
        <w:spacing w:line="274" w:lineRule="auto"/>
        <w:ind w:left="660" w:hanging="367"/>
        <w:rPr>
          <w:rFonts w:ascii="Cambria" w:eastAsia="Cambria" w:hAnsi="Cambria" w:cs="Cambria"/>
        </w:rPr>
      </w:pPr>
      <w:r>
        <w:rPr>
          <w:rFonts w:ascii="Cambria" w:eastAsia="Cambria" w:hAnsi="Cambria" w:cs="Cambria"/>
        </w:rPr>
        <w:t>podle písm. g) povinnost uhradit smluvní pokutu ve výši 10.000 Kč,- za každé takové jednotlivé porušení,</w:t>
      </w:r>
    </w:p>
    <w:p w:rsidR="00D4760A" w:rsidRDefault="00D4760A">
      <w:pPr>
        <w:spacing w:line="123" w:lineRule="exact"/>
        <w:rPr>
          <w:rFonts w:ascii="Cambria" w:eastAsia="Cambria" w:hAnsi="Cambria" w:cs="Cambria"/>
        </w:rPr>
      </w:pPr>
    </w:p>
    <w:p w:rsidR="00D4760A" w:rsidRDefault="00B93A8D">
      <w:pPr>
        <w:numPr>
          <w:ilvl w:val="1"/>
          <w:numId w:val="19"/>
        </w:numPr>
        <w:tabs>
          <w:tab w:val="left" w:pos="660"/>
        </w:tabs>
        <w:spacing w:line="276" w:lineRule="auto"/>
        <w:ind w:left="660" w:hanging="367"/>
        <w:rPr>
          <w:rFonts w:ascii="Cambria" w:eastAsia="Cambria" w:hAnsi="Cambria" w:cs="Cambria"/>
        </w:rPr>
      </w:pPr>
      <w:r>
        <w:rPr>
          <w:rFonts w:ascii="Cambria" w:eastAsia="Cambria" w:hAnsi="Cambria" w:cs="Cambria"/>
        </w:rPr>
        <w:t>podle písm. h) povinnost uhradit smluvní pokutu ve výši 10.000 Kč,- za každé takové jednotlivé porušení a</w:t>
      </w:r>
    </w:p>
    <w:p w:rsidR="00D4760A" w:rsidRDefault="00D4760A">
      <w:pPr>
        <w:spacing w:line="119" w:lineRule="exact"/>
        <w:rPr>
          <w:rFonts w:ascii="Cambria" w:eastAsia="Cambria" w:hAnsi="Cambria" w:cs="Cambria"/>
        </w:rPr>
      </w:pPr>
    </w:p>
    <w:p w:rsidR="00D4760A" w:rsidRDefault="00B93A8D">
      <w:pPr>
        <w:numPr>
          <w:ilvl w:val="1"/>
          <w:numId w:val="19"/>
        </w:numPr>
        <w:tabs>
          <w:tab w:val="left" w:pos="660"/>
        </w:tabs>
        <w:spacing w:line="276" w:lineRule="auto"/>
        <w:ind w:left="660" w:hanging="367"/>
        <w:rPr>
          <w:rFonts w:ascii="Cambria" w:eastAsia="Cambria" w:hAnsi="Cambria" w:cs="Cambria"/>
        </w:rPr>
      </w:pPr>
      <w:r>
        <w:rPr>
          <w:rFonts w:ascii="Cambria" w:eastAsia="Cambria" w:hAnsi="Cambria" w:cs="Cambria"/>
        </w:rPr>
        <w:t>podle písm. i) povinnost uhradit smluvní pokutu ve výši 5.000 Kč,- za každé takové jednotlivé porušení.</w:t>
      </w:r>
    </w:p>
    <w:p w:rsidR="00D4760A" w:rsidRDefault="00D4760A">
      <w:pPr>
        <w:spacing w:line="119" w:lineRule="exact"/>
        <w:rPr>
          <w:rFonts w:ascii="Cambria" w:eastAsia="Cambria" w:hAnsi="Cambria" w:cs="Cambria"/>
        </w:rPr>
      </w:pPr>
    </w:p>
    <w:p w:rsidR="00D4760A" w:rsidRDefault="00B93A8D">
      <w:pPr>
        <w:numPr>
          <w:ilvl w:val="1"/>
          <w:numId w:val="19"/>
        </w:numPr>
        <w:tabs>
          <w:tab w:val="left" w:pos="660"/>
        </w:tabs>
        <w:spacing w:line="276" w:lineRule="auto"/>
        <w:ind w:left="660" w:hanging="367"/>
        <w:rPr>
          <w:rFonts w:ascii="Cambria" w:eastAsia="Cambria" w:hAnsi="Cambria" w:cs="Cambria"/>
        </w:rPr>
      </w:pPr>
      <w:r>
        <w:rPr>
          <w:rFonts w:ascii="Cambria" w:eastAsia="Cambria" w:hAnsi="Cambria" w:cs="Cambria"/>
        </w:rPr>
        <w:t>podle písm. j) povinnost uhradit smluvní pokutu ve výši 5.000 Kč,- za každé takové jednotlivé porušení.</w:t>
      </w:r>
    </w:p>
    <w:p w:rsidR="00D4760A" w:rsidRDefault="00D4760A">
      <w:pPr>
        <w:spacing w:line="122" w:lineRule="exact"/>
        <w:rPr>
          <w:rFonts w:ascii="Cambria" w:eastAsia="Cambria" w:hAnsi="Cambria" w:cs="Cambria"/>
        </w:rPr>
      </w:pPr>
    </w:p>
    <w:p w:rsidR="00D4760A" w:rsidRDefault="00B93A8D">
      <w:pPr>
        <w:numPr>
          <w:ilvl w:val="0"/>
          <w:numId w:val="20"/>
        </w:numPr>
        <w:tabs>
          <w:tab w:val="left" w:pos="360"/>
        </w:tabs>
        <w:spacing w:line="299" w:lineRule="auto"/>
        <w:ind w:left="360" w:hanging="360"/>
        <w:rPr>
          <w:rFonts w:ascii="Cambria" w:eastAsia="Cambria" w:hAnsi="Cambria" w:cs="Cambria"/>
          <w:b/>
          <w:bCs/>
          <w:sz w:val="21"/>
          <w:szCs w:val="21"/>
        </w:rPr>
      </w:pPr>
      <w:r>
        <w:rPr>
          <w:rFonts w:ascii="Cambria" w:eastAsia="Cambria" w:hAnsi="Cambria" w:cs="Cambria"/>
          <w:sz w:val="21"/>
          <w:szCs w:val="21"/>
        </w:rPr>
        <w:t>Porušení některé z povinností dalším účastníkem má za následek uplatnění příslušných ustanovení podle tohoto článku vůči hlavnímu příjemci, včetně ustanovení o porušení rozpočtové kázně.</w:t>
      </w:r>
    </w:p>
    <w:p w:rsidR="00D4760A" w:rsidRDefault="00D4760A">
      <w:pPr>
        <w:spacing w:line="99" w:lineRule="exact"/>
        <w:rPr>
          <w:rFonts w:ascii="Cambria" w:eastAsia="Cambria" w:hAnsi="Cambria" w:cs="Cambria"/>
          <w:b/>
          <w:bCs/>
          <w:sz w:val="21"/>
          <w:szCs w:val="21"/>
        </w:rPr>
      </w:pPr>
    </w:p>
    <w:p w:rsidR="00D4760A" w:rsidRDefault="00B93A8D">
      <w:pPr>
        <w:numPr>
          <w:ilvl w:val="0"/>
          <w:numId w:val="20"/>
        </w:numPr>
        <w:tabs>
          <w:tab w:val="left" w:pos="360"/>
        </w:tabs>
        <w:spacing w:line="274" w:lineRule="auto"/>
        <w:ind w:left="360" w:right="20" w:hanging="360"/>
        <w:rPr>
          <w:rFonts w:ascii="Cambria" w:eastAsia="Cambria" w:hAnsi="Cambria" w:cs="Cambria"/>
          <w:b/>
          <w:bCs/>
        </w:rPr>
      </w:pPr>
      <w:r>
        <w:rPr>
          <w:rFonts w:ascii="Cambria" w:eastAsia="Cambria" w:hAnsi="Cambria" w:cs="Cambria"/>
        </w:rPr>
        <w:t>Odstoupení od Smlouvy nemá vliv na uplatnění ostatních příslušných ustanovení podle tohoto článku.</w:t>
      </w:r>
    </w:p>
    <w:p w:rsidR="00D4760A" w:rsidRDefault="00D4760A">
      <w:pPr>
        <w:spacing w:line="123" w:lineRule="exact"/>
        <w:rPr>
          <w:rFonts w:ascii="Cambria" w:eastAsia="Cambria" w:hAnsi="Cambria" w:cs="Cambria"/>
          <w:b/>
          <w:bCs/>
        </w:rPr>
      </w:pPr>
    </w:p>
    <w:p w:rsidR="00D4760A" w:rsidRDefault="00B93A8D">
      <w:pPr>
        <w:numPr>
          <w:ilvl w:val="0"/>
          <w:numId w:val="20"/>
        </w:numPr>
        <w:tabs>
          <w:tab w:val="left" w:pos="360"/>
        </w:tabs>
        <w:spacing w:line="276" w:lineRule="auto"/>
        <w:ind w:left="360" w:hanging="360"/>
        <w:jc w:val="both"/>
        <w:rPr>
          <w:rFonts w:ascii="Cambria" w:eastAsia="Cambria" w:hAnsi="Cambria" w:cs="Cambria"/>
          <w:b/>
          <w:bCs/>
        </w:rPr>
      </w:pPr>
      <w:r>
        <w:rPr>
          <w:rFonts w:ascii="Cambria" w:eastAsia="Cambria" w:hAnsi="Cambria" w:cs="Cambria"/>
        </w:rPr>
        <w:t>Hlavní příjemce bere na vědomí, že pokud soustavně porušuje své povinnosti, a to i povinnosti stanovené příjemci po ukončení řešení projektu, zejména podávání zpráv o implementace, nebo porušení vyhodnotí poskytovatel jako závažné, je poskytovatel oprávněn vyloučit návrhy projektů podané hlavním příjemcem (ať již se bude hlásit do veřejné soutěže v roli uchazeče či dalšího účastníka) do veřejných soutěží nebo nabídky podané do veřejných zakázek ve výzkumu, vývoji a inovacích po dobu až 3 let ode dne, kdy bylo hlavnímu příjemci toto porušení prokázáno, nebo kdy ho písemně uznal. Pokud takto poruší povinnost další účastník, vyloučení projektů se bude uplatňovat v budoucnu vůči tomuto subjektu a odst. 4 se nepoužije.</w:t>
      </w:r>
    </w:p>
    <w:p w:rsidR="00D4760A" w:rsidRDefault="00D4760A">
      <w:pPr>
        <w:spacing w:line="121" w:lineRule="exact"/>
        <w:rPr>
          <w:rFonts w:ascii="Cambria" w:eastAsia="Cambria" w:hAnsi="Cambria" w:cs="Cambria"/>
          <w:b/>
          <w:bCs/>
        </w:rPr>
      </w:pPr>
    </w:p>
    <w:p w:rsidR="00D4760A" w:rsidRDefault="00B93A8D">
      <w:pPr>
        <w:numPr>
          <w:ilvl w:val="0"/>
          <w:numId w:val="20"/>
        </w:numPr>
        <w:tabs>
          <w:tab w:val="left" w:pos="360"/>
        </w:tabs>
        <w:spacing w:line="275" w:lineRule="auto"/>
        <w:ind w:left="360" w:hanging="360"/>
        <w:jc w:val="both"/>
        <w:rPr>
          <w:rFonts w:ascii="Cambria" w:eastAsia="Cambria" w:hAnsi="Cambria" w:cs="Cambria"/>
          <w:b/>
          <w:bCs/>
        </w:rPr>
      </w:pPr>
      <w:r>
        <w:rPr>
          <w:rFonts w:ascii="Cambria" w:eastAsia="Cambria" w:hAnsi="Cambria" w:cs="Cambria"/>
        </w:rPr>
        <w:t>Tímto článkem není dotčen nárok poskytovatele na náhradu škody, která mu vznikne v důsledku porušení některé z povinností. Stanovené smluvní pokuty nezahrnují náhradu škody a aplikují se nad rámec dalších sankcí vyplývajících z právních předpisů nebo z pravidel poskytnutí podpory.</w:t>
      </w:r>
    </w:p>
    <w:p w:rsidR="00D4760A" w:rsidRDefault="00D4760A">
      <w:pPr>
        <w:spacing w:line="121" w:lineRule="exact"/>
        <w:rPr>
          <w:rFonts w:ascii="Cambria" w:eastAsia="Cambria" w:hAnsi="Cambria" w:cs="Cambria"/>
          <w:b/>
          <w:bCs/>
        </w:rPr>
      </w:pPr>
    </w:p>
    <w:p w:rsidR="00D4760A" w:rsidRDefault="00B93A8D">
      <w:pPr>
        <w:numPr>
          <w:ilvl w:val="0"/>
          <w:numId w:val="20"/>
        </w:numPr>
        <w:tabs>
          <w:tab w:val="left" w:pos="360"/>
        </w:tabs>
        <w:spacing w:line="276" w:lineRule="auto"/>
        <w:ind w:left="360" w:hanging="360"/>
        <w:rPr>
          <w:rFonts w:ascii="Cambria" w:eastAsia="Cambria" w:hAnsi="Cambria" w:cs="Cambria"/>
          <w:b/>
          <w:bCs/>
        </w:rPr>
      </w:pPr>
      <w:r>
        <w:rPr>
          <w:rFonts w:ascii="Cambria" w:eastAsia="Cambria" w:hAnsi="Cambria" w:cs="Cambria"/>
        </w:rPr>
        <w:t>Jednotlivé smluvní pokuty stanovené podle tohoto článku se sčítají, maximálně však do výše odpovídající maximální výši podpory pro projekt na celou dobu řešení stanoveného ve Smlouvě.</w:t>
      </w:r>
    </w:p>
    <w:p w:rsidR="00D4760A" w:rsidRDefault="00D4760A">
      <w:pPr>
        <w:spacing w:line="119" w:lineRule="exact"/>
        <w:rPr>
          <w:rFonts w:ascii="Cambria" w:eastAsia="Cambria" w:hAnsi="Cambria" w:cs="Cambria"/>
          <w:b/>
          <w:bCs/>
        </w:rPr>
      </w:pPr>
    </w:p>
    <w:p w:rsidR="00D4760A" w:rsidRDefault="00B93A8D">
      <w:pPr>
        <w:numPr>
          <w:ilvl w:val="0"/>
          <w:numId w:val="20"/>
        </w:numPr>
        <w:tabs>
          <w:tab w:val="left" w:pos="360"/>
        </w:tabs>
        <w:spacing w:line="295" w:lineRule="auto"/>
        <w:ind w:left="360" w:hanging="360"/>
        <w:jc w:val="both"/>
        <w:rPr>
          <w:rFonts w:ascii="Cambria" w:eastAsia="Cambria" w:hAnsi="Cambria" w:cs="Cambria"/>
          <w:b/>
          <w:bCs/>
          <w:sz w:val="21"/>
          <w:szCs w:val="21"/>
        </w:rPr>
      </w:pPr>
      <w:r>
        <w:rPr>
          <w:rFonts w:ascii="Cambria" w:eastAsia="Cambria" w:hAnsi="Cambria" w:cs="Cambria"/>
          <w:sz w:val="21"/>
          <w:szCs w:val="21"/>
        </w:rPr>
        <w:t xml:space="preserve">Pokud hlavní příjemce předpokládá, že nebude schopen splnit některou z výše uvedených povinností, je oprávněn nejpozději do lhůty jejího splnění podat žádost o změnu v souladu se směrnicí </w:t>
      </w:r>
      <w:r>
        <w:rPr>
          <w:rFonts w:ascii="Cambria" w:eastAsia="Cambria" w:hAnsi="Cambria" w:cs="Cambria"/>
          <w:b/>
          <w:bCs/>
          <w:sz w:val="21"/>
          <w:szCs w:val="21"/>
        </w:rPr>
        <w:t>SME-07 Směrnice pro změnová řízení projektů</w:t>
      </w:r>
      <w:r>
        <w:rPr>
          <w:rFonts w:ascii="Cambria" w:eastAsia="Cambria" w:hAnsi="Cambria" w:cs="Cambria"/>
          <w:sz w:val="21"/>
          <w:szCs w:val="21"/>
        </w:rPr>
        <w:t xml:space="preserve"> u takové změny, která je touto směrnicí</w:t>
      </w:r>
    </w:p>
    <w:p w:rsidR="00D4760A" w:rsidRDefault="00B93A8D">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-761365</wp:posOffset>
            </wp:positionH>
            <wp:positionV relativeFrom="paragraph">
              <wp:posOffset>175895</wp:posOffset>
            </wp:positionV>
            <wp:extent cx="3601085" cy="9601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341"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9/23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53632"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spacing w:line="276" w:lineRule="auto"/>
        <w:ind w:left="360"/>
        <w:jc w:val="both"/>
        <w:rPr>
          <w:sz w:val="20"/>
          <w:szCs w:val="20"/>
        </w:rPr>
      </w:pPr>
      <w:r>
        <w:rPr>
          <w:rFonts w:ascii="Cambria" w:eastAsia="Cambria" w:hAnsi="Cambria" w:cs="Cambria"/>
        </w:rPr>
        <w:t>umožněna, anebo doručit poskytovateli písemné vyjádření o nemožnosti jejího splnění v důsledku vyšší moci nebo domnělého porušení povinností poskytovatelem. Poskytovatel si vyhrazuje právo trvat na dodržení této povinnosti ve stanovené lhůtě anebo stanovit dodatečnou lhůtu pro její splnění na základě vyhodnocení žádosti nebo vyjádření podle předchozí věty. Poskytovatel je oprávněn v kladném rozhodnutí podle této směrnice stanovit hlavnímu příjemci povinnost vrátit příslušnou část podpory (např. na základě žádosti o redukci předpokládaných výsledků).</w:t>
      </w:r>
    </w:p>
    <w:p w:rsidR="00D4760A" w:rsidRDefault="00D4760A">
      <w:pPr>
        <w:spacing w:line="121" w:lineRule="exact"/>
        <w:rPr>
          <w:sz w:val="20"/>
          <w:szCs w:val="20"/>
        </w:rPr>
      </w:pPr>
    </w:p>
    <w:p w:rsidR="00D4760A" w:rsidRDefault="00B93A8D">
      <w:pPr>
        <w:numPr>
          <w:ilvl w:val="0"/>
          <w:numId w:val="21"/>
        </w:numPr>
        <w:tabs>
          <w:tab w:val="left" w:pos="360"/>
        </w:tabs>
        <w:spacing w:line="275" w:lineRule="auto"/>
        <w:ind w:left="360" w:hanging="360"/>
        <w:rPr>
          <w:rFonts w:ascii="Cambria" w:eastAsia="Cambria" w:hAnsi="Cambria" w:cs="Cambria"/>
          <w:b/>
          <w:bCs/>
        </w:rPr>
      </w:pPr>
      <w:r>
        <w:rPr>
          <w:rFonts w:ascii="Cambria" w:eastAsia="Cambria" w:hAnsi="Cambria" w:cs="Cambria"/>
        </w:rPr>
        <w:t>Žádost nebo vyjádření podle předchozího odstavce podané později staví lhůtu pro počítání smluvních pokut podle dnů, týdnů či měsíců, nebo stanovenou lhůtu k nápravě.</w:t>
      </w:r>
    </w:p>
    <w:p w:rsidR="00D4760A" w:rsidRDefault="00D4760A">
      <w:pPr>
        <w:spacing w:line="122" w:lineRule="exact"/>
        <w:rPr>
          <w:rFonts w:ascii="Cambria" w:eastAsia="Cambria" w:hAnsi="Cambria" w:cs="Cambria"/>
          <w:b/>
          <w:bCs/>
        </w:rPr>
      </w:pPr>
    </w:p>
    <w:p w:rsidR="00D4760A" w:rsidRDefault="00B93A8D">
      <w:pPr>
        <w:numPr>
          <w:ilvl w:val="0"/>
          <w:numId w:val="21"/>
        </w:numPr>
        <w:tabs>
          <w:tab w:val="left" w:pos="360"/>
        </w:tabs>
        <w:spacing w:line="276" w:lineRule="auto"/>
        <w:ind w:left="360" w:hanging="360"/>
        <w:jc w:val="both"/>
        <w:rPr>
          <w:rFonts w:ascii="Cambria" w:eastAsia="Cambria" w:hAnsi="Cambria" w:cs="Cambria"/>
          <w:b/>
          <w:bCs/>
        </w:rPr>
      </w:pPr>
      <w:r>
        <w:rPr>
          <w:rFonts w:ascii="Cambria" w:eastAsia="Cambria" w:hAnsi="Cambria" w:cs="Cambria"/>
        </w:rPr>
        <w:t>Smluvní strany si budou počínat tak, aby v zájmu zachování řešení projektu předešli předčasnému ukončení Smlouvy výpovědí nebo odstoupením,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kvalifikace podle § 18 odst. 2 ZPVV. Poskytovatel si zároveň vyhrazuje právo k jednání s dalšími účastníky o pokračování v řešení projektu, pokud své povinnosti porušuje nebo pravděpodobně poruší hlavní příjemce, nebo přestal splňovat podmínky kvalifikace podle § 18 odst. 2 ZPVV. Tímto odstavcem nejsou dotčeny povinnosti hlavního příjemce nést následky porušení povinností podle tohoto článku.</w:t>
      </w:r>
    </w:p>
    <w:p w:rsidR="00D4760A" w:rsidRDefault="00D4760A">
      <w:pPr>
        <w:spacing w:line="119" w:lineRule="exact"/>
        <w:rPr>
          <w:rFonts w:ascii="Cambria" w:eastAsia="Cambria" w:hAnsi="Cambria" w:cs="Cambria"/>
          <w:b/>
          <w:bCs/>
        </w:rPr>
      </w:pPr>
    </w:p>
    <w:p w:rsidR="00D4760A" w:rsidRDefault="00B93A8D">
      <w:pPr>
        <w:numPr>
          <w:ilvl w:val="0"/>
          <w:numId w:val="21"/>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Pokud hlavní příjemce porušil některou z výše uvedených povinností, vyzve jej písemně poskytovatel k nápravě, pokud je tak s ohledem na pochybení možné, a stanoví mu k tomu přiměřenou lhůtu. Poskytovatel může rovněž písemně příjemci oznámit zahájení některého hodnotícího procesu nebo veřejnosprávní kontroly za účelem prokázání skutečného stavu věci, přičemž v případě domnělého porušení rozpočtové kázně zpravidla provede veřejnosprávní kontrolu. Ve druhém případě výzvu k nápravě nahrazuje příslušné opatření k nápravě. Tímto odstavcem nejsou dotčeny povinnosti na úhradu odvodů za porušení rozpočtové kázně, smluvních pokut a náhrady škody.</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64" w:lineRule="exact"/>
        <w:rPr>
          <w:sz w:val="20"/>
          <w:szCs w:val="20"/>
        </w:rPr>
      </w:pPr>
    </w:p>
    <w:p w:rsidR="00D4760A" w:rsidRDefault="00B93A8D">
      <w:pPr>
        <w:ind w:right="80"/>
        <w:jc w:val="center"/>
        <w:rPr>
          <w:sz w:val="20"/>
          <w:szCs w:val="20"/>
        </w:rPr>
      </w:pPr>
      <w:r>
        <w:rPr>
          <w:rFonts w:ascii="Cambria" w:eastAsia="Cambria" w:hAnsi="Cambria" w:cs="Cambria"/>
          <w:b/>
          <w:bCs/>
          <w:i/>
          <w:iCs/>
        </w:rPr>
        <w:t>Článek 6</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Smlouva o účasti na řešení projektu</w:t>
      </w:r>
    </w:p>
    <w:p w:rsidR="00D4760A" w:rsidRDefault="00D4760A">
      <w:pPr>
        <w:spacing w:line="160" w:lineRule="exact"/>
        <w:rPr>
          <w:sz w:val="20"/>
          <w:szCs w:val="20"/>
        </w:rPr>
      </w:pPr>
    </w:p>
    <w:p w:rsidR="00D4760A" w:rsidRDefault="00B93A8D">
      <w:pPr>
        <w:numPr>
          <w:ilvl w:val="0"/>
          <w:numId w:val="22"/>
        </w:numPr>
        <w:tabs>
          <w:tab w:val="left" w:pos="360"/>
        </w:tabs>
        <w:spacing w:line="274" w:lineRule="auto"/>
        <w:ind w:left="360" w:right="20" w:hanging="360"/>
        <w:rPr>
          <w:rFonts w:ascii="Cambria" w:eastAsia="Cambria" w:hAnsi="Cambria" w:cs="Cambria"/>
          <w:b/>
          <w:bCs/>
        </w:rPr>
      </w:pPr>
      <w:r>
        <w:rPr>
          <w:rFonts w:ascii="Cambria" w:eastAsia="Cambria" w:hAnsi="Cambria" w:cs="Cambria"/>
        </w:rPr>
        <w:t>Smlouva o účasti na řešení projektu slouží jako nástroj hlavního příjemce k zajištění dodržování výše uvedených povinností i dalšími účastníky.</w:t>
      </w:r>
    </w:p>
    <w:p w:rsidR="00D4760A" w:rsidRDefault="00D4760A">
      <w:pPr>
        <w:spacing w:line="123" w:lineRule="exact"/>
        <w:rPr>
          <w:rFonts w:ascii="Cambria" w:eastAsia="Cambria" w:hAnsi="Cambria" w:cs="Cambria"/>
          <w:b/>
          <w:bCs/>
        </w:rPr>
      </w:pPr>
    </w:p>
    <w:p w:rsidR="00D4760A" w:rsidRDefault="00B93A8D">
      <w:pPr>
        <w:numPr>
          <w:ilvl w:val="0"/>
          <w:numId w:val="22"/>
        </w:numPr>
        <w:tabs>
          <w:tab w:val="left" w:pos="360"/>
        </w:tabs>
        <w:ind w:left="360" w:hanging="360"/>
        <w:rPr>
          <w:rFonts w:ascii="Cambria" w:eastAsia="Cambria" w:hAnsi="Cambria" w:cs="Cambria"/>
          <w:b/>
          <w:bCs/>
        </w:rPr>
      </w:pPr>
      <w:r>
        <w:rPr>
          <w:rFonts w:ascii="Cambria" w:eastAsia="Cambria" w:hAnsi="Cambria" w:cs="Cambria"/>
        </w:rPr>
        <w:t>Smlouva o účasti na řešení projektu musí být písemná a jejím obsahem je zejména</w:t>
      </w:r>
    </w:p>
    <w:p w:rsidR="00D4760A" w:rsidRDefault="00D4760A">
      <w:pPr>
        <w:spacing w:line="157" w:lineRule="exact"/>
        <w:rPr>
          <w:rFonts w:ascii="Cambria" w:eastAsia="Cambria" w:hAnsi="Cambria" w:cs="Cambria"/>
          <w:b/>
          <w:bCs/>
        </w:rPr>
      </w:pPr>
    </w:p>
    <w:p w:rsidR="00D4760A" w:rsidRDefault="00B93A8D">
      <w:pPr>
        <w:numPr>
          <w:ilvl w:val="1"/>
          <w:numId w:val="22"/>
        </w:numPr>
        <w:tabs>
          <w:tab w:val="left" w:pos="660"/>
        </w:tabs>
        <w:spacing w:line="276" w:lineRule="auto"/>
        <w:ind w:left="660" w:hanging="367"/>
        <w:jc w:val="both"/>
        <w:rPr>
          <w:rFonts w:ascii="Cambria" w:eastAsia="Cambria" w:hAnsi="Cambria" w:cs="Cambria"/>
        </w:rPr>
      </w:pPr>
      <w:r>
        <w:rPr>
          <w:rFonts w:ascii="Cambria" w:eastAsia="Cambria" w:hAnsi="Cambria" w:cs="Cambria"/>
        </w:rPr>
        <w:t>rozdělení práv k výsledkům, které vychází ze Závazných parametrů řešení projektu (přístup k výsledkům projektu a kapacitám a rozdělení práv k výsledkům projektu) a zároveň respektuje zákaz nepřímé veřejné podpory dle Rámce, tj. při stanovení spoluvlastnického poměru se úměrně přihlíží k poměru nákladů jednotlivých příjemců tak, aby nedocházelo k zakázané nepřímé veřejné podpoře,</w:t>
      </w:r>
    </w:p>
    <w:p w:rsidR="00D4760A" w:rsidRDefault="00B93A8D">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-761365</wp:posOffset>
            </wp:positionH>
            <wp:positionV relativeFrom="paragraph">
              <wp:posOffset>491490</wp:posOffset>
            </wp:positionV>
            <wp:extent cx="3601085" cy="9601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38"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10/23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55680"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1"/>
          <w:numId w:val="23"/>
        </w:numPr>
        <w:tabs>
          <w:tab w:val="left" w:pos="660"/>
        </w:tabs>
        <w:spacing w:line="276" w:lineRule="auto"/>
        <w:ind w:left="660" w:right="20" w:hanging="367"/>
        <w:rPr>
          <w:rFonts w:ascii="Cambria" w:eastAsia="Cambria" w:hAnsi="Cambria" w:cs="Cambria"/>
        </w:rPr>
      </w:pPr>
      <w:r>
        <w:rPr>
          <w:rFonts w:ascii="Cambria" w:eastAsia="Cambria" w:hAnsi="Cambria" w:cs="Cambria"/>
        </w:rPr>
        <w:t>úprava, řízení a kontrola vnesených a během řešení projektu pořízených či vytvořených práv, která jsou nezbytná pro řešení projektu,</w:t>
      </w:r>
    </w:p>
    <w:p w:rsidR="00D4760A" w:rsidRDefault="00D4760A">
      <w:pPr>
        <w:spacing w:line="119" w:lineRule="exact"/>
        <w:rPr>
          <w:rFonts w:ascii="Cambria" w:eastAsia="Cambria" w:hAnsi="Cambria" w:cs="Cambria"/>
        </w:rPr>
      </w:pPr>
    </w:p>
    <w:p w:rsidR="00D4760A" w:rsidRDefault="00B93A8D">
      <w:pPr>
        <w:numPr>
          <w:ilvl w:val="1"/>
          <w:numId w:val="23"/>
        </w:numPr>
        <w:tabs>
          <w:tab w:val="left" w:pos="660"/>
        </w:tabs>
        <w:spacing w:line="275" w:lineRule="auto"/>
        <w:ind w:left="660" w:right="20" w:hanging="367"/>
        <w:jc w:val="both"/>
        <w:rPr>
          <w:rFonts w:ascii="Cambria" w:eastAsia="Cambria" w:hAnsi="Cambria" w:cs="Cambria"/>
        </w:rPr>
      </w:pPr>
      <w:r>
        <w:rPr>
          <w:rFonts w:ascii="Cambria" w:eastAsia="Cambria" w:hAnsi="Cambria" w:cs="Cambria"/>
        </w:rPr>
        <w:t>závazek k dodržování povinností podle článku 4 i dalšími účastníky popř. k provádění veškeré potřebné součinnosti za účelem dodržení těchto povinností hlavním příjemcem, včetně odpovědnosti hlavního příjemce za porušení rozpočtové kázně dalším účastníkem,</w:t>
      </w:r>
    </w:p>
    <w:p w:rsidR="00D4760A" w:rsidRDefault="00D4760A">
      <w:pPr>
        <w:spacing w:line="123" w:lineRule="exact"/>
        <w:rPr>
          <w:rFonts w:ascii="Cambria" w:eastAsia="Cambria" w:hAnsi="Cambria" w:cs="Cambria"/>
        </w:rPr>
      </w:pPr>
    </w:p>
    <w:p w:rsidR="00D4760A" w:rsidRDefault="00B93A8D">
      <w:pPr>
        <w:numPr>
          <w:ilvl w:val="1"/>
          <w:numId w:val="23"/>
        </w:numPr>
        <w:tabs>
          <w:tab w:val="left" w:pos="660"/>
        </w:tabs>
        <w:spacing w:line="277" w:lineRule="auto"/>
        <w:ind w:left="660" w:hanging="367"/>
        <w:rPr>
          <w:rFonts w:ascii="Cambria" w:eastAsia="Cambria" w:hAnsi="Cambria" w:cs="Cambria"/>
        </w:rPr>
      </w:pPr>
      <w:r>
        <w:rPr>
          <w:rFonts w:ascii="Cambria" w:eastAsia="Cambria" w:hAnsi="Cambria" w:cs="Cambria"/>
        </w:rPr>
        <w:t>závazek hlavního příjemce k převodu příslušné části podpory ze svého bankovního účtu na bankovní účty dalších účastníků včetně stanovení lhůty k tomuto převodu a</w:t>
      </w:r>
    </w:p>
    <w:p w:rsidR="00D4760A" w:rsidRDefault="00D4760A">
      <w:pPr>
        <w:spacing w:line="118" w:lineRule="exact"/>
        <w:rPr>
          <w:rFonts w:ascii="Cambria" w:eastAsia="Cambria" w:hAnsi="Cambria" w:cs="Cambria"/>
        </w:rPr>
      </w:pPr>
    </w:p>
    <w:p w:rsidR="00D4760A" w:rsidRDefault="00B93A8D">
      <w:pPr>
        <w:numPr>
          <w:ilvl w:val="1"/>
          <w:numId w:val="23"/>
        </w:numPr>
        <w:tabs>
          <w:tab w:val="left" w:pos="660"/>
        </w:tabs>
        <w:spacing w:line="276" w:lineRule="auto"/>
        <w:ind w:left="660" w:hanging="367"/>
        <w:rPr>
          <w:rFonts w:ascii="Cambria" w:eastAsia="Cambria" w:hAnsi="Cambria" w:cs="Cambria"/>
        </w:rPr>
      </w:pPr>
      <w:r>
        <w:rPr>
          <w:rFonts w:ascii="Cambria" w:eastAsia="Cambria" w:hAnsi="Cambria" w:cs="Cambria"/>
        </w:rPr>
        <w:t>závazek smluvních stran k mlčenlivosti ohledně veškerých informací vztahujících se k řešení projektu včetně jeho návrhu tak, aby nebyly ohroženy výsledky a cíle jeho řešení,</w:t>
      </w:r>
    </w:p>
    <w:p w:rsidR="00D4760A" w:rsidRDefault="00D4760A">
      <w:pPr>
        <w:spacing w:line="119" w:lineRule="exact"/>
        <w:rPr>
          <w:rFonts w:ascii="Cambria" w:eastAsia="Cambria" w:hAnsi="Cambria" w:cs="Cambria"/>
        </w:rPr>
      </w:pPr>
    </w:p>
    <w:p w:rsidR="00D4760A" w:rsidRDefault="00B93A8D">
      <w:pPr>
        <w:numPr>
          <w:ilvl w:val="1"/>
          <w:numId w:val="23"/>
        </w:numPr>
        <w:tabs>
          <w:tab w:val="left" w:pos="660"/>
        </w:tabs>
        <w:ind w:left="660" w:hanging="367"/>
        <w:rPr>
          <w:rFonts w:ascii="Cambria" w:eastAsia="Cambria" w:hAnsi="Cambria" w:cs="Cambria"/>
        </w:rPr>
      </w:pPr>
      <w:r>
        <w:rPr>
          <w:rFonts w:ascii="Cambria" w:eastAsia="Cambria" w:hAnsi="Cambria" w:cs="Cambria"/>
        </w:rPr>
        <w:t>závazek spolupráce na implementačním plánu k výsledkům řešení.</w:t>
      </w:r>
    </w:p>
    <w:p w:rsidR="00D4760A" w:rsidRDefault="00D4760A">
      <w:pPr>
        <w:spacing w:line="159" w:lineRule="exact"/>
        <w:rPr>
          <w:rFonts w:ascii="Cambria" w:eastAsia="Cambria" w:hAnsi="Cambria" w:cs="Cambria"/>
        </w:rPr>
      </w:pPr>
    </w:p>
    <w:p w:rsidR="00D4760A" w:rsidRDefault="00B93A8D">
      <w:pPr>
        <w:numPr>
          <w:ilvl w:val="0"/>
          <w:numId w:val="24"/>
        </w:numPr>
        <w:tabs>
          <w:tab w:val="left" w:pos="360"/>
        </w:tabs>
        <w:spacing w:line="275" w:lineRule="auto"/>
        <w:ind w:left="360" w:hanging="360"/>
        <w:jc w:val="both"/>
        <w:rPr>
          <w:rFonts w:ascii="Cambria" w:eastAsia="Cambria" w:hAnsi="Cambria" w:cs="Cambria"/>
          <w:b/>
          <w:bCs/>
        </w:rPr>
      </w:pPr>
      <w:r>
        <w:rPr>
          <w:rFonts w:ascii="Cambria" w:eastAsia="Cambria" w:hAnsi="Cambria" w:cs="Cambria"/>
        </w:rPr>
        <w:t>Smlouva o účasti na řešení projektu může být předmětem hodnocení v rámci některého hodnotícího procesu nebo kontroly v rámci veřejnosprávní kontroly. Poskytovatel stanoví v příslušném opatření k nápravě, aby hlavní příjemce zajistil změnu Smlouvy o účasti na řešení projektu, pokud ta bude v rozporu s pravidly poskytnutí podpory anebo se schváleným návrhem projektu.</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63" w:lineRule="exact"/>
        <w:rPr>
          <w:sz w:val="20"/>
          <w:szCs w:val="20"/>
        </w:rPr>
      </w:pPr>
    </w:p>
    <w:p w:rsidR="00D4760A" w:rsidRDefault="00B93A8D">
      <w:pPr>
        <w:ind w:left="4340"/>
        <w:rPr>
          <w:sz w:val="20"/>
          <w:szCs w:val="20"/>
        </w:rPr>
      </w:pPr>
      <w:r>
        <w:rPr>
          <w:rFonts w:ascii="Cambria" w:eastAsia="Cambria" w:hAnsi="Cambria" w:cs="Cambria"/>
          <w:b/>
          <w:bCs/>
          <w:i/>
          <w:iCs/>
        </w:rPr>
        <w:t>Článek 7</w:t>
      </w:r>
    </w:p>
    <w:p w:rsidR="00D4760A" w:rsidRDefault="00D4760A">
      <w:pPr>
        <w:spacing w:line="37" w:lineRule="exact"/>
        <w:rPr>
          <w:sz w:val="20"/>
          <w:szCs w:val="20"/>
        </w:rPr>
      </w:pPr>
    </w:p>
    <w:p w:rsidR="00D4760A" w:rsidRDefault="00B93A8D">
      <w:pPr>
        <w:ind w:left="4320"/>
        <w:rPr>
          <w:sz w:val="20"/>
          <w:szCs w:val="20"/>
        </w:rPr>
      </w:pPr>
      <w:r>
        <w:rPr>
          <w:rFonts w:ascii="Cambria" w:eastAsia="Cambria" w:hAnsi="Cambria" w:cs="Cambria"/>
          <w:b/>
          <w:bCs/>
          <w:i/>
          <w:iCs/>
        </w:rPr>
        <w:t>Výpověď</w:t>
      </w:r>
    </w:p>
    <w:p w:rsidR="00D4760A" w:rsidRDefault="00D4760A">
      <w:pPr>
        <w:spacing w:line="160" w:lineRule="exact"/>
        <w:rPr>
          <w:sz w:val="20"/>
          <w:szCs w:val="20"/>
        </w:rPr>
      </w:pPr>
    </w:p>
    <w:p w:rsidR="00D4760A" w:rsidRDefault="00B93A8D">
      <w:pPr>
        <w:numPr>
          <w:ilvl w:val="0"/>
          <w:numId w:val="25"/>
        </w:numPr>
        <w:tabs>
          <w:tab w:val="left" w:pos="360"/>
        </w:tabs>
        <w:ind w:left="360" w:hanging="360"/>
        <w:rPr>
          <w:rFonts w:ascii="Cambria" w:eastAsia="Cambria" w:hAnsi="Cambria" w:cs="Cambria"/>
          <w:b/>
          <w:bCs/>
        </w:rPr>
      </w:pPr>
      <w:r>
        <w:rPr>
          <w:rFonts w:ascii="Cambria" w:eastAsia="Cambria" w:hAnsi="Cambria" w:cs="Cambria"/>
        </w:rPr>
        <w:t>Poskytovatel je oprávněn vypovědět Smlouvu v případě, že</w:t>
      </w:r>
    </w:p>
    <w:p w:rsidR="00D4760A" w:rsidRDefault="00D4760A">
      <w:pPr>
        <w:spacing w:line="157" w:lineRule="exact"/>
        <w:rPr>
          <w:rFonts w:ascii="Cambria" w:eastAsia="Cambria" w:hAnsi="Cambria" w:cs="Cambria"/>
          <w:b/>
          <w:bCs/>
        </w:rPr>
      </w:pPr>
    </w:p>
    <w:p w:rsidR="00D4760A" w:rsidRDefault="00B93A8D">
      <w:pPr>
        <w:numPr>
          <w:ilvl w:val="1"/>
          <w:numId w:val="25"/>
        </w:numPr>
        <w:tabs>
          <w:tab w:val="left" w:pos="660"/>
        </w:tabs>
        <w:spacing w:line="275" w:lineRule="auto"/>
        <w:ind w:left="660" w:hanging="367"/>
        <w:jc w:val="both"/>
        <w:rPr>
          <w:rFonts w:ascii="Cambria" w:eastAsia="Cambria" w:hAnsi="Cambria" w:cs="Cambria"/>
        </w:rPr>
      </w:pPr>
      <w:r>
        <w:rPr>
          <w:rFonts w:ascii="Cambria" w:eastAsia="Cambria" w:hAnsi="Cambria" w:cs="Cambria"/>
        </w:rPr>
        <w:t>hlavní příjemce či další účastník přestal splňovat podmínky kvalifikace podle § 18 odst. 2 ZPVV, s výjimkou pravomocného odsouzení pro trestný čin dotýkající se splnění podmínek pro poskytnutí podpory,</w:t>
      </w:r>
    </w:p>
    <w:p w:rsidR="00D4760A" w:rsidRDefault="00D4760A">
      <w:pPr>
        <w:spacing w:line="123" w:lineRule="exact"/>
        <w:rPr>
          <w:rFonts w:ascii="Cambria" w:eastAsia="Cambria" w:hAnsi="Cambria" w:cs="Cambria"/>
        </w:rPr>
      </w:pPr>
    </w:p>
    <w:p w:rsidR="00D4760A" w:rsidRDefault="00B93A8D">
      <w:pPr>
        <w:numPr>
          <w:ilvl w:val="1"/>
          <w:numId w:val="25"/>
        </w:numPr>
        <w:tabs>
          <w:tab w:val="left" w:pos="660"/>
        </w:tabs>
        <w:spacing w:line="275" w:lineRule="auto"/>
        <w:ind w:left="660" w:hanging="367"/>
        <w:jc w:val="both"/>
        <w:rPr>
          <w:rFonts w:ascii="Cambria" w:eastAsia="Cambria" w:hAnsi="Cambria" w:cs="Cambria"/>
        </w:rPr>
      </w:pPr>
      <w:r>
        <w:rPr>
          <w:rFonts w:ascii="Cambria" w:eastAsia="Cambria" w:hAnsi="Cambria" w:cs="Cambria"/>
        </w:rPr>
        <w:t>pokud další pokračování na řešení projektu pozbyde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hlavní příjemce o těchto skutečnostech nevěděl a vědět nemohl,</w:t>
      </w:r>
    </w:p>
    <w:p w:rsidR="00D4760A" w:rsidRDefault="00D4760A">
      <w:pPr>
        <w:spacing w:line="126" w:lineRule="exact"/>
        <w:rPr>
          <w:rFonts w:ascii="Cambria" w:eastAsia="Cambria" w:hAnsi="Cambria" w:cs="Cambria"/>
        </w:rPr>
      </w:pPr>
    </w:p>
    <w:p w:rsidR="00D4760A" w:rsidRDefault="00B93A8D">
      <w:pPr>
        <w:numPr>
          <w:ilvl w:val="1"/>
          <w:numId w:val="25"/>
        </w:numPr>
        <w:tabs>
          <w:tab w:val="left" w:pos="660"/>
        </w:tabs>
        <w:spacing w:line="276" w:lineRule="auto"/>
        <w:ind w:left="660" w:hanging="367"/>
        <w:rPr>
          <w:rFonts w:ascii="Cambria" w:eastAsia="Cambria" w:hAnsi="Cambria" w:cs="Cambria"/>
        </w:rPr>
      </w:pPr>
      <w:r>
        <w:rPr>
          <w:rFonts w:ascii="Cambria" w:eastAsia="Cambria" w:hAnsi="Cambria" w:cs="Cambria"/>
        </w:rPr>
        <w:t>je zřejmé, že postup při řešení projektu nevede k očekávaným výsledkům v důsledku skutečností hlavním příjemcem nezaviněných,</w:t>
      </w:r>
    </w:p>
    <w:p w:rsidR="00D4760A" w:rsidRDefault="00D4760A">
      <w:pPr>
        <w:spacing w:line="120" w:lineRule="exact"/>
        <w:rPr>
          <w:sz w:val="20"/>
          <w:szCs w:val="20"/>
        </w:rPr>
      </w:pPr>
    </w:p>
    <w:p w:rsidR="00D4760A" w:rsidRDefault="00B93A8D">
      <w:pPr>
        <w:tabs>
          <w:tab w:val="left" w:pos="640"/>
        </w:tabs>
        <w:spacing w:line="276" w:lineRule="auto"/>
        <w:ind w:left="660" w:hanging="359"/>
        <w:rPr>
          <w:sz w:val="20"/>
          <w:szCs w:val="20"/>
        </w:rPr>
      </w:pPr>
      <w:r>
        <w:rPr>
          <w:rFonts w:ascii="Cambria" w:eastAsia="Cambria" w:hAnsi="Cambria" w:cs="Cambria"/>
        </w:rPr>
        <w:t>d)</w:t>
      </w:r>
      <w:r>
        <w:rPr>
          <w:rFonts w:ascii="Cambria" w:eastAsia="Cambria" w:hAnsi="Cambria" w:cs="Cambria"/>
        </w:rPr>
        <w:tab/>
        <w:t>dojde v důsledku rozpočtového provizoria nebo krácení prostředků ze státního rozpočtu k regulaci čerpání státního rozpočtu nebo</w:t>
      </w:r>
    </w:p>
    <w:p w:rsidR="00D4760A" w:rsidRDefault="00D4760A">
      <w:pPr>
        <w:spacing w:line="120" w:lineRule="exact"/>
        <w:rPr>
          <w:sz w:val="20"/>
          <w:szCs w:val="20"/>
        </w:rPr>
      </w:pPr>
    </w:p>
    <w:p w:rsidR="00D4760A" w:rsidRDefault="00B93A8D">
      <w:pPr>
        <w:numPr>
          <w:ilvl w:val="0"/>
          <w:numId w:val="26"/>
        </w:numPr>
        <w:tabs>
          <w:tab w:val="left" w:pos="660"/>
        </w:tabs>
        <w:spacing w:line="276" w:lineRule="auto"/>
        <w:ind w:left="660" w:hanging="367"/>
        <w:jc w:val="both"/>
        <w:rPr>
          <w:rFonts w:ascii="Cambria" w:eastAsia="Cambria" w:hAnsi="Cambria" w:cs="Cambria"/>
        </w:rPr>
      </w:pPr>
      <w:r>
        <w:rPr>
          <w:rFonts w:ascii="Cambria" w:eastAsia="Cambria" w:hAnsi="Cambria" w:cs="Cambria"/>
        </w:rPr>
        <w:t>se plnění povinností hlavního příjemce vyplývajících ze Smlouvy stane jinak nemožným a povinnost plnit zanikne, a tato nemožnost nebyla způsobena porušením jeho povinností, přičemž toto plnění povinností není nemožným, lze-li je uskutečnit za ztížených podmínek nebo až po sjednaném termínu plnění.</w:t>
      </w:r>
    </w:p>
    <w:p w:rsidR="00D4760A" w:rsidRDefault="00B93A8D">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-761365</wp:posOffset>
            </wp:positionH>
            <wp:positionV relativeFrom="paragraph">
              <wp:posOffset>299085</wp:posOffset>
            </wp:positionV>
            <wp:extent cx="3601085" cy="9601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335"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11/23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57728"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27"/>
        </w:numPr>
        <w:tabs>
          <w:tab w:val="left" w:pos="360"/>
        </w:tabs>
        <w:spacing w:line="276" w:lineRule="auto"/>
        <w:ind w:left="360" w:hanging="360"/>
        <w:jc w:val="both"/>
        <w:rPr>
          <w:rFonts w:ascii="Cambria" w:eastAsia="Cambria" w:hAnsi="Cambria" w:cs="Cambria"/>
          <w:b/>
          <w:bCs/>
        </w:rPr>
      </w:pPr>
      <w:r>
        <w:rPr>
          <w:rFonts w:ascii="Cambria" w:eastAsia="Cambria" w:hAnsi="Cambria" w:cs="Cambria"/>
        </w:rPr>
        <w:t>Smluvní strany jsou si povinny vzájemně řádně vypořádat svá práva a povinnosti, zejména provést veškeré nezbytné činnosti spojené s předčasným ukončením řešení projektu (např., pokud je tak účelné, předložení závěrečné zprávy, provedení závěrečného hodnocení, provádění monitoringu udržitelnosti apod.).</w:t>
      </w:r>
    </w:p>
    <w:p w:rsidR="00D4760A" w:rsidRDefault="00D4760A">
      <w:pPr>
        <w:spacing w:line="119" w:lineRule="exact"/>
        <w:rPr>
          <w:rFonts w:ascii="Cambria" w:eastAsia="Cambria" w:hAnsi="Cambria" w:cs="Cambria"/>
          <w:b/>
          <w:bCs/>
        </w:rPr>
      </w:pPr>
    </w:p>
    <w:p w:rsidR="00D4760A" w:rsidRDefault="00B93A8D">
      <w:pPr>
        <w:numPr>
          <w:ilvl w:val="0"/>
          <w:numId w:val="27"/>
        </w:numPr>
        <w:tabs>
          <w:tab w:val="left" w:pos="360"/>
        </w:tabs>
        <w:ind w:left="360" w:hanging="360"/>
        <w:rPr>
          <w:rFonts w:ascii="Cambria" w:eastAsia="Cambria" w:hAnsi="Cambria" w:cs="Cambria"/>
          <w:b/>
          <w:bCs/>
        </w:rPr>
      </w:pPr>
      <w:r>
        <w:rPr>
          <w:rFonts w:ascii="Cambria" w:eastAsia="Cambria" w:hAnsi="Cambria" w:cs="Cambria"/>
        </w:rPr>
        <w:t>Výpověď nabývá účinnosti dnem doručení písemné a odůvodněné výpovědi hlavnímu příjemci.</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93" w:lineRule="exact"/>
        <w:rPr>
          <w:sz w:val="20"/>
          <w:szCs w:val="20"/>
        </w:rPr>
      </w:pPr>
    </w:p>
    <w:p w:rsidR="00D4760A" w:rsidRDefault="00B93A8D">
      <w:pPr>
        <w:ind w:right="80"/>
        <w:jc w:val="center"/>
        <w:rPr>
          <w:sz w:val="20"/>
          <w:szCs w:val="20"/>
        </w:rPr>
      </w:pPr>
      <w:r>
        <w:rPr>
          <w:rFonts w:ascii="Cambria" w:eastAsia="Cambria" w:hAnsi="Cambria" w:cs="Cambria"/>
          <w:b/>
          <w:bCs/>
          <w:i/>
          <w:iCs/>
        </w:rPr>
        <w:t>Článek 8</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Odstoupení</w:t>
      </w:r>
    </w:p>
    <w:p w:rsidR="00D4760A" w:rsidRDefault="00D4760A">
      <w:pPr>
        <w:spacing w:line="157" w:lineRule="exact"/>
        <w:rPr>
          <w:sz w:val="20"/>
          <w:szCs w:val="20"/>
        </w:rPr>
      </w:pPr>
    </w:p>
    <w:p w:rsidR="00D4760A" w:rsidRDefault="00B93A8D">
      <w:pPr>
        <w:numPr>
          <w:ilvl w:val="0"/>
          <w:numId w:val="28"/>
        </w:numPr>
        <w:tabs>
          <w:tab w:val="left" w:pos="360"/>
        </w:tabs>
        <w:ind w:left="360" w:hanging="360"/>
        <w:rPr>
          <w:rFonts w:ascii="Cambria" w:eastAsia="Cambria" w:hAnsi="Cambria" w:cs="Cambria"/>
          <w:b/>
          <w:bCs/>
        </w:rPr>
      </w:pPr>
      <w:r>
        <w:rPr>
          <w:rFonts w:ascii="Cambria" w:eastAsia="Cambria" w:hAnsi="Cambria" w:cs="Cambria"/>
        </w:rPr>
        <w:t>Poskytovatel od Smlouvy odstoupí v případě, že</w:t>
      </w:r>
    </w:p>
    <w:p w:rsidR="00D4760A" w:rsidRDefault="00D4760A">
      <w:pPr>
        <w:spacing w:line="159" w:lineRule="exact"/>
        <w:rPr>
          <w:rFonts w:ascii="Cambria" w:eastAsia="Cambria" w:hAnsi="Cambria" w:cs="Cambria"/>
          <w:b/>
          <w:bCs/>
        </w:rPr>
      </w:pPr>
    </w:p>
    <w:p w:rsidR="00D4760A" w:rsidRDefault="00B93A8D">
      <w:pPr>
        <w:numPr>
          <w:ilvl w:val="1"/>
          <w:numId w:val="28"/>
        </w:numPr>
        <w:tabs>
          <w:tab w:val="left" w:pos="660"/>
        </w:tabs>
        <w:spacing w:line="275" w:lineRule="auto"/>
        <w:ind w:left="660" w:hanging="367"/>
        <w:jc w:val="both"/>
        <w:rPr>
          <w:rFonts w:ascii="Cambria" w:eastAsia="Cambria" w:hAnsi="Cambria" w:cs="Cambria"/>
        </w:rPr>
      </w:pPr>
      <w:r>
        <w:rPr>
          <w:rFonts w:ascii="Cambria" w:eastAsia="Cambria" w:hAnsi="Cambria" w:cs="Cambria"/>
        </w:rPr>
        <w:t>hlavní příjemce anebo další účastník se dopustil jednání (včetně nečinnosti v případech, kdy měl povinnost jednat), kterým sám porušil pravidla veřejné podpory, nebo v důsledku něhož dojde k porušení pravidel veřejné podpory na straně poskytovatele,</w:t>
      </w:r>
    </w:p>
    <w:p w:rsidR="00D4760A" w:rsidRDefault="00D4760A">
      <w:pPr>
        <w:spacing w:line="123" w:lineRule="exact"/>
        <w:rPr>
          <w:rFonts w:ascii="Cambria" w:eastAsia="Cambria" w:hAnsi="Cambria" w:cs="Cambria"/>
        </w:rPr>
      </w:pPr>
    </w:p>
    <w:p w:rsidR="00D4760A" w:rsidRDefault="00B93A8D">
      <w:pPr>
        <w:numPr>
          <w:ilvl w:val="1"/>
          <w:numId w:val="28"/>
        </w:numPr>
        <w:tabs>
          <w:tab w:val="left" w:pos="660"/>
        </w:tabs>
        <w:spacing w:line="276" w:lineRule="auto"/>
        <w:ind w:left="660" w:hanging="367"/>
        <w:jc w:val="both"/>
        <w:rPr>
          <w:rFonts w:ascii="Cambria" w:eastAsia="Cambria" w:hAnsi="Cambria" w:cs="Cambria"/>
        </w:rPr>
      </w:pPr>
      <w:r>
        <w:rPr>
          <w:rFonts w:ascii="Cambria" w:eastAsia="Cambria" w:hAnsi="Cambria" w:cs="Cambria"/>
        </w:rPr>
        <w:t>hlavní příjemce uvedl neúplné, nesprávné nebo nepravdivé údaje nebo jiné skutečnosti ve veřejné soutěži nebo ve veřejné zakázce ve výzkumu, vývoji a inovacích, při uzavření smlouvy nebo na základě informačních povinností během řešení projektu a po jeho ukončení s úmyslem získat podporu nebo jinou výhodu,</w:t>
      </w:r>
    </w:p>
    <w:p w:rsidR="00D4760A" w:rsidRDefault="00D4760A">
      <w:pPr>
        <w:spacing w:line="119" w:lineRule="exact"/>
        <w:rPr>
          <w:rFonts w:ascii="Cambria" w:eastAsia="Cambria" w:hAnsi="Cambria" w:cs="Cambria"/>
        </w:rPr>
      </w:pPr>
    </w:p>
    <w:p w:rsidR="00D4760A" w:rsidRDefault="00B93A8D">
      <w:pPr>
        <w:numPr>
          <w:ilvl w:val="1"/>
          <w:numId w:val="28"/>
        </w:numPr>
        <w:tabs>
          <w:tab w:val="left" w:pos="660"/>
        </w:tabs>
        <w:spacing w:line="275" w:lineRule="auto"/>
        <w:ind w:left="660" w:hanging="367"/>
        <w:jc w:val="both"/>
        <w:rPr>
          <w:rFonts w:ascii="Cambria" w:eastAsia="Cambria" w:hAnsi="Cambria" w:cs="Cambria"/>
        </w:rPr>
      </w:pPr>
      <w:r>
        <w:rPr>
          <w:rFonts w:ascii="Cambria" w:eastAsia="Cambria" w:hAnsi="Cambria" w:cs="Cambria"/>
        </w:rPr>
        <w:t>hlavní příjemce porušil některou z povinností podle článku 4, přičemž pokud hlavního příjemce vyzval k nápravě, odstoupí poskytovatel od Smlouvy až po marném uplynutí stanovené lhůty k nápravě,</w:t>
      </w:r>
    </w:p>
    <w:p w:rsidR="00D4760A" w:rsidRDefault="00D4760A">
      <w:pPr>
        <w:spacing w:line="123" w:lineRule="exact"/>
        <w:rPr>
          <w:rFonts w:ascii="Cambria" w:eastAsia="Cambria" w:hAnsi="Cambria" w:cs="Cambria"/>
        </w:rPr>
      </w:pPr>
    </w:p>
    <w:p w:rsidR="00D4760A" w:rsidRDefault="00B93A8D">
      <w:pPr>
        <w:numPr>
          <w:ilvl w:val="1"/>
          <w:numId w:val="28"/>
        </w:numPr>
        <w:tabs>
          <w:tab w:val="left" w:pos="660"/>
        </w:tabs>
        <w:spacing w:line="274" w:lineRule="auto"/>
        <w:ind w:left="660" w:hanging="367"/>
        <w:rPr>
          <w:rFonts w:ascii="Cambria" w:eastAsia="Cambria" w:hAnsi="Cambria" w:cs="Cambria"/>
        </w:rPr>
      </w:pPr>
      <w:r>
        <w:rPr>
          <w:rFonts w:ascii="Cambria" w:eastAsia="Cambria" w:hAnsi="Cambria" w:cs="Cambria"/>
        </w:rPr>
        <w:t>hlavní příjemce porušil opakovaně 3x některou z povinností, u kterých nejsou dány lhůty pro jejich plnění, ale jejich plnění je podmíněno jinými skutečnostmi,</w:t>
      </w:r>
    </w:p>
    <w:p w:rsidR="00D4760A" w:rsidRDefault="00D4760A">
      <w:pPr>
        <w:spacing w:line="123" w:lineRule="exact"/>
        <w:rPr>
          <w:rFonts w:ascii="Cambria" w:eastAsia="Cambria" w:hAnsi="Cambria" w:cs="Cambria"/>
        </w:rPr>
      </w:pPr>
    </w:p>
    <w:p w:rsidR="00D4760A" w:rsidRDefault="00B93A8D">
      <w:pPr>
        <w:numPr>
          <w:ilvl w:val="1"/>
          <w:numId w:val="28"/>
        </w:numPr>
        <w:tabs>
          <w:tab w:val="left" w:pos="660"/>
        </w:tabs>
        <w:spacing w:line="276" w:lineRule="auto"/>
        <w:ind w:left="660" w:right="20" w:hanging="367"/>
        <w:rPr>
          <w:rFonts w:ascii="Cambria" w:eastAsia="Cambria" w:hAnsi="Cambria" w:cs="Cambria"/>
        </w:rPr>
      </w:pPr>
      <w:r>
        <w:rPr>
          <w:rFonts w:ascii="Cambria" w:eastAsia="Cambria" w:hAnsi="Cambria" w:cs="Cambria"/>
        </w:rPr>
        <w:t>hlavní příjemce anebo další účastník byl pravomocně odsouzen pro trestný čin týkající se splnění podmínek pro poskytnutí podpory,</w:t>
      </w:r>
    </w:p>
    <w:p w:rsidR="00D4760A" w:rsidRDefault="00D4760A">
      <w:pPr>
        <w:spacing w:line="119" w:lineRule="exact"/>
        <w:rPr>
          <w:rFonts w:ascii="Cambria" w:eastAsia="Cambria" w:hAnsi="Cambria" w:cs="Cambria"/>
        </w:rPr>
      </w:pPr>
    </w:p>
    <w:p w:rsidR="00D4760A" w:rsidRDefault="00B93A8D">
      <w:pPr>
        <w:numPr>
          <w:ilvl w:val="1"/>
          <w:numId w:val="28"/>
        </w:numPr>
        <w:tabs>
          <w:tab w:val="left" w:pos="660"/>
        </w:tabs>
        <w:ind w:left="660" w:hanging="367"/>
        <w:rPr>
          <w:rFonts w:ascii="Cambria" w:eastAsia="Cambria" w:hAnsi="Cambria" w:cs="Cambria"/>
        </w:rPr>
      </w:pPr>
      <w:r>
        <w:rPr>
          <w:rFonts w:ascii="Cambria" w:eastAsia="Cambria" w:hAnsi="Cambria" w:cs="Cambria"/>
        </w:rPr>
        <w:t>další pokračování na řešení projektu pozbude účelnosti, zejména z důvodu paralelního řešení</w:t>
      </w:r>
    </w:p>
    <w:p w:rsidR="00D4760A" w:rsidRDefault="00D4760A">
      <w:pPr>
        <w:spacing w:line="40" w:lineRule="exact"/>
        <w:rPr>
          <w:sz w:val="20"/>
          <w:szCs w:val="20"/>
        </w:rPr>
      </w:pPr>
    </w:p>
    <w:p w:rsidR="00D4760A" w:rsidRDefault="00B93A8D">
      <w:pPr>
        <w:spacing w:line="275" w:lineRule="auto"/>
        <w:ind w:left="660"/>
        <w:jc w:val="both"/>
        <w:rPr>
          <w:sz w:val="20"/>
          <w:szCs w:val="20"/>
        </w:rPr>
      </w:pPr>
      <w:r>
        <w:rPr>
          <w:rFonts w:ascii="Cambria" w:eastAsia="Cambria" w:hAnsi="Cambria" w:cs="Cambria"/>
        </w:rPr>
        <w:t>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věděl nebo vědět měl (v pochybnostech se použije obdobné ustanovení o výpovědi),</w:t>
      </w:r>
    </w:p>
    <w:p w:rsidR="00D4760A" w:rsidRDefault="00D4760A">
      <w:pPr>
        <w:spacing w:line="126" w:lineRule="exact"/>
        <w:rPr>
          <w:sz w:val="20"/>
          <w:szCs w:val="20"/>
        </w:rPr>
      </w:pPr>
    </w:p>
    <w:p w:rsidR="00D4760A" w:rsidRDefault="00B93A8D">
      <w:pPr>
        <w:numPr>
          <w:ilvl w:val="0"/>
          <w:numId w:val="29"/>
        </w:numPr>
        <w:tabs>
          <w:tab w:val="left" w:pos="660"/>
        </w:tabs>
        <w:spacing w:line="275" w:lineRule="auto"/>
        <w:ind w:left="660" w:hanging="367"/>
        <w:jc w:val="both"/>
        <w:rPr>
          <w:rFonts w:ascii="Cambria" w:eastAsia="Cambria" w:hAnsi="Cambria" w:cs="Cambria"/>
        </w:rPr>
      </w:pPr>
      <w:r>
        <w:rPr>
          <w:rFonts w:ascii="Cambria" w:eastAsia="Cambria" w:hAnsi="Cambria" w:cs="Cambria"/>
        </w:rPr>
        <w:t>je zřejmé, že postup při řešení projektu nevede k očekávaným výsledkům v důsledku skutečností hlavním příjemcem zaviněných (v pochybnostech se použije obdobné ustanovení o výpovědi) nebo</w:t>
      </w:r>
    </w:p>
    <w:p w:rsidR="00D4760A" w:rsidRDefault="00D4760A">
      <w:pPr>
        <w:spacing w:line="121" w:lineRule="exact"/>
        <w:rPr>
          <w:rFonts w:ascii="Cambria" w:eastAsia="Cambria" w:hAnsi="Cambria" w:cs="Cambria"/>
        </w:rPr>
      </w:pPr>
    </w:p>
    <w:p w:rsidR="00D4760A" w:rsidRDefault="00B93A8D">
      <w:pPr>
        <w:numPr>
          <w:ilvl w:val="0"/>
          <w:numId w:val="29"/>
        </w:numPr>
        <w:tabs>
          <w:tab w:val="left" w:pos="660"/>
        </w:tabs>
        <w:spacing w:line="276" w:lineRule="auto"/>
        <w:ind w:left="660" w:hanging="367"/>
        <w:rPr>
          <w:rFonts w:ascii="Cambria" w:eastAsia="Cambria" w:hAnsi="Cambria" w:cs="Cambria"/>
        </w:rPr>
      </w:pPr>
      <w:r>
        <w:rPr>
          <w:rFonts w:ascii="Cambria" w:eastAsia="Cambria" w:hAnsi="Cambria" w:cs="Cambria"/>
        </w:rPr>
        <w:t>u příjemce byly na základě provedení některého z kontrolních procesů závažné finanční nesrovnalosti nebo podvod.</w:t>
      </w:r>
    </w:p>
    <w:p w:rsidR="00D4760A" w:rsidRDefault="00B93A8D">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-761365</wp:posOffset>
            </wp:positionH>
            <wp:positionV relativeFrom="paragraph">
              <wp:posOffset>375285</wp:posOffset>
            </wp:positionV>
            <wp:extent cx="3601085" cy="9601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55"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12/23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59776"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30"/>
        </w:numPr>
        <w:tabs>
          <w:tab w:val="left" w:pos="360"/>
        </w:tabs>
        <w:spacing w:line="276" w:lineRule="auto"/>
        <w:ind w:left="360" w:hanging="360"/>
        <w:rPr>
          <w:rFonts w:ascii="Cambria" w:eastAsia="Cambria" w:hAnsi="Cambria" w:cs="Cambria"/>
          <w:b/>
          <w:bCs/>
        </w:rPr>
      </w:pPr>
      <w:r>
        <w:rPr>
          <w:rFonts w:ascii="Cambria" w:eastAsia="Cambria" w:hAnsi="Cambria" w:cs="Cambria"/>
        </w:rPr>
        <w:t>Poskytovatel není oprávněn odstoupit od Smlouvy v případě, kdy porušení povinností hlavním příjemcem bylo způsobeno výlučně nedodržením povinností poskytovatele.</w:t>
      </w:r>
    </w:p>
    <w:p w:rsidR="00D4760A" w:rsidRDefault="00D4760A">
      <w:pPr>
        <w:spacing w:line="119" w:lineRule="exact"/>
        <w:rPr>
          <w:rFonts w:ascii="Cambria" w:eastAsia="Cambria" w:hAnsi="Cambria" w:cs="Cambria"/>
          <w:b/>
          <w:bCs/>
        </w:rPr>
      </w:pPr>
    </w:p>
    <w:p w:rsidR="00D4760A" w:rsidRDefault="00B93A8D">
      <w:pPr>
        <w:numPr>
          <w:ilvl w:val="0"/>
          <w:numId w:val="30"/>
        </w:numPr>
        <w:tabs>
          <w:tab w:val="left" w:pos="360"/>
        </w:tabs>
        <w:spacing w:line="276" w:lineRule="auto"/>
        <w:ind w:left="360" w:hanging="360"/>
        <w:rPr>
          <w:rFonts w:ascii="Cambria" w:eastAsia="Cambria" w:hAnsi="Cambria" w:cs="Cambria"/>
          <w:b/>
          <w:bCs/>
        </w:rPr>
      </w:pPr>
      <w:r>
        <w:rPr>
          <w:rFonts w:ascii="Cambria" w:eastAsia="Cambria" w:hAnsi="Cambria" w:cs="Cambria"/>
        </w:rPr>
        <w:t>Odstoupení nabývá účinnosti dnem doručení písemného a odůvodněného oznámení o odstoupení hlavnímu příjemci.</w:t>
      </w:r>
    </w:p>
    <w:p w:rsidR="00D4760A" w:rsidRDefault="00D4760A">
      <w:pPr>
        <w:spacing w:line="119" w:lineRule="exact"/>
        <w:rPr>
          <w:rFonts w:ascii="Cambria" w:eastAsia="Cambria" w:hAnsi="Cambria" w:cs="Cambria"/>
          <w:b/>
          <w:bCs/>
        </w:rPr>
      </w:pPr>
    </w:p>
    <w:p w:rsidR="00D4760A" w:rsidRDefault="00B93A8D">
      <w:pPr>
        <w:numPr>
          <w:ilvl w:val="0"/>
          <w:numId w:val="30"/>
        </w:numPr>
        <w:tabs>
          <w:tab w:val="left" w:pos="360"/>
        </w:tabs>
        <w:spacing w:line="276" w:lineRule="auto"/>
        <w:ind w:left="360" w:hanging="360"/>
        <w:rPr>
          <w:rFonts w:ascii="Cambria" w:eastAsia="Cambria" w:hAnsi="Cambria" w:cs="Cambria"/>
          <w:b/>
          <w:bCs/>
        </w:rPr>
      </w:pPr>
      <w:r>
        <w:rPr>
          <w:rFonts w:ascii="Cambria" w:eastAsia="Cambria" w:hAnsi="Cambria" w:cs="Cambria"/>
        </w:rPr>
        <w:t>Odstoupením od Smlouvy nastávají jeho účinky uvedené v § 2004 a 2005 zákona č. 89/2012 Sb., občanský zákoník.</w:t>
      </w:r>
    </w:p>
    <w:p w:rsidR="00D4760A" w:rsidRDefault="00D4760A">
      <w:pPr>
        <w:spacing w:line="242" w:lineRule="exact"/>
        <w:rPr>
          <w:sz w:val="20"/>
          <w:szCs w:val="20"/>
        </w:rPr>
      </w:pPr>
    </w:p>
    <w:p w:rsidR="00D4760A" w:rsidRDefault="00B93A8D">
      <w:pPr>
        <w:ind w:right="80"/>
        <w:jc w:val="center"/>
        <w:rPr>
          <w:sz w:val="20"/>
          <w:szCs w:val="20"/>
        </w:rPr>
      </w:pPr>
      <w:r>
        <w:rPr>
          <w:rFonts w:ascii="Cambria" w:eastAsia="Cambria" w:hAnsi="Cambria" w:cs="Cambria"/>
          <w:b/>
          <w:bCs/>
          <w:i/>
          <w:iCs/>
        </w:rPr>
        <w:t>Článek 9</w:t>
      </w:r>
    </w:p>
    <w:p w:rsidR="00D4760A" w:rsidRDefault="00D4760A">
      <w:pPr>
        <w:spacing w:line="37" w:lineRule="exact"/>
        <w:rPr>
          <w:sz w:val="20"/>
          <w:szCs w:val="20"/>
        </w:rPr>
      </w:pPr>
    </w:p>
    <w:p w:rsidR="00D4760A" w:rsidRDefault="00B93A8D">
      <w:pPr>
        <w:ind w:right="80"/>
        <w:jc w:val="center"/>
        <w:rPr>
          <w:sz w:val="20"/>
          <w:szCs w:val="20"/>
        </w:rPr>
      </w:pPr>
      <w:r>
        <w:rPr>
          <w:rFonts w:ascii="Cambria" w:eastAsia="Cambria" w:hAnsi="Cambria" w:cs="Cambria"/>
          <w:b/>
          <w:bCs/>
          <w:i/>
          <w:iCs/>
        </w:rPr>
        <w:t>Příjmy z projektů</w:t>
      </w:r>
    </w:p>
    <w:p w:rsidR="00D4760A" w:rsidRDefault="00D4760A">
      <w:pPr>
        <w:spacing w:line="160" w:lineRule="exact"/>
        <w:rPr>
          <w:sz w:val="20"/>
          <w:szCs w:val="20"/>
        </w:rPr>
      </w:pPr>
    </w:p>
    <w:p w:rsidR="00D4760A" w:rsidRDefault="00B93A8D">
      <w:pPr>
        <w:numPr>
          <w:ilvl w:val="0"/>
          <w:numId w:val="31"/>
        </w:numPr>
        <w:tabs>
          <w:tab w:val="left" w:pos="360"/>
        </w:tabs>
        <w:spacing w:line="291" w:lineRule="auto"/>
        <w:ind w:left="360" w:hanging="360"/>
        <w:jc w:val="both"/>
        <w:rPr>
          <w:rFonts w:ascii="Cambria" w:eastAsia="Cambria" w:hAnsi="Cambria" w:cs="Cambria"/>
          <w:b/>
          <w:bCs/>
          <w:sz w:val="21"/>
          <w:szCs w:val="21"/>
        </w:rPr>
      </w:pPr>
      <w:r>
        <w:rPr>
          <w:rFonts w:ascii="Cambria" w:eastAsia="Cambria" w:hAnsi="Cambria" w:cs="Cambria"/>
          <w:sz w:val="21"/>
          <w:szCs w:val="21"/>
        </w:rPr>
        <w:t>Příjmy z projektů jsou jakékoliv příjmy příjemce v souvislosti s řešením projektu s výjimkou veřejné zakázky ve výzkumu, vývoji a inovacích, které by za jiných okolností neměl, a s kterými se v průběhu řešení projektu nebo po jeho ukončení primárně nepočítá. Mezi příjmy z projektů se tudíž nezahrnují příjmy z deklarovaných výsledků. Jedná se tak o výhodu, které by se měl příjemce zbavit tak, že příslušnou částku odpovídající takovému příjmu z projektu odvede poskytovateli.</w:t>
      </w:r>
    </w:p>
    <w:p w:rsidR="00D4760A" w:rsidRDefault="00D4760A">
      <w:pPr>
        <w:spacing w:line="110" w:lineRule="exact"/>
        <w:rPr>
          <w:rFonts w:ascii="Cambria" w:eastAsia="Cambria" w:hAnsi="Cambria" w:cs="Cambria"/>
          <w:b/>
          <w:bCs/>
          <w:sz w:val="21"/>
          <w:szCs w:val="21"/>
        </w:rPr>
      </w:pPr>
    </w:p>
    <w:p w:rsidR="00D4760A" w:rsidRDefault="00B93A8D">
      <w:pPr>
        <w:numPr>
          <w:ilvl w:val="0"/>
          <w:numId w:val="31"/>
        </w:numPr>
        <w:tabs>
          <w:tab w:val="left" w:pos="360"/>
        </w:tabs>
        <w:ind w:left="360" w:hanging="360"/>
        <w:rPr>
          <w:rFonts w:ascii="Cambria" w:eastAsia="Cambria" w:hAnsi="Cambria" w:cs="Cambria"/>
          <w:b/>
          <w:bCs/>
        </w:rPr>
      </w:pPr>
      <w:r>
        <w:rPr>
          <w:rFonts w:ascii="Cambria" w:eastAsia="Cambria" w:hAnsi="Cambria" w:cs="Cambria"/>
        </w:rPr>
        <w:t>Mezi příjmy z projektů lze zahrnout zejména</w:t>
      </w:r>
    </w:p>
    <w:p w:rsidR="00D4760A" w:rsidRDefault="00D4760A">
      <w:pPr>
        <w:spacing w:line="157" w:lineRule="exact"/>
        <w:rPr>
          <w:rFonts w:ascii="Cambria" w:eastAsia="Cambria" w:hAnsi="Cambria" w:cs="Cambria"/>
          <w:b/>
          <w:bCs/>
        </w:rPr>
      </w:pPr>
    </w:p>
    <w:p w:rsidR="00D4760A" w:rsidRDefault="00B93A8D">
      <w:pPr>
        <w:numPr>
          <w:ilvl w:val="1"/>
          <w:numId w:val="31"/>
        </w:numPr>
        <w:tabs>
          <w:tab w:val="left" w:pos="660"/>
        </w:tabs>
        <w:spacing w:line="276" w:lineRule="auto"/>
        <w:ind w:left="660" w:hanging="367"/>
        <w:rPr>
          <w:rFonts w:ascii="Cambria" w:eastAsia="Cambria" w:hAnsi="Cambria" w:cs="Cambria"/>
        </w:rPr>
      </w:pPr>
      <w:r>
        <w:rPr>
          <w:rFonts w:ascii="Cambria" w:eastAsia="Cambria" w:hAnsi="Cambria" w:cs="Cambria"/>
        </w:rPr>
        <w:t>úroky z příslušné části finančních prostředků z poskytnuté podpory po tu dobu, co je uložena na účtu příjemce,</w:t>
      </w:r>
    </w:p>
    <w:p w:rsidR="00D4760A" w:rsidRDefault="00D4760A">
      <w:pPr>
        <w:spacing w:line="122" w:lineRule="exact"/>
        <w:rPr>
          <w:rFonts w:ascii="Cambria" w:eastAsia="Cambria" w:hAnsi="Cambria" w:cs="Cambria"/>
        </w:rPr>
      </w:pPr>
    </w:p>
    <w:p w:rsidR="00D4760A" w:rsidRDefault="00B93A8D">
      <w:pPr>
        <w:numPr>
          <w:ilvl w:val="1"/>
          <w:numId w:val="31"/>
        </w:numPr>
        <w:tabs>
          <w:tab w:val="left" w:pos="660"/>
        </w:tabs>
        <w:spacing w:line="274" w:lineRule="auto"/>
        <w:ind w:left="660" w:hanging="367"/>
        <w:rPr>
          <w:rFonts w:ascii="Cambria" w:eastAsia="Cambria" w:hAnsi="Cambria" w:cs="Cambria"/>
        </w:rPr>
      </w:pPr>
      <w:r>
        <w:rPr>
          <w:rFonts w:ascii="Cambria" w:eastAsia="Cambria" w:hAnsi="Cambria" w:cs="Cambria"/>
        </w:rPr>
        <w:t>jakékoliv komerční využití či jiné zpeněžení majetku pořízeného z podpory, který již nelze využít k samotnému řešení projektu a</w:t>
      </w:r>
    </w:p>
    <w:p w:rsidR="00D4760A" w:rsidRDefault="00D4760A">
      <w:pPr>
        <w:spacing w:line="123" w:lineRule="exact"/>
        <w:rPr>
          <w:rFonts w:ascii="Cambria" w:eastAsia="Cambria" w:hAnsi="Cambria" w:cs="Cambria"/>
        </w:rPr>
      </w:pPr>
    </w:p>
    <w:p w:rsidR="00D4760A" w:rsidRDefault="00B93A8D">
      <w:pPr>
        <w:numPr>
          <w:ilvl w:val="1"/>
          <w:numId w:val="31"/>
        </w:numPr>
        <w:tabs>
          <w:tab w:val="left" w:pos="660"/>
        </w:tabs>
        <w:spacing w:line="274" w:lineRule="auto"/>
        <w:ind w:left="660" w:hanging="367"/>
        <w:rPr>
          <w:rFonts w:ascii="Cambria" w:eastAsia="Cambria" w:hAnsi="Cambria" w:cs="Cambria"/>
        </w:rPr>
      </w:pPr>
      <w:r>
        <w:rPr>
          <w:rFonts w:ascii="Cambria" w:eastAsia="Cambria" w:hAnsi="Cambria" w:cs="Cambria"/>
        </w:rPr>
        <w:t>sankce dodavatelům, včetně těch neuplatněných, při pořizování zboží či služeb za účelem řešení projektu popř. jiná náhradní plnění (např. slevy za pozdní dodání).</w:t>
      </w:r>
    </w:p>
    <w:p w:rsidR="00D4760A" w:rsidRDefault="00D4760A">
      <w:pPr>
        <w:spacing w:line="123" w:lineRule="exact"/>
        <w:rPr>
          <w:rFonts w:ascii="Cambria" w:eastAsia="Cambria" w:hAnsi="Cambria" w:cs="Cambria"/>
        </w:rPr>
      </w:pPr>
    </w:p>
    <w:p w:rsidR="00D4760A" w:rsidRDefault="00B93A8D">
      <w:pPr>
        <w:numPr>
          <w:ilvl w:val="0"/>
          <w:numId w:val="31"/>
        </w:numPr>
        <w:tabs>
          <w:tab w:val="left" w:pos="360"/>
        </w:tabs>
        <w:spacing w:line="276" w:lineRule="auto"/>
        <w:ind w:left="360" w:hanging="360"/>
        <w:jc w:val="both"/>
        <w:rPr>
          <w:rFonts w:ascii="Cambria" w:eastAsia="Cambria" w:hAnsi="Cambria" w:cs="Cambria"/>
          <w:b/>
          <w:bCs/>
        </w:rPr>
      </w:pPr>
      <w:r>
        <w:rPr>
          <w:rFonts w:ascii="Cambria" w:eastAsia="Cambria" w:hAnsi="Cambria" w:cs="Cambria"/>
        </w:rPr>
        <w:t>Příjemce je povinen si zároveň počínat jako řádný hospodář při generování příjmů, tj. nezamezovat jejich získávání, pokud by tak nečinil ani v případě, že by se jednalo o příjmy, které s projektem nesouvisí. Opačný postup bude posuzován jako porušení pravidel veřejné podpory. Pokud příslušná banka příjemce úroky neposkytuje, musí příjemce prokázat, že je tato skutečnost součásti běžně nabízeného produktu i ostatním klientům a nejedná se o ad hoc účelovou dohodu mezi příjemcem a bankou.</w:t>
      </w:r>
    </w:p>
    <w:p w:rsidR="00D4760A" w:rsidRDefault="00D4760A">
      <w:pPr>
        <w:spacing w:line="119" w:lineRule="exact"/>
        <w:rPr>
          <w:rFonts w:ascii="Cambria" w:eastAsia="Cambria" w:hAnsi="Cambria" w:cs="Cambria"/>
          <w:b/>
          <w:bCs/>
        </w:rPr>
      </w:pPr>
    </w:p>
    <w:p w:rsidR="00D4760A" w:rsidRDefault="00B93A8D">
      <w:pPr>
        <w:numPr>
          <w:ilvl w:val="0"/>
          <w:numId w:val="31"/>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Přehled příjmů z projektů popř. uvedení důvodů jejich neexistence za dobu řešení projektu uvede hlavní příjemce do závěrečné zprávy a odvede je poskytovateli nejpozději do 15. února roku následujícího po skončení projektu na účet 19-3125001/0710. Kalkulace nemusí přesně odpovídat realitě, pokud by příjemce musel vynaložit takové úsilí, které by bylo nepřiměřeně časově a administrativně nákladné v poměru ke zjištěnému výsledku. Příjemce nicméně v takových případech podle předchozí věty zvolí alespoň takovou jednoduchou metodu výpočtu, která se realitě blíží s tím, že hlavním smyslem takové úpravy je povinnost příjemce zbavit se této výhody, jak je uvedena v odst. 1.</w:t>
      </w:r>
    </w:p>
    <w:p w:rsidR="00D4760A" w:rsidRDefault="00D4760A">
      <w:pPr>
        <w:spacing w:line="129" w:lineRule="exact"/>
        <w:rPr>
          <w:rFonts w:ascii="Cambria" w:eastAsia="Cambria" w:hAnsi="Cambria" w:cs="Cambria"/>
          <w:b/>
          <w:bCs/>
        </w:rPr>
      </w:pPr>
    </w:p>
    <w:p w:rsidR="00D4760A" w:rsidRDefault="00B93A8D">
      <w:pPr>
        <w:numPr>
          <w:ilvl w:val="0"/>
          <w:numId w:val="31"/>
        </w:numPr>
        <w:tabs>
          <w:tab w:val="left" w:pos="360"/>
        </w:tabs>
        <w:spacing w:line="276" w:lineRule="auto"/>
        <w:ind w:left="360" w:right="20" w:hanging="360"/>
        <w:rPr>
          <w:rFonts w:ascii="Cambria" w:eastAsia="Cambria" w:hAnsi="Cambria" w:cs="Cambria"/>
          <w:b/>
          <w:bCs/>
        </w:rPr>
      </w:pPr>
      <w:r>
        <w:rPr>
          <w:rFonts w:ascii="Cambria" w:eastAsia="Cambria" w:hAnsi="Cambria" w:cs="Cambria"/>
        </w:rPr>
        <w:t>Za období pro odvod těchto příjmů z projektů se považuje doba řešení projektu a doba 3 let po ukončení řešení.</w:t>
      </w:r>
    </w:p>
    <w:p w:rsidR="00D4760A" w:rsidRDefault="00B93A8D">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-761365</wp:posOffset>
            </wp:positionH>
            <wp:positionV relativeFrom="paragraph">
              <wp:posOffset>262890</wp:posOffset>
            </wp:positionV>
            <wp:extent cx="3601085" cy="9601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78"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13/23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61824"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32"/>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Pokud dojde k příjmům, které byly generovány z majetku pořízeného z podpory v té části, ve které mají být využity k řešení projektu, považují se tyto příjmy za nepovolené s důsledkem porušení rozpočtové kázně příjemce.</w:t>
      </w:r>
    </w:p>
    <w:p w:rsidR="00D4760A" w:rsidRDefault="00D4760A">
      <w:pPr>
        <w:spacing w:line="123" w:lineRule="exact"/>
        <w:rPr>
          <w:rFonts w:ascii="Cambria" w:eastAsia="Cambria" w:hAnsi="Cambria" w:cs="Cambria"/>
          <w:b/>
          <w:bCs/>
        </w:rPr>
      </w:pPr>
    </w:p>
    <w:p w:rsidR="00D4760A" w:rsidRDefault="00B93A8D">
      <w:pPr>
        <w:numPr>
          <w:ilvl w:val="0"/>
          <w:numId w:val="32"/>
        </w:numPr>
        <w:tabs>
          <w:tab w:val="left" w:pos="360"/>
        </w:tabs>
        <w:spacing w:line="274" w:lineRule="auto"/>
        <w:ind w:left="360" w:hanging="360"/>
        <w:rPr>
          <w:rFonts w:ascii="Cambria" w:eastAsia="Cambria" w:hAnsi="Cambria" w:cs="Cambria"/>
          <w:b/>
          <w:bCs/>
        </w:rPr>
      </w:pPr>
      <w:r>
        <w:rPr>
          <w:rFonts w:ascii="Cambria" w:eastAsia="Cambria" w:hAnsi="Cambria" w:cs="Cambria"/>
        </w:rPr>
        <w:t>Povinnost odvádět se nevztahuje na příjmy, které nedosáhnou za příslušný kalendářní rok 200,-Kč v jednom projektu u jednoho příjemce.</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0" w:lineRule="exact"/>
        <w:rPr>
          <w:sz w:val="20"/>
          <w:szCs w:val="20"/>
        </w:rPr>
      </w:pPr>
    </w:p>
    <w:p w:rsidR="00D4760A" w:rsidRDefault="00B93A8D">
      <w:pPr>
        <w:ind w:right="80"/>
        <w:jc w:val="center"/>
        <w:rPr>
          <w:sz w:val="20"/>
          <w:szCs w:val="20"/>
        </w:rPr>
      </w:pPr>
      <w:r>
        <w:rPr>
          <w:rFonts w:ascii="Cambria" w:eastAsia="Cambria" w:hAnsi="Cambria" w:cs="Cambria"/>
          <w:b/>
          <w:bCs/>
          <w:sz w:val="28"/>
          <w:szCs w:val="28"/>
        </w:rPr>
        <w:t>Část C – Poskytování informací, mlčenlivost a předkládání zpráv</w:t>
      </w:r>
    </w:p>
    <w:p w:rsidR="00D4760A" w:rsidRDefault="00D4760A">
      <w:pPr>
        <w:spacing w:line="290" w:lineRule="exact"/>
        <w:rPr>
          <w:sz w:val="20"/>
          <w:szCs w:val="20"/>
        </w:rPr>
      </w:pPr>
    </w:p>
    <w:p w:rsidR="00D4760A" w:rsidRDefault="00B93A8D">
      <w:pPr>
        <w:ind w:right="80"/>
        <w:jc w:val="center"/>
        <w:rPr>
          <w:sz w:val="20"/>
          <w:szCs w:val="20"/>
        </w:rPr>
      </w:pPr>
      <w:r>
        <w:rPr>
          <w:rFonts w:ascii="Cambria" w:eastAsia="Cambria" w:hAnsi="Cambria" w:cs="Cambria"/>
          <w:b/>
          <w:bCs/>
          <w:i/>
          <w:iCs/>
        </w:rPr>
        <w:t>Článek 10</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Poskytování informací a mlčenlivost</w:t>
      </w:r>
    </w:p>
    <w:p w:rsidR="00D4760A" w:rsidRDefault="00D4760A">
      <w:pPr>
        <w:spacing w:line="157" w:lineRule="exact"/>
        <w:rPr>
          <w:sz w:val="20"/>
          <w:szCs w:val="20"/>
        </w:rPr>
      </w:pPr>
    </w:p>
    <w:p w:rsidR="00D4760A" w:rsidRDefault="00B93A8D">
      <w:pPr>
        <w:numPr>
          <w:ilvl w:val="0"/>
          <w:numId w:val="33"/>
        </w:numPr>
        <w:tabs>
          <w:tab w:val="left" w:pos="360"/>
        </w:tabs>
        <w:ind w:left="360" w:hanging="360"/>
        <w:rPr>
          <w:rFonts w:ascii="Cambria" w:eastAsia="Cambria" w:hAnsi="Cambria" w:cs="Cambria"/>
          <w:b/>
          <w:bCs/>
        </w:rPr>
      </w:pPr>
      <w:r>
        <w:rPr>
          <w:rFonts w:ascii="Cambria" w:eastAsia="Cambria" w:hAnsi="Cambria" w:cs="Cambria"/>
        </w:rPr>
        <w:t>Poskytovatel zajistí předávání relevantních informací do IS VaVaI v souladu s hlavou VII ZPVV</w:t>
      </w:r>
    </w:p>
    <w:p w:rsidR="00D4760A" w:rsidRDefault="00D4760A">
      <w:pPr>
        <w:spacing w:line="39" w:lineRule="exact"/>
        <w:rPr>
          <w:rFonts w:ascii="Cambria" w:eastAsia="Cambria" w:hAnsi="Cambria" w:cs="Cambria"/>
          <w:b/>
          <w:bCs/>
        </w:rPr>
      </w:pPr>
    </w:p>
    <w:p w:rsidR="00D4760A" w:rsidRDefault="00B93A8D">
      <w:pPr>
        <w:numPr>
          <w:ilvl w:val="1"/>
          <w:numId w:val="33"/>
        </w:numPr>
        <w:tabs>
          <w:tab w:val="left" w:pos="520"/>
        </w:tabs>
        <w:ind w:left="520" w:hanging="160"/>
        <w:rPr>
          <w:rFonts w:ascii="Cambria" w:eastAsia="Cambria" w:hAnsi="Cambria" w:cs="Cambria"/>
        </w:rPr>
      </w:pPr>
      <w:r>
        <w:rPr>
          <w:rFonts w:ascii="Cambria" w:eastAsia="Cambria" w:hAnsi="Cambria" w:cs="Cambria"/>
        </w:rPr>
        <w:t>nařízením vlády č. 397/2009 Sb., o informačním systému výzkumu, experimentálního vývoje</w:t>
      </w:r>
    </w:p>
    <w:p w:rsidR="00D4760A" w:rsidRDefault="00D4760A">
      <w:pPr>
        <w:spacing w:line="37" w:lineRule="exact"/>
        <w:rPr>
          <w:rFonts w:ascii="Cambria" w:eastAsia="Cambria" w:hAnsi="Cambria" w:cs="Cambria"/>
        </w:rPr>
      </w:pPr>
    </w:p>
    <w:p w:rsidR="00D4760A" w:rsidRDefault="00B93A8D">
      <w:pPr>
        <w:numPr>
          <w:ilvl w:val="1"/>
          <w:numId w:val="34"/>
        </w:numPr>
        <w:tabs>
          <w:tab w:val="left" w:pos="516"/>
        </w:tabs>
        <w:spacing w:line="276" w:lineRule="auto"/>
        <w:ind w:left="360" w:right="20"/>
        <w:rPr>
          <w:rFonts w:ascii="Cambria" w:eastAsia="Cambria" w:hAnsi="Cambria" w:cs="Cambria"/>
        </w:rPr>
      </w:pPr>
      <w:r>
        <w:rPr>
          <w:rFonts w:ascii="Cambria" w:eastAsia="Cambria" w:hAnsi="Cambria" w:cs="Cambria"/>
        </w:rPr>
        <w:t>inovací. Za tímto účelem si od příjemce dle potřeby takové informace vyžádá, pokud je již neobdržel na základě jiných skutečností.</w:t>
      </w:r>
    </w:p>
    <w:p w:rsidR="00D4760A" w:rsidRDefault="00D4760A">
      <w:pPr>
        <w:spacing w:line="119" w:lineRule="exact"/>
        <w:rPr>
          <w:rFonts w:ascii="Cambria" w:eastAsia="Cambria" w:hAnsi="Cambria" w:cs="Cambria"/>
        </w:rPr>
      </w:pPr>
    </w:p>
    <w:p w:rsidR="00D4760A" w:rsidRDefault="00B93A8D">
      <w:pPr>
        <w:numPr>
          <w:ilvl w:val="0"/>
          <w:numId w:val="35"/>
        </w:numPr>
        <w:tabs>
          <w:tab w:val="left" w:pos="360"/>
        </w:tabs>
        <w:spacing w:line="276" w:lineRule="auto"/>
        <w:ind w:left="360" w:hanging="360"/>
        <w:jc w:val="both"/>
        <w:rPr>
          <w:rFonts w:ascii="Cambria" w:eastAsia="Cambria" w:hAnsi="Cambria" w:cs="Cambria"/>
          <w:b/>
          <w:bCs/>
        </w:rPr>
      </w:pPr>
      <w:r>
        <w:rPr>
          <w:rFonts w:ascii="Cambria" w:eastAsia="Cambria" w:hAnsi="Cambria" w:cs="Cambria"/>
        </w:rPr>
        <w:t>Všechny informace vztahující se k řešení projektu a k výsledkům projektu jsou považovány za důvěrné s výjimkou informací poskytovaných do IS VaVaI nebo informací, které je poskytovatel povinen poskytnout jiným orgánům státní správy, soudním orgánům nebo orgánům činným</w:t>
      </w:r>
    </w:p>
    <w:p w:rsidR="00D4760A" w:rsidRDefault="00B93A8D">
      <w:pPr>
        <w:numPr>
          <w:ilvl w:val="1"/>
          <w:numId w:val="35"/>
        </w:numPr>
        <w:tabs>
          <w:tab w:val="left" w:pos="566"/>
        </w:tabs>
        <w:spacing w:line="275" w:lineRule="auto"/>
        <w:ind w:left="360"/>
        <w:jc w:val="both"/>
        <w:rPr>
          <w:rFonts w:ascii="Cambria" w:eastAsia="Cambria" w:hAnsi="Cambria" w:cs="Cambria"/>
        </w:rPr>
      </w:pPr>
      <w:r>
        <w:rPr>
          <w:rFonts w:ascii="Cambria" w:eastAsia="Cambria" w:hAnsi="Cambria" w:cs="Cambria"/>
        </w:rPr>
        <w:t>trestním řízení. Poskytovatel si zároveň vyhrazuje právo poskytnout relevantní informace jiným poskytovatelům nebo jiným orgánům státní správy za účelem efektivního výkonu činností</w:t>
      </w:r>
    </w:p>
    <w:p w:rsidR="00D4760A" w:rsidRDefault="00D4760A">
      <w:pPr>
        <w:spacing w:line="1" w:lineRule="exact"/>
        <w:rPr>
          <w:rFonts w:ascii="Cambria" w:eastAsia="Cambria" w:hAnsi="Cambria" w:cs="Cambria"/>
        </w:rPr>
      </w:pPr>
    </w:p>
    <w:p w:rsidR="00D4760A" w:rsidRDefault="00B93A8D">
      <w:pPr>
        <w:numPr>
          <w:ilvl w:val="1"/>
          <w:numId w:val="36"/>
        </w:numPr>
        <w:tabs>
          <w:tab w:val="left" w:pos="560"/>
        </w:tabs>
        <w:ind w:left="560" w:hanging="200"/>
        <w:rPr>
          <w:rFonts w:ascii="Cambria" w:eastAsia="Cambria" w:hAnsi="Cambria" w:cs="Cambria"/>
        </w:rPr>
      </w:pPr>
      <w:r>
        <w:rPr>
          <w:rFonts w:ascii="Cambria" w:eastAsia="Cambria" w:hAnsi="Cambria" w:cs="Cambria"/>
        </w:rPr>
        <w:t>souvislosti s poskytováním podpory ve výzkumu, vývoji a inovacích.</w:t>
      </w:r>
    </w:p>
    <w:p w:rsidR="00D4760A" w:rsidRDefault="00D4760A">
      <w:pPr>
        <w:spacing w:line="159" w:lineRule="exact"/>
        <w:rPr>
          <w:rFonts w:ascii="Cambria" w:eastAsia="Cambria" w:hAnsi="Cambria" w:cs="Cambria"/>
        </w:rPr>
      </w:pPr>
    </w:p>
    <w:p w:rsidR="00D4760A" w:rsidRDefault="00B93A8D">
      <w:pPr>
        <w:numPr>
          <w:ilvl w:val="0"/>
          <w:numId w:val="37"/>
        </w:numPr>
        <w:tabs>
          <w:tab w:val="left" w:pos="360"/>
        </w:tabs>
        <w:spacing w:line="294" w:lineRule="auto"/>
        <w:ind w:left="360" w:right="20" w:hanging="360"/>
        <w:jc w:val="both"/>
        <w:rPr>
          <w:rFonts w:ascii="Cambria" w:eastAsia="Cambria" w:hAnsi="Cambria" w:cs="Cambria"/>
          <w:b/>
          <w:bCs/>
          <w:sz w:val="21"/>
          <w:szCs w:val="21"/>
        </w:rPr>
      </w:pPr>
      <w:r>
        <w:rPr>
          <w:rFonts w:ascii="Cambria" w:eastAsia="Cambria" w:hAnsi="Cambria" w:cs="Cambria"/>
          <w:sz w:val="21"/>
          <w:szCs w:val="21"/>
        </w:rPr>
        <w:t>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 předány.</w:t>
      </w:r>
    </w:p>
    <w:p w:rsidR="00D4760A" w:rsidRDefault="00D4760A">
      <w:pPr>
        <w:spacing w:line="105" w:lineRule="exact"/>
        <w:rPr>
          <w:rFonts w:ascii="Cambria" w:eastAsia="Cambria" w:hAnsi="Cambria" w:cs="Cambria"/>
          <w:b/>
          <w:bCs/>
          <w:sz w:val="21"/>
          <w:szCs w:val="21"/>
        </w:rPr>
      </w:pPr>
    </w:p>
    <w:p w:rsidR="00D4760A" w:rsidRDefault="00B93A8D">
      <w:pPr>
        <w:numPr>
          <w:ilvl w:val="0"/>
          <w:numId w:val="37"/>
        </w:numPr>
        <w:tabs>
          <w:tab w:val="left" w:pos="360"/>
        </w:tabs>
        <w:ind w:left="360" w:hanging="360"/>
        <w:rPr>
          <w:rFonts w:ascii="Cambria" w:eastAsia="Cambria" w:hAnsi="Cambria" w:cs="Cambria"/>
          <w:b/>
          <w:bCs/>
        </w:rPr>
      </w:pPr>
      <w:r>
        <w:rPr>
          <w:rFonts w:ascii="Cambria" w:eastAsia="Cambria" w:hAnsi="Cambria" w:cs="Cambria"/>
        </w:rPr>
        <w:t>Předchozí odstavec se nevztahuje na informování veřejnosti o tom, že projekt resp. jeho výstupy</w:t>
      </w:r>
    </w:p>
    <w:p w:rsidR="00D4760A" w:rsidRDefault="00D4760A">
      <w:pPr>
        <w:spacing w:line="37" w:lineRule="exact"/>
        <w:rPr>
          <w:rFonts w:ascii="Cambria" w:eastAsia="Cambria" w:hAnsi="Cambria" w:cs="Cambria"/>
          <w:b/>
          <w:bCs/>
        </w:rPr>
      </w:pPr>
    </w:p>
    <w:p w:rsidR="00D4760A" w:rsidRDefault="00B93A8D">
      <w:pPr>
        <w:numPr>
          <w:ilvl w:val="1"/>
          <w:numId w:val="37"/>
        </w:numPr>
        <w:tabs>
          <w:tab w:val="left" w:pos="560"/>
        </w:tabs>
        <w:ind w:left="560" w:hanging="200"/>
        <w:rPr>
          <w:rFonts w:ascii="Cambria" w:eastAsia="Cambria" w:hAnsi="Cambria" w:cs="Cambria"/>
        </w:rPr>
      </w:pPr>
      <w:r>
        <w:rPr>
          <w:rFonts w:ascii="Cambria" w:eastAsia="Cambria" w:hAnsi="Cambria" w:cs="Cambria"/>
        </w:rPr>
        <w:t>výsledky byl nebo je spolufinancován z prostředků poskytovatele a příjemce zároveň postupuje</w:t>
      </w:r>
    </w:p>
    <w:p w:rsidR="00D4760A" w:rsidRDefault="00D4760A">
      <w:pPr>
        <w:spacing w:line="40" w:lineRule="exact"/>
        <w:rPr>
          <w:rFonts w:ascii="Cambria" w:eastAsia="Cambria" w:hAnsi="Cambria" w:cs="Cambria"/>
        </w:rPr>
      </w:pPr>
    </w:p>
    <w:p w:rsidR="00D4760A" w:rsidRDefault="00B93A8D">
      <w:pPr>
        <w:numPr>
          <w:ilvl w:val="1"/>
          <w:numId w:val="38"/>
        </w:numPr>
        <w:tabs>
          <w:tab w:val="left" w:pos="520"/>
        </w:tabs>
        <w:ind w:left="520" w:hanging="160"/>
        <w:rPr>
          <w:rFonts w:ascii="Cambria" w:eastAsia="Cambria" w:hAnsi="Cambria" w:cs="Cambria"/>
        </w:rPr>
      </w:pPr>
      <w:r>
        <w:rPr>
          <w:rFonts w:ascii="Cambria" w:eastAsia="Cambria" w:hAnsi="Cambria" w:cs="Cambria"/>
        </w:rPr>
        <w:t xml:space="preserve">souladu s dokumentem </w:t>
      </w:r>
      <w:r>
        <w:rPr>
          <w:rFonts w:ascii="Cambria" w:eastAsia="Cambria" w:hAnsi="Cambria" w:cs="Cambria"/>
          <w:b/>
          <w:bCs/>
        </w:rPr>
        <w:t>„Pravidla pro publicitu projektů podpořených z prostředků TA ČR“</w:t>
      </w:r>
      <w:r>
        <w:rPr>
          <w:rFonts w:ascii="Cambria" w:eastAsia="Cambria" w:hAnsi="Cambria" w:cs="Cambria"/>
        </w:rPr>
        <w:t>.</w:t>
      </w:r>
    </w:p>
    <w:p w:rsidR="00D4760A" w:rsidRDefault="00D4760A">
      <w:pPr>
        <w:spacing w:line="157" w:lineRule="exact"/>
        <w:rPr>
          <w:rFonts w:ascii="Cambria" w:eastAsia="Cambria" w:hAnsi="Cambria" w:cs="Cambria"/>
        </w:rPr>
      </w:pPr>
    </w:p>
    <w:p w:rsidR="00D4760A" w:rsidRDefault="00B93A8D">
      <w:pPr>
        <w:numPr>
          <w:ilvl w:val="0"/>
          <w:numId w:val="39"/>
        </w:numPr>
        <w:tabs>
          <w:tab w:val="left" w:pos="360"/>
        </w:tabs>
        <w:spacing w:line="276" w:lineRule="auto"/>
        <w:ind w:left="360" w:hanging="360"/>
        <w:jc w:val="both"/>
        <w:rPr>
          <w:rFonts w:ascii="Cambria" w:eastAsia="Cambria" w:hAnsi="Cambria" w:cs="Cambria"/>
          <w:b/>
          <w:bCs/>
        </w:rPr>
      </w:pPr>
      <w:r>
        <w:rPr>
          <w:rFonts w:ascii="Cambria" w:eastAsia="Cambria" w:hAnsi="Cambria" w:cs="Cambria"/>
        </w:rPr>
        <w:t>Poskytovatel má právo na bezplatné, nevýlučné a neodvolatelné právo předkládat, rozmnožovat a rozšiřovat vědecké, technické a jiné články z časopisů, konferencí a informace z ostatních dokumentů týkajících se projektu, uveřejněných příjemcem nebo s jeho souhlasem.</w:t>
      </w:r>
    </w:p>
    <w:p w:rsidR="00D4760A" w:rsidRDefault="00D4760A">
      <w:pPr>
        <w:spacing w:line="120" w:lineRule="exact"/>
        <w:rPr>
          <w:rFonts w:ascii="Cambria" w:eastAsia="Cambria" w:hAnsi="Cambria" w:cs="Cambria"/>
          <w:b/>
          <w:bCs/>
        </w:rPr>
      </w:pPr>
    </w:p>
    <w:p w:rsidR="00D4760A" w:rsidRDefault="00B93A8D">
      <w:pPr>
        <w:numPr>
          <w:ilvl w:val="0"/>
          <w:numId w:val="39"/>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Pokud je předmět řešení projektu předmětem zákonem stanovené nebo uznané povinnosti mlčenlivosti, smluvní strany poskytují informace o prováděném výzkumu, vývoji a inovacích</w:t>
      </w:r>
    </w:p>
    <w:p w:rsidR="00D4760A" w:rsidRDefault="00D4760A">
      <w:pPr>
        <w:spacing w:line="1" w:lineRule="exact"/>
        <w:rPr>
          <w:rFonts w:ascii="Cambria" w:eastAsia="Cambria" w:hAnsi="Cambria" w:cs="Cambria"/>
          <w:b/>
          <w:bCs/>
        </w:rPr>
      </w:pPr>
    </w:p>
    <w:p w:rsidR="00D4760A" w:rsidRDefault="00B93A8D">
      <w:pPr>
        <w:numPr>
          <w:ilvl w:val="1"/>
          <w:numId w:val="39"/>
        </w:numPr>
        <w:tabs>
          <w:tab w:val="left" w:pos="560"/>
        </w:tabs>
        <w:ind w:left="560" w:hanging="200"/>
        <w:rPr>
          <w:rFonts w:ascii="Cambria" w:eastAsia="Cambria" w:hAnsi="Cambria" w:cs="Cambria"/>
        </w:rPr>
      </w:pPr>
      <w:r>
        <w:rPr>
          <w:rFonts w:ascii="Cambria" w:eastAsia="Cambria" w:hAnsi="Cambria" w:cs="Cambria"/>
        </w:rPr>
        <w:t>jejich výsledcích s vyloučením těch informací, o nichž to stanoví příslušný zákon.</w:t>
      </w:r>
    </w:p>
    <w:p w:rsidR="00D4760A" w:rsidRDefault="00D4760A">
      <w:pPr>
        <w:spacing w:line="159" w:lineRule="exact"/>
        <w:rPr>
          <w:rFonts w:ascii="Cambria" w:eastAsia="Cambria" w:hAnsi="Cambria" w:cs="Cambria"/>
        </w:rPr>
      </w:pPr>
    </w:p>
    <w:p w:rsidR="00D4760A" w:rsidRDefault="00B93A8D">
      <w:pPr>
        <w:numPr>
          <w:ilvl w:val="0"/>
          <w:numId w:val="39"/>
        </w:numPr>
        <w:tabs>
          <w:tab w:val="left" w:pos="360"/>
        </w:tabs>
        <w:ind w:left="360" w:hanging="360"/>
        <w:rPr>
          <w:rFonts w:ascii="Cambria" w:eastAsia="Cambria" w:hAnsi="Cambria" w:cs="Cambria"/>
          <w:b/>
          <w:bCs/>
        </w:rPr>
      </w:pPr>
      <w:r>
        <w:rPr>
          <w:rFonts w:ascii="Cambria" w:eastAsia="Cambria" w:hAnsi="Cambria" w:cs="Cambria"/>
        </w:rPr>
        <w:t>Smluvní strany jsou povinnosti zachovávat mlčenlivost zproštěny,</w:t>
      </w:r>
    </w:p>
    <w:p w:rsidR="00D4760A" w:rsidRDefault="00B93A8D">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-761365</wp:posOffset>
            </wp:positionH>
            <wp:positionV relativeFrom="paragraph">
              <wp:posOffset>608330</wp:posOffset>
            </wp:positionV>
            <wp:extent cx="3601085" cy="9601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22"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14/23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63872"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40"/>
        </w:numPr>
        <w:tabs>
          <w:tab w:val="left" w:pos="660"/>
        </w:tabs>
        <w:spacing w:line="275" w:lineRule="auto"/>
        <w:ind w:left="660" w:hanging="367"/>
        <w:jc w:val="both"/>
        <w:rPr>
          <w:rFonts w:ascii="Cambria" w:eastAsia="Cambria" w:hAnsi="Cambria" w:cs="Cambria"/>
        </w:rPr>
      </w:pPr>
      <w:r>
        <w:rPr>
          <w:rFonts w:ascii="Cambria" w:eastAsia="Cambria" w:hAnsi="Cambria" w:cs="Cambria"/>
        </w:rPr>
        <w:t>pokud se obsah informací, které jim byly poskytnuty jako důvěrné, stane veřejně přístupným, a to na základě jiných činností prováděných mimo rámec Smlouvy nebo na základě opatření, která nesouvisí s řešením projektu, nebo</w:t>
      </w:r>
    </w:p>
    <w:p w:rsidR="00D4760A" w:rsidRDefault="00D4760A">
      <w:pPr>
        <w:spacing w:line="123" w:lineRule="exact"/>
        <w:rPr>
          <w:rFonts w:ascii="Cambria" w:eastAsia="Cambria" w:hAnsi="Cambria" w:cs="Cambria"/>
        </w:rPr>
      </w:pPr>
    </w:p>
    <w:p w:rsidR="00D4760A" w:rsidRDefault="00B93A8D">
      <w:pPr>
        <w:numPr>
          <w:ilvl w:val="0"/>
          <w:numId w:val="40"/>
        </w:numPr>
        <w:tabs>
          <w:tab w:val="left" w:pos="660"/>
        </w:tabs>
        <w:spacing w:line="274" w:lineRule="auto"/>
        <w:ind w:left="660" w:hanging="367"/>
        <w:rPr>
          <w:rFonts w:ascii="Cambria" w:eastAsia="Cambria" w:hAnsi="Cambria" w:cs="Cambria"/>
        </w:rPr>
      </w:pPr>
      <w:r>
        <w:rPr>
          <w:rFonts w:ascii="Cambria" w:eastAsia="Cambria" w:hAnsi="Cambria" w:cs="Cambria"/>
        </w:rPr>
        <w:t>pokud byl požadavek zachovávat mlčenlivost odvolán těmi, v jejichž prospěch byla tato povinnost stanovena.</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62" w:lineRule="exact"/>
        <w:rPr>
          <w:sz w:val="20"/>
          <w:szCs w:val="20"/>
        </w:rPr>
      </w:pPr>
    </w:p>
    <w:p w:rsidR="00D4760A" w:rsidRDefault="00B93A8D">
      <w:pPr>
        <w:ind w:right="80"/>
        <w:jc w:val="center"/>
        <w:rPr>
          <w:sz w:val="20"/>
          <w:szCs w:val="20"/>
        </w:rPr>
      </w:pPr>
      <w:r>
        <w:rPr>
          <w:rFonts w:ascii="Cambria" w:eastAsia="Cambria" w:hAnsi="Cambria" w:cs="Cambria"/>
          <w:b/>
          <w:bCs/>
          <w:i/>
          <w:iCs/>
        </w:rPr>
        <w:t>Článek 11</w:t>
      </w:r>
    </w:p>
    <w:p w:rsidR="00D4760A" w:rsidRDefault="00D4760A">
      <w:pPr>
        <w:spacing w:line="37" w:lineRule="exact"/>
        <w:rPr>
          <w:sz w:val="20"/>
          <w:szCs w:val="20"/>
        </w:rPr>
      </w:pPr>
    </w:p>
    <w:p w:rsidR="00D4760A" w:rsidRDefault="00B93A8D">
      <w:pPr>
        <w:ind w:right="80"/>
        <w:jc w:val="center"/>
        <w:rPr>
          <w:sz w:val="20"/>
          <w:szCs w:val="20"/>
        </w:rPr>
      </w:pPr>
      <w:r>
        <w:rPr>
          <w:rFonts w:ascii="Cambria" w:eastAsia="Cambria" w:hAnsi="Cambria" w:cs="Cambria"/>
          <w:b/>
          <w:bCs/>
          <w:i/>
          <w:iCs/>
        </w:rPr>
        <w:t>Předkládání zpráv</w:t>
      </w:r>
    </w:p>
    <w:p w:rsidR="00D4760A" w:rsidRDefault="00D4760A">
      <w:pPr>
        <w:spacing w:line="160" w:lineRule="exact"/>
        <w:rPr>
          <w:sz w:val="20"/>
          <w:szCs w:val="20"/>
        </w:rPr>
      </w:pPr>
    </w:p>
    <w:p w:rsidR="00D4760A" w:rsidRDefault="00B93A8D">
      <w:pPr>
        <w:numPr>
          <w:ilvl w:val="0"/>
          <w:numId w:val="41"/>
        </w:numPr>
        <w:tabs>
          <w:tab w:val="left" w:pos="360"/>
        </w:tabs>
        <w:ind w:left="360" w:hanging="360"/>
        <w:rPr>
          <w:rFonts w:ascii="Cambria" w:eastAsia="Cambria" w:hAnsi="Cambria" w:cs="Cambria"/>
          <w:b/>
          <w:bCs/>
        </w:rPr>
      </w:pPr>
      <w:r>
        <w:rPr>
          <w:rFonts w:ascii="Cambria" w:eastAsia="Cambria" w:hAnsi="Cambria" w:cs="Cambria"/>
        </w:rPr>
        <w:t>Hlavní příjemce předkládá v průběhu řešení projektu a po jeho skončení tyto zprávy:</w:t>
      </w:r>
    </w:p>
    <w:p w:rsidR="00D4760A" w:rsidRDefault="00D4760A">
      <w:pPr>
        <w:spacing w:line="157" w:lineRule="exact"/>
        <w:rPr>
          <w:rFonts w:ascii="Cambria" w:eastAsia="Cambria" w:hAnsi="Cambria" w:cs="Cambria"/>
          <w:b/>
          <w:bCs/>
        </w:rPr>
      </w:pPr>
    </w:p>
    <w:p w:rsidR="00D4760A" w:rsidRDefault="00B93A8D">
      <w:pPr>
        <w:numPr>
          <w:ilvl w:val="1"/>
          <w:numId w:val="41"/>
        </w:numPr>
        <w:tabs>
          <w:tab w:val="left" w:pos="660"/>
        </w:tabs>
        <w:ind w:left="660" w:hanging="367"/>
        <w:rPr>
          <w:rFonts w:ascii="Cambria" w:eastAsia="Cambria" w:hAnsi="Cambria" w:cs="Cambria"/>
        </w:rPr>
      </w:pPr>
      <w:r>
        <w:rPr>
          <w:rFonts w:ascii="Cambria" w:eastAsia="Cambria" w:hAnsi="Cambria" w:cs="Cambria"/>
        </w:rPr>
        <w:t>průběžnou zprávu o postupu řešení projektu za každý rok řešení,</w:t>
      </w:r>
    </w:p>
    <w:p w:rsidR="00D4760A" w:rsidRDefault="00D4760A">
      <w:pPr>
        <w:spacing w:line="159" w:lineRule="exact"/>
        <w:rPr>
          <w:rFonts w:ascii="Cambria" w:eastAsia="Cambria" w:hAnsi="Cambria" w:cs="Cambria"/>
        </w:rPr>
      </w:pPr>
    </w:p>
    <w:p w:rsidR="00D4760A" w:rsidRDefault="00B93A8D">
      <w:pPr>
        <w:numPr>
          <w:ilvl w:val="1"/>
          <w:numId w:val="41"/>
        </w:numPr>
        <w:tabs>
          <w:tab w:val="left" w:pos="660"/>
        </w:tabs>
        <w:spacing w:line="276" w:lineRule="auto"/>
        <w:ind w:left="660" w:hanging="367"/>
        <w:rPr>
          <w:rFonts w:ascii="Cambria" w:eastAsia="Cambria" w:hAnsi="Cambria" w:cs="Cambria"/>
        </w:rPr>
      </w:pPr>
      <w:r>
        <w:rPr>
          <w:rFonts w:ascii="Cambria" w:eastAsia="Cambria" w:hAnsi="Cambria" w:cs="Cambria"/>
        </w:rPr>
        <w:t>mimořádnou zprávu na základě písemné žádosti poskytovatele, zejména v případě jeho podezření porušování výše uvedených povinností příjemcem,</w:t>
      </w:r>
    </w:p>
    <w:p w:rsidR="00D4760A" w:rsidRDefault="00D4760A">
      <w:pPr>
        <w:spacing w:line="119" w:lineRule="exact"/>
        <w:rPr>
          <w:rFonts w:ascii="Cambria" w:eastAsia="Cambria" w:hAnsi="Cambria" w:cs="Cambria"/>
        </w:rPr>
      </w:pPr>
    </w:p>
    <w:p w:rsidR="00D4760A" w:rsidRDefault="00B93A8D">
      <w:pPr>
        <w:numPr>
          <w:ilvl w:val="1"/>
          <w:numId w:val="41"/>
        </w:numPr>
        <w:tabs>
          <w:tab w:val="left" w:pos="660"/>
        </w:tabs>
        <w:ind w:left="660" w:hanging="367"/>
        <w:rPr>
          <w:rFonts w:ascii="Cambria" w:eastAsia="Cambria" w:hAnsi="Cambria" w:cs="Cambria"/>
        </w:rPr>
      </w:pPr>
      <w:r>
        <w:rPr>
          <w:rFonts w:ascii="Cambria" w:eastAsia="Cambria" w:hAnsi="Cambria" w:cs="Cambria"/>
        </w:rPr>
        <w:t>závěrečnou zprávu o řešení projektu spolu s implementačním plánem,</w:t>
      </w:r>
    </w:p>
    <w:p w:rsidR="00D4760A" w:rsidRDefault="00D4760A">
      <w:pPr>
        <w:spacing w:line="159" w:lineRule="exact"/>
        <w:rPr>
          <w:rFonts w:ascii="Cambria" w:eastAsia="Cambria" w:hAnsi="Cambria" w:cs="Cambria"/>
        </w:rPr>
      </w:pPr>
    </w:p>
    <w:p w:rsidR="00D4760A" w:rsidRDefault="00B93A8D">
      <w:pPr>
        <w:numPr>
          <w:ilvl w:val="1"/>
          <w:numId w:val="41"/>
        </w:numPr>
        <w:tabs>
          <w:tab w:val="left" w:pos="660"/>
        </w:tabs>
        <w:ind w:left="660" w:hanging="367"/>
        <w:rPr>
          <w:rFonts w:ascii="Cambria" w:eastAsia="Cambria" w:hAnsi="Cambria" w:cs="Cambria"/>
        </w:rPr>
      </w:pPr>
      <w:r>
        <w:rPr>
          <w:rFonts w:ascii="Cambria" w:eastAsia="Cambria" w:hAnsi="Cambria" w:cs="Cambria"/>
        </w:rPr>
        <w:t>zprávu o implementaci výsledků.</w:t>
      </w:r>
    </w:p>
    <w:p w:rsidR="00D4760A" w:rsidRDefault="00D4760A">
      <w:pPr>
        <w:spacing w:line="157" w:lineRule="exact"/>
        <w:rPr>
          <w:rFonts w:ascii="Cambria" w:eastAsia="Cambria" w:hAnsi="Cambria" w:cs="Cambria"/>
        </w:rPr>
      </w:pPr>
    </w:p>
    <w:p w:rsidR="00D4760A" w:rsidRDefault="00B93A8D">
      <w:pPr>
        <w:numPr>
          <w:ilvl w:val="0"/>
          <w:numId w:val="41"/>
        </w:numPr>
        <w:tabs>
          <w:tab w:val="left" w:pos="360"/>
        </w:tabs>
        <w:ind w:left="360" w:hanging="360"/>
        <w:rPr>
          <w:rFonts w:ascii="Cambria" w:eastAsia="Cambria" w:hAnsi="Cambria" w:cs="Cambria"/>
          <w:b/>
          <w:bCs/>
        </w:rPr>
      </w:pPr>
      <w:r>
        <w:rPr>
          <w:rFonts w:ascii="Cambria" w:eastAsia="Cambria" w:hAnsi="Cambria" w:cs="Cambria"/>
        </w:rPr>
        <w:t>Závěrečná zpráva nahrazuje průběžnou zprávu za poslední rok či poslední etapu řešení projektu.</w:t>
      </w:r>
    </w:p>
    <w:p w:rsidR="00D4760A" w:rsidRDefault="00D4760A">
      <w:pPr>
        <w:spacing w:line="159" w:lineRule="exact"/>
        <w:rPr>
          <w:rFonts w:ascii="Cambria" w:eastAsia="Cambria" w:hAnsi="Cambria" w:cs="Cambria"/>
          <w:b/>
          <w:bCs/>
        </w:rPr>
      </w:pPr>
    </w:p>
    <w:p w:rsidR="00D4760A" w:rsidRDefault="00B93A8D">
      <w:pPr>
        <w:numPr>
          <w:ilvl w:val="0"/>
          <w:numId w:val="41"/>
        </w:numPr>
        <w:tabs>
          <w:tab w:val="left" w:pos="360"/>
        </w:tabs>
        <w:spacing w:line="276" w:lineRule="auto"/>
        <w:ind w:left="360" w:hanging="360"/>
        <w:jc w:val="both"/>
        <w:rPr>
          <w:rFonts w:ascii="Cambria" w:eastAsia="Cambria" w:hAnsi="Cambria" w:cs="Cambria"/>
          <w:b/>
          <w:bCs/>
        </w:rPr>
      </w:pPr>
      <w:r>
        <w:rPr>
          <w:rFonts w:ascii="Cambria" w:eastAsia="Cambria" w:hAnsi="Cambria" w:cs="Cambria"/>
        </w:rPr>
        <w:t>Pokud ve veřejné zakázce ve výzkumu, vývoji a inovacích vychází termín ukončení etapy ve lhůtě kratší než 3 měsíce po začátku řešení projektu anebo 3 měsíce před termínem ukončení řešení projektu, povinnost předložit tuto zprávu je splněna až předložením následující průběžné nebo závěrečné zprávy. U veřejné zakázky ve výzkumu, vývoji a inovacích s dobou řešení kratší 13 měsíců (včetně) hlavní příjemce předkládá pouze závěrečnou zprávu. Tímto odstavcem není dotčena povinnost předložit v termínu dle odstavce 1 finanční část zprávy.</w:t>
      </w:r>
    </w:p>
    <w:p w:rsidR="00D4760A" w:rsidRDefault="00D4760A">
      <w:pPr>
        <w:spacing w:line="118" w:lineRule="exact"/>
        <w:rPr>
          <w:rFonts w:ascii="Cambria" w:eastAsia="Cambria" w:hAnsi="Cambria" w:cs="Cambria"/>
          <w:b/>
          <w:bCs/>
        </w:rPr>
      </w:pPr>
    </w:p>
    <w:p w:rsidR="00D4760A" w:rsidRDefault="00B93A8D">
      <w:pPr>
        <w:numPr>
          <w:ilvl w:val="0"/>
          <w:numId w:val="41"/>
        </w:numPr>
        <w:tabs>
          <w:tab w:val="left" w:pos="360"/>
        </w:tabs>
        <w:spacing w:line="276" w:lineRule="auto"/>
        <w:ind w:left="360" w:hanging="360"/>
        <w:jc w:val="both"/>
        <w:rPr>
          <w:rFonts w:ascii="Cambria" w:eastAsia="Cambria" w:hAnsi="Cambria" w:cs="Cambria"/>
          <w:b/>
          <w:bCs/>
        </w:rPr>
      </w:pPr>
      <w:r>
        <w:rPr>
          <w:rFonts w:ascii="Cambria" w:eastAsia="Cambria" w:hAnsi="Cambria" w:cs="Cambria"/>
        </w:rPr>
        <w:t>Zpráva se považuje za předloženou, pokud je doručena na adresu poskytovatele a obsahuje veškeré povinné náležitosti a jsou k ní přiloženy další povinné dokumenty, zejména je k průběžné (pokud býti má) nebo závěrečné zprávě přiložen implementační plán.</w:t>
      </w:r>
    </w:p>
    <w:p w:rsidR="00D4760A" w:rsidRDefault="00D4760A">
      <w:pPr>
        <w:spacing w:line="120" w:lineRule="exact"/>
        <w:rPr>
          <w:rFonts w:ascii="Cambria" w:eastAsia="Cambria" w:hAnsi="Cambria" w:cs="Cambria"/>
          <w:b/>
          <w:bCs/>
        </w:rPr>
      </w:pPr>
    </w:p>
    <w:p w:rsidR="00D4760A" w:rsidRDefault="00B93A8D">
      <w:pPr>
        <w:numPr>
          <w:ilvl w:val="0"/>
          <w:numId w:val="41"/>
        </w:numPr>
        <w:tabs>
          <w:tab w:val="left" w:pos="360"/>
        </w:tabs>
        <w:spacing w:line="276" w:lineRule="auto"/>
        <w:ind w:left="360" w:hanging="360"/>
        <w:jc w:val="both"/>
        <w:rPr>
          <w:rFonts w:ascii="Cambria" w:eastAsia="Cambria" w:hAnsi="Cambria" w:cs="Cambria"/>
          <w:b/>
          <w:bCs/>
        </w:rPr>
      </w:pPr>
      <w:r>
        <w:rPr>
          <w:rFonts w:ascii="Cambria" w:eastAsia="Cambria" w:hAnsi="Cambria" w:cs="Cambria"/>
        </w:rPr>
        <w:t>Způsob, forma a další podmínky vypracování a předkládání zpráv a dalších podkladů příjemcem jsou stanoveny v příslušném hodnotícím procesu, zejména směrnice SME-12 Směrnice pro předkládání a zpracování zpráv.</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19" w:lineRule="exact"/>
        <w:rPr>
          <w:sz w:val="20"/>
          <w:szCs w:val="20"/>
        </w:rPr>
      </w:pPr>
    </w:p>
    <w:p w:rsidR="00D4760A" w:rsidRDefault="00B93A8D">
      <w:pPr>
        <w:ind w:right="80"/>
        <w:jc w:val="center"/>
        <w:rPr>
          <w:sz w:val="20"/>
          <w:szCs w:val="20"/>
        </w:rPr>
      </w:pPr>
      <w:r>
        <w:rPr>
          <w:rFonts w:ascii="Cambria" w:eastAsia="Cambria" w:hAnsi="Cambria" w:cs="Cambria"/>
          <w:b/>
          <w:bCs/>
          <w:sz w:val="28"/>
          <w:szCs w:val="28"/>
        </w:rPr>
        <w:t>Část D – Vlastnictví majetku, práva k výsledkům a využití výsledků</w:t>
      </w:r>
    </w:p>
    <w:p w:rsidR="00D4760A" w:rsidRDefault="00D4760A">
      <w:pPr>
        <w:spacing w:line="290" w:lineRule="exact"/>
        <w:rPr>
          <w:sz w:val="20"/>
          <w:szCs w:val="20"/>
        </w:rPr>
      </w:pPr>
    </w:p>
    <w:p w:rsidR="00D4760A" w:rsidRDefault="00B93A8D">
      <w:pPr>
        <w:ind w:right="80"/>
        <w:jc w:val="center"/>
        <w:rPr>
          <w:sz w:val="20"/>
          <w:szCs w:val="20"/>
        </w:rPr>
      </w:pPr>
      <w:r>
        <w:rPr>
          <w:rFonts w:ascii="Cambria" w:eastAsia="Cambria" w:hAnsi="Cambria" w:cs="Cambria"/>
          <w:b/>
          <w:bCs/>
          <w:i/>
          <w:iCs/>
        </w:rPr>
        <w:t>Článek 12</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Vlastnictví majetku</w:t>
      </w:r>
    </w:p>
    <w:p w:rsidR="00D4760A" w:rsidRDefault="00D4760A">
      <w:pPr>
        <w:spacing w:line="157" w:lineRule="exact"/>
        <w:rPr>
          <w:sz w:val="20"/>
          <w:szCs w:val="20"/>
        </w:rPr>
      </w:pPr>
    </w:p>
    <w:p w:rsidR="00D4760A" w:rsidRDefault="00B93A8D">
      <w:pPr>
        <w:numPr>
          <w:ilvl w:val="0"/>
          <w:numId w:val="42"/>
        </w:numPr>
        <w:tabs>
          <w:tab w:val="left" w:pos="360"/>
        </w:tabs>
        <w:spacing w:line="276" w:lineRule="auto"/>
        <w:ind w:left="360" w:hanging="360"/>
        <w:rPr>
          <w:rFonts w:ascii="Cambria" w:eastAsia="Cambria" w:hAnsi="Cambria" w:cs="Cambria"/>
          <w:b/>
          <w:bCs/>
        </w:rPr>
      </w:pPr>
      <w:r>
        <w:rPr>
          <w:rFonts w:ascii="Cambria" w:eastAsia="Cambria" w:hAnsi="Cambria" w:cs="Cambria"/>
        </w:rPr>
        <w:t>Vlastníky majetku potřebného k řešení projektu jsou ve smyslu § 15 ZPVV hlavní příjemce a další účastníci, kteří si uvedený majetek pořídili nebo ho při řešení projektu vytvořili.</w:t>
      </w:r>
    </w:p>
    <w:p w:rsidR="00D4760A" w:rsidRDefault="00B93A8D">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-761365</wp:posOffset>
            </wp:positionH>
            <wp:positionV relativeFrom="paragraph">
              <wp:posOffset>203200</wp:posOffset>
            </wp:positionV>
            <wp:extent cx="3601085" cy="9601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384"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15/23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65920"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43"/>
        </w:numPr>
        <w:tabs>
          <w:tab w:val="left" w:pos="360"/>
        </w:tabs>
        <w:spacing w:line="276" w:lineRule="auto"/>
        <w:ind w:left="360" w:hanging="360"/>
        <w:rPr>
          <w:rFonts w:ascii="Cambria" w:eastAsia="Cambria" w:hAnsi="Cambria" w:cs="Cambria"/>
          <w:b/>
          <w:bCs/>
        </w:rPr>
      </w:pPr>
      <w:r>
        <w:rPr>
          <w:rFonts w:ascii="Cambria" w:eastAsia="Cambria" w:hAnsi="Cambria" w:cs="Cambria"/>
        </w:rPr>
        <w:t>Je-li příjemcem organizační složka státu nebo organizační jednotka ministerstva, je vlastníkem takového majetku Česká republika.</w:t>
      </w:r>
    </w:p>
    <w:p w:rsidR="00D4760A" w:rsidRDefault="00D4760A">
      <w:pPr>
        <w:spacing w:line="119" w:lineRule="exact"/>
        <w:rPr>
          <w:rFonts w:ascii="Cambria" w:eastAsia="Cambria" w:hAnsi="Cambria" w:cs="Cambria"/>
          <w:b/>
          <w:bCs/>
        </w:rPr>
      </w:pPr>
    </w:p>
    <w:p w:rsidR="00D4760A" w:rsidRDefault="00B93A8D">
      <w:pPr>
        <w:numPr>
          <w:ilvl w:val="0"/>
          <w:numId w:val="43"/>
        </w:numPr>
        <w:tabs>
          <w:tab w:val="left" w:pos="360"/>
        </w:tabs>
        <w:spacing w:line="276" w:lineRule="auto"/>
        <w:ind w:left="360" w:hanging="360"/>
        <w:rPr>
          <w:rFonts w:ascii="Cambria" w:eastAsia="Cambria" w:hAnsi="Cambria" w:cs="Cambria"/>
          <w:b/>
          <w:bCs/>
        </w:rPr>
      </w:pPr>
      <w:r>
        <w:rPr>
          <w:rFonts w:ascii="Cambria" w:eastAsia="Cambria" w:hAnsi="Cambria" w:cs="Cambria"/>
        </w:rPr>
        <w:t>Je-li příjemcem organizační složka územního samosprávného celku, je vlastníkem takového majetku územní samosprávný celek.</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58" w:lineRule="exact"/>
        <w:rPr>
          <w:sz w:val="20"/>
          <w:szCs w:val="20"/>
        </w:rPr>
      </w:pPr>
    </w:p>
    <w:p w:rsidR="00D4760A" w:rsidRDefault="00B93A8D">
      <w:pPr>
        <w:ind w:right="80"/>
        <w:jc w:val="center"/>
        <w:rPr>
          <w:sz w:val="20"/>
          <w:szCs w:val="20"/>
        </w:rPr>
      </w:pPr>
      <w:r>
        <w:rPr>
          <w:rFonts w:ascii="Cambria" w:eastAsia="Cambria" w:hAnsi="Cambria" w:cs="Cambria"/>
          <w:b/>
          <w:bCs/>
          <w:i/>
          <w:iCs/>
        </w:rPr>
        <w:t>Článek 13</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Implementační plán výsledků projektu a Smlouva o využití výsledků</w:t>
      </w:r>
    </w:p>
    <w:p w:rsidR="00D4760A" w:rsidRDefault="00D4760A">
      <w:pPr>
        <w:spacing w:line="157" w:lineRule="exact"/>
        <w:rPr>
          <w:sz w:val="20"/>
          <w:szCs w:val="20"/>
        </w:rPr>
      </w:pPr>
    </w:p>
    <w:p w:rsidR="00D4760A" w:rsidRDefault="00B93A8D">
      <w:pPr>
        <w:numPr>
          <w:ilvl w:val="0"/>
          <w:numId w:val="44"/>
        </w:numPr>
        <w:tabs>
          <w:tab w:val="left" w:pos="360"/>
        </w:tabs>
        <w:spacing w:line="289" w:lineRule="auto"/>
        <w:ind w:left="360" w:hanging="360"/>
        <w:jc w:val="both"/>
        <w:rPr>
          <w:rFonts w:ascii="Cambria" w:eastAsia="Cambria" w:hAnsi="Cambria" w:cs="Cambria"/>
          <w:b/>
          <w:bCs/>
          <w:sz w:val="21"/>
          <w:szCs w:val="21"/>
        </w:rPr>
      </w:pPr>
      <w:r>
        <w:rPr>
          <w:rFonts w:ascii="Cambria" w:eastAsia="Cambria" w:hAnsi="Cambria" w:cs="Cambria"/>
          <w:sz w:val="21"/>
          <w:szCs w:val="21"/>
        </w:rPr>
        <w:t>Návrh implementačního plánu výsledků projektu s výjimkou plnění veřejné zakázky ve výzkumu, vývoji a inovacích předkládá příjemce společně se závěrečnou zprávou jako její přílohu, popř. i společně s průběžnou zprávou jako její přílohu, pokud bylo výsledku dosaženo během řešení projektu. Návrh implementačního plánu výsledků projektu musí zahrnovat zejména všechny nároky na práva k výsledkům projektu a návrhy na využití výsledků projektu v časovém harmonogramu a shrnout veškeré skutečnosti z předchozích zpráv včetně těch, kterými se příjemce</w:t>
      </w:r>
    </w:p>
    <w:p w:rsidR="00D4760A" w:rsidRDefault="00D4760A">
      <w:pPr>
        <w:spacing w:line="2" w:lineRule="exact"/>
        <w:rPr>
          <w:sz w:val="20"/>
          <w:szCs w:val="20"/>
        </w:rPr>
      </w:pPr>
    </w:p>
    <w:p w:rsidR="00D4760A" w:rsidRDefault="00B93A8D">
      <w:pPr>
        <w:spacing w:line="276" w:lineRule="auto"/>
        <w:ind w:left="360"/>
        <w:jc w:val="both"/>
        <w:rPr>
          <w:sz w:val="20"/>
          <w:szCs w:val="20"/>
        </w:rPr>
      </w:pPr>
      <w:r>
        <w:rPr>
          <w:rFonts w:ascii="Cambria" w:eastAsia="Cambria" w:hAnsi="Cambria" w:cs="Cambria"/>
        </w:rPr>
        <w:t xml:space="preserve">nehodlá dále komerčně ani výzkumně zabývat, a další povinné náležitosti uvedené ve formuláři pro implementační plán, který je součástí směrnice </w:t>
      </w:r>
      <w:r>
        <w:rPr>
          <w:rFonts w:ascii="Cambria" w:eastAsia="Cambria" w:hAnsi="Cambria" w:cs="Cambria"/>
          <w:b/>
          <w:bCs/>
        </w:rPr>
        <w:t>SME-12 Směrnice pro předkládání a zpracování</w:t>
      </w:r>
      <w:r>
        <w:rPr>
          <w:rFonts w:ascii="Cambria" w:eastAsia="Cambria" w:hAnsi="Cambria" w:cs="Cambria"/>
        </w:rPr>
        <w:t xml:space="preserve"> </w:t>
      </w:r>
      <w:r>
        <w:rPr>
          <w:rFonts w:ascii="Cambria" w:eastAsia="Cambria" w:hAnsi="Cambria" w:cs="Cambria"/>
          <w:b/>
          <w:bCs/>
        </w:rPr>
        <w:t>zpráv</w:t>
      </w:r>
      <w:r>
        <w:rPr>
          <w:rFonts w:ascii="Cambria" w:eastAsia="Cambria" w:hAnsi="Cambria" w:cs="Cambria"/>
        </w:rPr>
        <w:t>. Návrh implementačního plánu výsledků projektu musí být vypracován v</w:t>
      </w:r>
      <w:r>
        <w:rPr>
          <w:rFonts w:ascii="Cambria" w:eastAsia="Cambria" w:hAnsi="Cambria" w:cs="Cambria"/>
          <w:b/>
          <w:bCs/>
        </w:rPr>
        <w:t xml:space="preserve"> </w:t>
      </w:r>
      <w:r>
        <w:rPr>
          <w:rFonts w:ascii="Cambria" w:eastAsia="Cambria" w:hAnsi="Cambria" w:cs="Cambria"/>
        </w:rPr>
        <w:t>souladu</w:t>
      </w:r>
      <w:r>
        <w:rPr>
          <w:rFonts w:ascii="Cambria" w:eastAsia="Cambria" w:hAnsi="Cambria" w:cs="Cambria"/>
          <w:b/>
          <w:bCs/>
        </w:rPr>
        <w:t xml:space="preserve"> </w:t>
      </w:r>
      <w:r>
        <w:rPr>
          <w:rFonts w:ascii="Cambria" w:eastAsia="Cambria" w:hAnsi="Cambria" w:cs="Cambria"/>
        </w:rPr>
        <w:t>s podmínkami Smlouvy a se Závaznými parametry řešení projektu.</w:t>
      </w:r>
    </w:p>
    <w:p w:rsidR="00D4760A" w:rsidRDefault="00D4760A">
      <w:pPr>
        <w:spacing w:line="120" w:lineRule="exact"/>
        <w:rPr>
          <w:sz w:val="20"/>
          <w:szCs w:val="20"/>
        </w:rPr>
      </w:pPr>
    </w:p>
    <w:p w:rsidR="00D4760A" w:rsidRDefault="00B93A8D">
      <w:pPr>
        <w:numPr>
          <w:ilvl w:val="0"/>
          <w:numId w:val="45"/>
        </w:numPr>
        <w:tabs>
          <w:tab w:val="left" w:pos="360"/>
        </w:tabs>
        <w:spacing w:line="276" w:lineRule="auto"/>
        <w:ind w:left="360" w:hanging="360"/>
        <w:jc w:val="both"/>
        <w:rPr>
          <w:rFonts w:ascii="Cambria" w:eastAsia="Cambria" w:hAnsi="Cambria" w:cs="Cambria"/>
          <w:b/>
          <w:bCs/>
        </w:rPr>
      </w:pPr>
      <w:r>
        <w:rPr>
          <w:rFonts w:ascii="Cambria" w:eastAsia="Cambria" w:hAnsi="Cambria" w:cs="Cambria"/>
        </w:rPr>
        <w:t>Poskytovatel si vyhrazuje právo sledovat plnění implementačního plánu výsledků po celou dobu jeho platnosti, min. však po dobu 3 let od dosažení výsledku, bylo-li výsledku dosaženo v průběhu řešení projektu, nejpozději však do 3 let po ukončení řešení projektu, a to zejména na základě příjemcem předkládaných zpráv o implementaci v souladu s příslušným hodnotícím procesem.</w:t>
      </w:r>
    </w:p>
    <w:p w:rsidR="00D4760A" w:rsidRDefault="00D4760A">
      <w:pPr>
        <w:spacing w:line="119" w:lineRule="exact"/>
        <w:rPr>
          <w:rFonts w:ascii="Cambria" w:eastAsia="Cambria" w:hAnsi="Cambria" w:cs="Cambria"/>
          <w:b/>
          <w:bCs/>
        </w:rPr>
      </w:pPr>
    </w:p>
    <w:p w:rsidR="00D4760A" w:rsidRDefault="00B93A8D">
      <w:pPr>
        <w:numPr>
          <w:ilvl w:val="0"/>
          <w:numId w:val="45"/>
        </w:numPr>
        <w:tabs>
          <w:tab w:val="left" w:pos="360"/>
        </w:tabs>
        <w:spacing w:line="292" w:lineRule="auto"/>
        <w:ind w:left="360" w:hanging="360"/>
        <w:jc w:val="both"/>
        <w:rPr>
          <w:rFonts w:ascii="Cambria" w:eastAsia="Cambria" w:hAnsi="Cambria" w:cs="Cambria"/>
          <w:b/>
          <w:bCs/>
          <w:sz w:val="21"/>
          <w:szCs w:val="21"/>
        </w:rPr>
      </w:pPr>
      <w:r>
        <w:rPr>
          <w:rFonts w:ascii="Cambria" w:eastAsia="Cambria" w:hAnsi="Cambria" w:cs="Cambria"/>
          <w:sz w:val="21"/>
          <w:szCs w:val="21"/>
        </w:rPr>
        <w:t>Smlouva o využití výsledků může být uzavřena buď mezi účastníky, pokud není další uživatel, nebo, pokud existuje další uživatel, je součástí této smlouvy rovněž uživatel, případně pokud jsou již jiným způsobem vyřešena práva k výsledkům, je možné uzavřít smlouvu pouze mezi vlastníkem výsledku a jeho uživatelem. Pokud existuje jeden vlastník výsledku, který bude výsledek užívat sám, nahrazuje Smlouvu o využití výsledků čestným prohlášením o využití výsledků.</w:t>
      </w:r>
    </w:p>
    <w:p w:rsidR="00D4760A" w:rsidRDefault="00D4760A">
      <w:pPr>
        <w:spacing w:line="105" w:lineRule="exact"/>
        <w:rPr>
          <w:rFonts w:ascii="Cambria" w:eastAsia="Cambria" w:hAnsi="Cambria" w:cs="Cambria"/>
          <w:b/>
          <w:bCs/>
          <w:sz w:val="21"/>
          <w:szCs w:val="21"/>
        </w:rPr>
      </w:pPr>
    </w:p>
    <w:p w:rsidR="00D4760A" w:rsidRDefault="00B93A8D">
      <w:pPr>
        <w:numPr>
          <w:ilvl w:val="0"/>
          <w:numId w:val="45"/>
        </w:numPr>
        <w:tabs>
          <w:tab w:val="left" w:pos="360"/>
        </w:tabs>
        <w:ind w:left="360" w:hanging="360"/>
        <w:rPr>
          <w:rFonts w:ascii="Cambria" w:eastAsia="Cambria" w:hAnsi="Cambria" w:cs="Cambria"/>
          <w:b/>
          <w:bCs/>
        </w:rPr>
      </w:pPr>
      <w:r>
        <w:rPr>
          <w:rFonts w:ascii="Cambria" w:eastAsia="Cambria" w:hAnsi="Cambria" w:cs="Cambria"/>
        </w:rPr>
        <w:t>Smlouva o využití výsledků obsahuje zejména</w:t>
      </w:r>
    </w:p>
    <w:p w:rsidR="00D4760A" w:rsidRDefault="00D4760A">
      <w:pPr>
        <w:spacing w:line="160" w:lineRule="exact"/>
        <w:rPr>
          <w:rFonts w:ascii="Cambria" w:eastAsia="Cambria" w:hAnsi="Cambria" w:cs="Cambria"/>
          <w:b/>
          <w:bCs/>
        </w:rPr>
      </w:pPr>
    </w:p>
    <w:p w:rsidR="00D4760A" w:rsidRDefault="00B93A8D">
      <w:pPr>
        <w:numPr>
          <w:ilvl w:val="1"/>
          <w:numId w:val="45"/>
        </w:numPr>
        <w:tabs>
          <w:tab w:val="left" w:pos="660"/>
        </w:tabs>
        <w:ind w:left="660" w:hanging="367"/>
        <w:rPr>
          <w:rFonts w:ascii="Cambria" w:eastAsia="Cambria" w:hAnsi="Cambria" w:cs="Cambria"/>
        </w:rPr>
      </w:pPr>
      <w:r>
        <w:rPr>
          <w:rFonts w:ascii="Cambria" w:eastAsia="Cambria" w:hAnsi="Cambria" w:cs="Cambria"/>
        </w:rPr>
        <w:t>název a identifikační údaje projektu,</w:t>
      </w:r>
    </w:p>
    <w:p w:rsidR="00D4760A" w:rsidRDefault="00D4760A">
      <w:pPr>
        <w:spacing w:line="159" w:lineRule="exact"/>
        <w:rPr>
          <w:rFonts w:ascii="Cambria" w:eastAsia="Cambria" w:hAnsi="Cambria" w:cs="Cambria"/>
        </w:rPr>
      </w:pPr>
    </w:p>
    <w:p w:rsidR="00D4760A" w:rsidRDefault="00B93A8D">
      <w:pPr>
        <w:numPr>
          <w:ilvl w:val="1"/>
          <w:numId w:val="45"/>
        </w:numPr>
        <w:tabs>
          <w:tab w:val="left" w:pos="660"/>
        </w:tabs>
        <w:ind w:left="660" w:hanging="367"/>
        <w:rPr>
          <w:rFonts w:ascii="Cambria" w:eastAsia="Cambria" w:hAnsi="Cambria" w:cs="Cambria"/>
        </w:rPr>
      </w:pPr>
      <w:r>
        <w:rPr>
          <w:rFonts w:ascii="Cambria" w:eastAsia="Cambria" w:hAnsi="Cambria" w:cs="Cambria"/>
        </w:rPr>
        <w:t>vymezení výsledků a jejich srovnání s cíli projektu,</w:t>
      </w:r>
    </w:p>
    <w:p w:rsidR="00D4760A" w:rsidRDefault="00D4760A">
      <w:pPr>
        <w:spacing w:line="157" w:lineRule="exact"/>
        <w:rPr>
          <w:rFonts w:ascii="Cambria" w:eastAsia="Cambria" w:hAnsi="Cambria" w:cs="Cambria"/>
        </w:rPr>
      </w:pPr>
    </w:p>
    <w:p w:rsidR="00D4760A" w:rsidRDefault="00B93A8D">
      <w:pPr>
        <w:numPr>
          <w:ilvl w:val="1"/>
          <w:numId w:val="45"/>
        </w:numPr>
        <w:tabs>
          <w:tab w:val="left" w:pos="660"/>
        </w:tabs>
        <w:ind w:left="660" w:hanging="367"/>
        <w:rPr>
          <w:rFonts w:ascii="Cambria" w:eastAsia="Cambria" w:hAnsi="Cambria" w:cs="Cambria"/>
        </w:rPr>
      </w:pPr>
      <w:r>
        <w:rPr>
          <w:rFonts w:ascii="Cambria" w:eastAsia="Cambria" w:hAnsi="Cambria" w:cs="Cambria"/>
        </w:rPr>
        <w:t>úprava vlastnických a užívacích práv k výsledkům podle § 16 ZPVV,</w:t>
      </w:r>
    </w:p>
    <w:p w:rsidR="00D4760A" w:rsidRDefault="00D4760A">
      <w:pPr>
        <w:spacing w:line="159" w:lineRule="exact"/>
        <w:rPr>
          <w:rFonts w:ascii="Cambria" w:eastAsia="Cambria" w:hAnsi="Cambria" w:cs="Cambria"/>
        </w:rPr>
      </w:pPr>
    </w:p>
    <w:p w:rsidR="00D4760A" w:rsidRDefault="00B93A8D">
      <w:pPr>
        <w:numPr>
          <w:ilvl w:val="1"/>
          <w:numId w:val="45"/>
        </w:numPr>
        <w:tabs>
          <w:tab w:val="left" w:pos="660"/>
        </w:tabs>
        <w:spacing w:line="274" w:lineRule="auto"/>
        <w:ind w:left="660" w:hanging="367"/>
        <w:rPr>
          <w:rFonts w:ascii="Cambria" w:eastAsia="Cambria" w:hAnsi="Cambria" w:cs="Cambria"/>
        </w:rPr>
      </w:pPr>
      <w:r>
        <w:rPr>
          <w:rFonts w:ascii="Cambria" w:eastAsia="Cambria" w:hAnsi="Cambria" w:cs="Cambria"/>
        </w:rPr>
        <w:t>způsob využití výsledků a doba, ve které budou výsledky využity, nejdéle však do 5 let od ukončení řešení projektu,</w:t>
      </w:r>
    </w:p>
    <w:p w:rsidR="00D4760A" w:rsidRDefault="00D4760A">
      <w:pPr>
        <w:spacing w:line="123" w:lineRule="exact"/>
        <w:rPr>
          <w:rFonts w:ascii="Cambria" w:eastAsia="Cambria" w:hAnsi="Cambria" w:cs="Cambria"/>
        </w:rPr>
      </w:pPr>
    </w:p>
    <w:p w:rsidR="00D4760A" w:rsidRDefault="00B93A8D">
      <w:pPr>
        <w:numPr>
          <w:ilvl w:val="1"/>
          <w:numId w:val="45"/>
        </w:numPr>
        <w:tabs>
          <w:tab w:val="left" w:pos="660"/>
        </w:tabs>
        <w:ind w:left="660" w:hanging="367"/>
        <w:rPr>
          <w:rFonts w:ascii="Cambria" w:eastAsia="Cambria" w:hAnsi="Cambria" w:cs="Cambria"/>
        </w:rPr>
      </w:pPr>
      <w:r>
        <w:rPr>
          <w:rFonts w:ascii="Cambria" w:eastAsia="Cambria" w:hAnsi="Cambria" w:cs="Cambria"/>
        </w:rPr>
        <w:t>rozsah stupně důvěrnosti údajů a způsob nakládání s nimi podle zvláštních právních předpisů,</w:t>
      </w:r>
    </w:p>
    <w:p w:rsidR="00D4760A" w:rsidRDefault="00D4760A">
      <w:pPr>
        <w:spacing w:line="157" w:lineRule="exact"/>
        <w:rPr>
          <w:rFonts w:ascii="Cambria" w:eastAsia="Cambria" w:hAnsi="Cambria" w:cs="Cambria"/>
        </w:rPr>
      </w:pPr>
    </w:p>
    <w:p w:rsidR="00D4760A" w:rsidRDefault="00B93A8D">
      <w:pPr>
        <w:numPr>
          <w:ilvl w:val="1"/>
          <w:numId w:val="45"/>
        </w:numPr>
        <w:tabs>
          <w:tab w:val="left" w:pos="660"/>
        </w:tabs>
        <w:ind w:left="660" w:hanging="367"/>
        <w:rPr>
          <w:rFonts w:ascii="Cambria" w:eastAsia="Cambria" w:hAnsi="Cambria" w:cs="Cambria"/>
        </w:rPr>
      </w:pPr>
      <w:r>
        <w:rPr>
          <w:rFonts w:ascii="Cambria" w:eastAsia="Cambria" w:hAnsi="Cambria" w:cs="Cambria"/>
        </w:rPr>
        <w:t>sankce za porušení smlouvy a</w:t>
      </w:r>
    </w:p>
    <w:p w:rsidR="00D4760A" w:rsidRDefault="00D4760A">
      <w:pPr>
        <w:spacing w:line="159" w:lineRule="exact"/>
        <w:rPr>
          <w:rFonts w:ascii="Cambria" w:eastAsia="Cambria" w:hAnsi="Cambria" w:cs="Cambria"/>
        </w:rPr>
      </w:pPr>
    </w:p>
    <w:p w:rsidR="00D4760A" w:rsidRDefault="00B93A8D">
      <w:pPr>
        <w:numPr>
          <w:ilvl w:val="1"/>
          <w:numId w:val="45"/>
        </w:numPr>
        <w:tabs>
          <w:tab w:val="left" w:pos="660"/>
        </w:tabs>
        <w:ind w:left="660" w:hanging="367"/>
        <w:rPr>
          <w:rFonts w:ascii="Cambria" w:eastAsia="Cambria" w:hAnsi="Cambria" w:cs="Cambria"/>
        </w:rPr>
      </w:pPr>
      <w:r>
        <w:rPr>
          <w:rFonts w:ascii="Cambria" w:eastAsia="Cambria" w:hAnsi="Cambria" w:cs="Cambria"/>
        </w:rPr>
        <w:t>datum nabytí a ukončení účinnosti smlouvy.</w:t>
      </w:r>
    </w:p>
    <w:p w:rsidR="00D4760A" w:rsidRDefault="00B93A8D">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-761365</wp:posOffset>
            </wp:positionH>
            <wp:positionV relativeFrom="paragraph">
              <wp:posOffset>247015</wp:posOffset>
            </wp:positionV>
            <wp:extent cx="3601085" cy="960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53"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16/23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67968"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46"/>
        </w:numPr>
        <w:tabs>
          <w:tab w:val="left" w:pos="360"/>
        </w:tabs>
        <w:ind w:left="360" w:hanging="360"/>
        <w:rPr>
          <w:rFonts w:ascii="Cambria" w:eastAsia="Cambria" w:hAnsi="Cambria" w:cs="Cambria"/>
          <w:b/>
          <w:bCs/>
        </w:rPr>
      </w:pPr>
      <w:r>
        <w:rPr>
          <w:rFonts w:ascii="Cambria" w:eastAsia="Cambria" w:hAnsi="Cambria" w:cs="Cambria"/>
        </w:rPr>
        <w:t>Smlouva o využití výsledků musí být uzavřena v souladu s podmínkami Smlouvy.</w:t>
      </w:r>
    </w:p>
    <w:p w:rsidR="00D4760A" w:rsidRDefault="00D4760A">
      <w:pPr>
        <w:spacing w:line="159" w:lineRule="exact"/>
        <w:rPr>
          <w:rFonts w:ascii="Cambria" w:eastAsia="Cambria" w:hAnsi="Cambria" w:cs="Cambria"/>
          <w:b/>
          <w:bCs/>
        </w:rPr>
      </w:pPr>
    </w:p>
    <w:p w:rsidR="00D4760A" w:rsidRDefault="00B93A8D">
      <w:pPr>
        <w:numPr>
          <w:ilvl w:val="0"/>
          <w:numId w:val="46"/>
        </w:numPr>
        <w:tabs>
          <w:tab w:val="left" w:pos="360"/>
        </w:tabs>
        <w:spacing w:line="274" w:lineRule="auto"/>
        <w:ind w:left="360" w:right="20" w:hanging="360"/>
        <w:rPr>
          <w:rFonts w:ascii="Cambria" w:eastAsia="Cambria" w:hAnsi="Cambria" w:cs="Cambria"/>
          <w:b/>
          <w:bCs/>
        </w:rPr>
      </w:pPr>
      <w:r>
        <w:rPr>
          <w:rFonts w:ascii="Cambria" w:eastAsia="Cambria" w:hAnsi="Cambria" w:cs="Cambria"/>
        </w:rPr>
        <w:t>Poskytovatel si vyhrazuje právo kontroly obsahu Smlouvy o využití výsledků a kontrolu její úplnosti.</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59" w:lineRule="exact"/>
        <w:rPr>
          <w:sz w:val="20"/>
          <w:szCs w:val="20"/>
        </w:rPr>
      </w:pPr>
    </w:p>
    <w:p w:rsidR="00D4760A" w:rsidRDefault="00B93A8D">
      <w:pPr>
        <w:ind w:right="80"/>
        <w:jc w:val="center"/>
        <w:rPr>
          <w:sz w:val="20"/>
          <w:szCs w:val="20"/>
        </w:rPr>
      </w:pPr>
      <w:r>
        <w:rPr>
          <w:rFonts w:ascii="Cambria" w:eastAsia="Cambria" w:hAnsi="Cambria" w:cs="Cambria"/>
          <w:b/>
          <w:bCs/>
          <w:i/>
          <w:iCs/>
        </w:rPr>
        <w:t>Článek 14</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Práva k výsledkům projektu a jejich ochrana</w:t>
      </w:r>
    </w:p>
    <w:p w:rsidR="00D4760A" w:rsidRDefault="00D4760A">
      <w:pPr>
        <w:spacing w:line="160" w:lineRule="exact"/>
        <w:rPr>
          <w:sz w:val="20"/>
          <w:szCs w:val="20"/>
        </w:rPr>
      </w:pPr>
    </w:p>
    <w:p w:rsidR="00D4760A" w:rsidRDefault="00B93A8D">
      <w:pPr>
        <w:rPr>
          <w:sz w:val="20"/>
          <w:szCs w:val="20"/>
        </w:rPr>
      </w:pPr>
      <w:r>
        <w:rPr>
          <w:rFonts w:ascii="Cambria" w:eastAsia="Cambria" w:hAnsi="Cambria" w:cs="Cambria"/>
          <w:b/>
          <w:bCs/>
        </w:rPr>
        <w:t xml:space="preserve">1.  </w:t>
      </w:r>
      <w:r>
        <w:rPr>
          <w:rFonts w:ascii="Cambria" w:eastAsia="Cambria" w:hAnsi="Cambria" w:cs="Cambria"/>
        </w:rPr>
        <w:t>Všechna práva k výsledkům projektu, který není veřejnou zakázkou ve výzkumu, vývoji</w:t>
      </w:r>
    </w:p>
    <w:p w:rsidR="00D4760A" w:rsidRDefault="00D4760A">
      <w:pPr>
        <w:spacing w:line="37" w:lineRule="exact"/>
        <w:rPr>
          <w:sz w:val="20"/>
          <w:szCs w:val="20"/>
        </w:rPr>
      </w:pPr>
    </w:p>
    <w:p w:rsidR="00D4760A" w:rsidRDefault="00B93A8D">
      <w:pPr>
        <w:spacing w:line="275" w:lineRule="auto"/>
        <w:ind w:left="360"/>
        <w:jc w:val="both"/>
        <w:rPr>
          <w:sz w:val="20"/>
          <w:szCs w:val="20"/>
        </w:rPr>
      </w:pPr>
      <w:r>
        <w:rPr>
          <w:rFonts w:ascii="Cambria" w:eastAsia="Cambria" w:hAnsi="Cambria" w:cs="Cambria"/>
        </w:rPr>
        <w:t>a inovacích, patří hlavnímu příjemci a dalším účastníkům. Každému z těchto subjektů patří příslušná část výsledku podle Smlouvy o účasti na řešení projektu za předpokladu, že toto rozdělení respektuje zákaz nepřímé státní podpory dle Rámce (srov. např. kapitola 2.2 Rámce).</w:t>
      </w:r>
    </w:p>
    <w:p w:rsidR="00D4760A" w:rsidRDefault="00D4760A">
      <w:pPr>
        <w:spacing w:line="123" w:lineRule="exact"/>
        <w:rPr>
          <w:sz w:val="20"/>
          <w:szCs w:val="20"/>
        </w:rPr>
      </w:pPr>
    </w:p>
    <w:p w:rsidR="00D4760A" w:rsidRDefault="00B93A8D">
      <w:pPr>
        <w:numPr>
          <w:ilvl w:val="0"/>
          <w:numId w:val="47"/>
        </w:numPr>
        <w:tabs>
          <w:tab w:val="left" w:pos="360"/>
        </w:tabs>
        <w:spacing w:line="276" w:lineRule="auto"/>
        <w:ind w:left="360" w:hanging="360"/>
        <w:jc w:val="both"/>
        <w:rPr>
          <w:rFonts w:ascii="Cambria" w:eastAsia="Cambria" w:hAnsi="Cambria" w:cs="Cambria"/>
          <w:b/>
          <w:bCs/>
        </w:rPr>
      </w:pPr>
      <w:r>
        <w:rPr>
          <w:rFonts w:ascii="Cambria" w:eastAsia="Cambria" w:hAnsi="Cambria" w:cs="Cambria"/>
        </w:rPr>
        <w:t>Jde-li o výsledek veřejné zakázky ve výzkumu, vývoji a inovacích, který nelze chránit podle zákonů upravujících ochranu výsledků autorské, vynálezecké nebo obdobné tvůrčí činnosti, je vlastníkem výsledků poskytovatel a jejich zveřejnění a využití výsledků je možné pouze s předchozím písemným souhlasem poskytovatele.</w:t>
      </w:r>
    </w:p>
    <w:p w:rsidR="00D4760A" w:rsidRDefault="00D4760A">
      <w:pPr>
        <w:spacing w:line="119" w:lineRule="exact"/>
        <w:rPr>
          <w:rFonts w:ascii="Cambria" w:eastAsia="Cambria" w:hAnsi="Cambria" w:cs="Cambria"/>
          <w:b/>
          <w:bCs/>
        </w:rPr>
      </w:pPr>
    </w:p>
    <w:p w:rsidR="00D4760A" w:rsidRDefault="00B93A8D">
      <w:pPr>
        <w:numPr>
          <w:ilvl w:val="0"/>
          <w:numId w:val="47"/>
        </w:numPr>
        <w:tabs>
          <w:tab w:val="left" w:pos="360"/>
        </w:tabs>
        <w:spacing w:line="276" w:lineRule="auto"/>
        <w:ind w:left="360" w:hanging="360"/>
        <w:jc w:val="both"/>
        <w:rPr>
          <w:rFonts w:ascii="Cambria" w:eastAsia="Cambria" w:hAnsi="Cambria" w:cs="Cambria"/>
          <w:b/>
          <w:bCs/>
        </w:rPr>
      </w:pPr>
      <w:r>
        <w:rPr>
          <w:rFonts w:ascii="Cambria" w:eastAsia="Cambria" w:hAnsi="Cambria" w:cs="Cambria"/>
        </w:rPr>
        <w:t>Jde-li o výsledek veřejné zakázky ve výzkumu, vývoji a inovacích, který lze chránit podle zákonů upravujících ochranu výsledků autorské, vynálezecké nebo obdobné tvůrčí činnosti, potom hlavní příjemce, pokud poskytovatel nestanoví jinak, musí uplatnit právo k výsledkům, zajistit jejich právní ochranu a po jejím udělení vlastnické právo převést na poskytovatele. Hlavní příjemce má nárok na úhradu prokazatelných nákladů s tím spojených, pokud nebyly součástí uznaných nákladů projektu. Ke zveřejnění výsledků před podáním přihlášky k průmyslové právní ochraně je nutný písemný souhlas poskytovatele.</w:t>
      </w:r>
    </w:p>
    <w:p w:rsidR="00D4760A" w:rsidRDefault="00D4760A">
      <w:pPr>
        <w:spacing w:line="120" w:lineRule="exact"/>
        <w:rPr>
          <w:rFonts w:ascii="Cambria" w:eastAsia="Cambria" w:hAnsi="Cambria" w:cs="Cambria"/>
          <w:b/>
          <w:bCs/>
        </w:rPr>
      </w:pPr>
    </w:p>
    <w:p w:rsidR="00D4760A" w:rsidRDefault="00B93A8D">
      <w:pPr>
        <w:numPr>
          <w:ilvl w:val="0"/>
          <w:numId w:val="47"/>
        </w:numPr>
        <w:tabs>
          <w:tab w:val="left" w:pos="360"/>
        </w:tabs>
        <w:spacing w:line="295" w:lineRule="auto"/>
        <w:ind w:left="360" w:hanging="360"/>
        <w:jc w:val="both"/>
        <w:rPr>
          <w:rFonts w:ascii="Cambria" w:eastAsia="Cambria" w:hAnsi="Cambria" w:cs="Cambria"/>
          <w:b/>
          <w:bCs/>
          <w:sz w:val="21"/>
          <w:szCs w:val="21"/>
        </w:rPr>
      </w:pPr>
      <w:r>
        <w:rPr>
          <w:rFonts w:ascii="Cambria" w:eastAsia="Cambria" w:hAnsi="Cambria" w:cs="Cambria"/>
          <w:sz w:val="21"/>
          <w:szCs w:val="21"/>
        </w:rPr>
        <w:t>Hlavní 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 účastníkům.</w:t>
      </w:r>
    </w:p>
    <w:p w:rsidR="00D4760A" w:rsidRDefault="00D4760A">
      <w:pPr>
        <w:spacing w:line="102" w:lineRule="exact"/>
        <w:rPr>
          <w:rFonts w:ascii="Cambria" w:eastAsia="Cambria" w:hAnsi="Cambria" w:cs="Cambria"/>
          <w:b/>
          <w:bCs/>
          <w:sz w:val="21"/>
          <w:szCs w:val="21"/>
        </w:rPr>
      </w:pPr>
    </w:p>
    <w:p w:rsidR="00D4760A" w:rsidRDefault="00B93A8D">
      <w:pPr>
        <w:numPr>
          <w:ilvl w:val="0"/>
          <w:numId w:val="47"/>
        </w:numPr>
        <w:tabs>
          <w:tab w:val="left" w:pos="360"/>
        </w:tabs>
        <w:spacing w:line="276" w:lineRule="auto"/>
        <w:ind w:left="360" w:hanging="360"/>
        <w:jc w:val="both"/>
        <w:rPr>
          <w:rFonts w:ascii="Cambria" w:eastAsia="Cambria" w:hAnsi="Cambria" w:cs="Cambria"/>
          <w:b/>
          <w:bCs/>
        </w:rPr>
      </w:pPr>
      <w:r>
        <w:rPr>
          <w:rFonts w:ascii="Cambria" w:eastAsia="Cambria" w:hAnsi="Cambria" w:cs="Cambria"/>
        </w:rPr>
        <w:t xml:space="preserve">Hlavní příjemce může zveřejnit informace o výsledcích projektu, ke kterým má majetková práva, pokud jejich zveřejněním není dotčena jejich ochrana, postupuje podle </w:t>
      </w:r>
      <w:r>
        <w:rPr>
          <w:rFonts w:ascii="Cambria" w:eastAsia="Cambria" w:hAnsi="Cambria" w:cs="Cambria"/>
          <w:b/>
          <w:bCs/>
        </w:rPr>
        <w:t>Pravidel pro publicitu</w:t>
      </w:r>
      <w:r>
        <w:rPr>
          <w:rFonts w:ascii="Cambria" w:eastAsia="Cambria" w:hAnsi="Cambria" w:cs="Cambria"/>
        </w:rPr>
        <w:t xml:space="preserve"> </w:t>
      </w:r>
      <w:r>
        <w:rPr>
          <w:rFonts w:ascii="Cambria" w:eastAsia="Cambria" w:hAnsi="Cambria" w:cs="Cambria"/>
          <w:b/>
          <w:bCs/>
        </w:rPr>
        <w:t xml:space="preserve">projektů podpořených z prostředků TA ČR </w:t>
      </w:r>
      <w:r>
        <w:rPr>
          <w:rFonts w:ascii="Cambria" w:eastAsia="Cambria" w:hAnsi="Cambria" w:cs="Cambria"/>
        </w:rPr>
        <w:t>a pokud o svém záměru zveřejnění v dostatečném</w:t>
      </w:r>
      <w:r>
        <w:rPr>
          <w:rFonts w:ascii="Cambria" w:eastAsia="Cambria" w:hAnsi="Cambria" w:cs="Cambria"/>
          <w:b/>
          <w:bCs/>
        </w:rPr>
        <w:t xml:space="preserve"> </w:t>
      </w:r>
      <w:r>
        <w:rPr>
          <w:rFonts w:ascii="Cambria" w:eastAsia="Cambria" w:hAnsi="Cambria" w:cs="Cambria"/>
        </w:rPr>
        <w:t>předstihu informoval další účastníky.</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57" w:lineRule="exact"/>
        <w:rPr>
          <w:sz w:val="20"/>
          <w:szCs w:val="20"/>
        </w:rPr>
      </w:pPr>
    </w:p>
    <w:p w:rsidR="00D4760A" w:rsidRDefault="00B93A8D">
      <w:pPr>
        <w:ind w:right="80"/>
        <w:jc w:val="center"/>
        <w:rPr>
          <w:sz w:val="20"/>
          <w:szCs w:val="20"/>
        </w:rPr>
      </w:pPr>
      <w:r>
        <w:rPr>
          <w:rFonts w:ascii="Cambria" w:eastAsia="Cambria" w:hAnsi="Cambria" w:cs="Cambria"/>
          <w:b/>
          <w:bCs/>
          <w:i/>
          <w:iCs/>
        </w:rPr>
        <w:t>Článek 15</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Využití a poskytování výsledků</w:t>
      </w:r>
    </w:p>
    <w:p w:rsidR="00D4760A" w:rsidRDefault="00D4760A">
      <w:pPr>
        <w:spacing w:line="157" w:lineRule="exact"/>
        <w:rPr>
          <w:sz w:val="20"/>
          <w:szCs w:val="20"/>
        </w:rPr>
      </w:pPr>
    </w:p>
    <w:p w:rsidR="00D4760A" w:rsidRDefault="00B93A8D">
      <w:pPr>
        <w:numPr>
          <w:ilvl w:val="0"/>
          <w:numId w:val="48"/>
        </w:numPr>
        <w:tabs>
          <w:tab w:val="left" w:pos="360"/>
        </w:tabs>
        <w:spacing w:line="276" w:lineRule="auto"/>
        <w:ind w:left="360" w:right="20" w:hanging="360"/>
        <w:rPr>
          <w:rFonts w:ascii="Cambria" w:eastAsia="Cambria" w:hAnsi="Cambria" w:cs="Cambria"/>
          <w:b/>
          <w:bCs/>
        </w:rPr>
      </w:pPr>
      <w:r>
        <w:rPr>
          <w:rFonts w:ascii="Cambria" w:eastAsia="Cambria" w:hAnsi="Cambria" w:cs="Cambria"/>
        </w:rPr>
        <w:t>Podrobnosti využití výsledků projektu budou stanoveny v implementačním plánu výsledků projektu a ve smlouvě o využití výsledků.</w:t>
      </w:r>
    </w:p>
    <w:p w:rsidR="00D4760A" w:rsidRDefault="00D4760A">
      <w:pPr>
        <w:spacing w:line="119" w:lineRule="exact"/>
        <w:rPr>
          <w:rFonts w:ascii="Cambria" w:eastAsia="Cambria" w:hAnsi="Cambria" w:cs="Cambria"/>
          <w:b/>
          <w:bCs/>
        </w:rPr>
      </w:pPr>
    </w:p>
    <w:p w:rsidR="00D4760A" w:rsidRDefault="00B93A8D">
      <w:pPr>
        <w:numPr>
          <w:ilvl w:val="0"/>
          <w:numId w:val="48"/>
        </w:numPr>
        <w:tabs>
          <w:tab w:val="left" w:pos="360"/>
        </w:tabs>
        <w:ind w:left="360" w:hanging="360"/>
        <w:rPr>
          <w:rFonts w:ascii="Cambria" w:eastAsia="Cambria" w:hAnsi="Cambria" w:cs="Cambria"/>
          <w:b/>
          <w:bCs/>
        </w:rPr>
      </w:pPr>
      <w:r>
        <w:rPr>
          <w:rFonts w:ascii="Cambria" w:eastAsia="Cambria" w:hAnsi="Cambria" w:cs="Cambria"/>
        </w:rPr>
        <w:t>Při poskytování výsledků projektu je příjemce povinen dodržet ustanovení § 16 ZPVV.</w:t>
      </w:r>
    </w:p>
    <w:p w:rsidR="00D4760A" w:rsidRDefault="00B93A8D">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-761365</wp:posOffset>
            </wp:positionH>
            <wp:positionV relativeFrom="paragraph">
              <wp:posOffset>512445</wp:posOffset>
            </wp:positionV>
            <wp:extent cx="3601085" cy="9601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71"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17/23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70016"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49"/>
        </w:numPr>
        <w:tabs>
          <w:tab w:val="left" w:pos="360"/>
        </w:tabs>
        <w:spacing w:line="275" w:lineRule="auto"/>
        <w:ind w:left="360" w:hanging="360"/>
        <w:jc w:val="both"/>
        <w:rPr>
          <w:rFonts w:ascii="Cambria" w:eastAsia="Cambria" w:hAnsi="Cambria" w:cs="Cambria"/>
          <w:b/>
          <w:bCs/>
        </w:rPr>
      </w:pPr>
      <w:r>
        <w:rPr>
          <w:rFonts w:ascii="Cambria" w:eastAsia="Cambria" w:hAnsi="Cambria" w:cs="Cambria"/>
        </w:rPr>
        <w:t>V případě nevyužití výsledku podle odstavce 2 nebo 3 způsobem a v době stanovené ve smlouvě o využití výsledků, je hlavní příjemce povinen poskytnout dosažené výsledky k využití výsledků za nediskriminujících podmínek všem zájemcům.</w:t>
      </w:r>
    </w:p>
    <w:p w:rsidR="00D4760A" w:rsidRDefault="00D4760A">
      <w:pPr>
        <w:spacing w:line="123" w:lineRule="exact"/>
        <w:rPr>
          <w:rFonts w:ascii="Cambria" w:eastAsia="Cambria" w:hAnsi="Cambria" w:cs="Cambria"/>
          <w:b/>
          <w:bCs/>
        </w:rPr>
      </w:pPr>
    </w:p>
    <w:p w:rsidR="00D4760A" w:rsidRDefault="00B93A8D">
      <w:pPr>
        <w:numPr>
          <w:ilvl w:val="0"/>
          <w:numId w:val="49"/>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Příjemce je oprávněn poskytnout výsledky, které nejsou výsledkem veřejné zakázky ve výzkumu, vývoji a inovacích, pouze 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26" w:lineRule="exact"/>
        <w:rPr>
          <w:sz w:val="20"/>
          <w:szCs w:val="20"/>
        </w:rPr>
      </w:pPr>
    </w:p>
    <w:p w:rsidR="00D4760A" w:rsidRDefault="00B93A8D">
      <w:pPr>
        <w:ind w:right="80"/>
        <w:jc w:val="center"/>
        <w:rPr>
          <w:sz w:val="20"/>
          <w:szCs w:val="20"/>
        </w:rPr>
      </w:pPr>
      <w:r>
        <w:rPr>
          <w:rFonts w:ascii="Cambria" w:eastAsia="Cambria" w:hAnsi="Cambria" w:cs="Cambria"/>
          <w:b/>
          <w:bCs/>
          <w:sz w:val="28"/>
          <w:szCs w:val="28"/>
        </w:rPr>
        <w:t>Část E – Náklady, hodnocení a kontroly</w:t>
      </w:r>
    </w:p>
    <w:p w:rsidR="00D4760A" w:rsidRDefault="00D4760A">
      <w:pPr>
        <w:spacing w:line="290" w:lineRule="exact"/>
        <w:rPr>
          <w:sz w:val="20"/>
          <w:szCs w:val="20"/>
        </w:rPr>
      </w:pPr>
    </w:p>
    <w:p w:rsidR="00D4760A" w:rsidRDefault="00B93A8D">
      <w:pPr>
        <w:ind w:right="80"/>
        <w:jc w:val="center"/>
        <w:rPr>
          <w:sz w:val="20"/>
          <w:szCs w:val="20"/>
        </w:rPr>
      </w:pPr>
      <w:r>
        <w:rPr>
          <w:rFonts w:ascii="Cambria" w:eastAsia="Cambria" w:hAnsi="Cambria" w:cs="Cambria"/>
          <w:b/>
          <w:bCs/>
          <w:i/>
          <w:iCs/>
        </w:rPr>
        <w:t>Článek 16</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Uznané náklady projektu</w:t>
      </w:r>
    </w:p>
    <w:p w:rsidR="00D4760A" w:rsidRDefault="00D4760A">
      <w:pPr>
        <w:spacing w:line="157" w:lineRule="exact"/>
        <w:rPr>
          <w:sz w:val="20"/>
          <w:szCs w:val="20"/>
        </w:rPr>
      </w:pPr>
    </w:p>
    <w:p w:rsidR="00D4760A" w:rsidRDefault="00B93A8D">
      <w:pPr>
        <w:numPr>
          <w:ilvl w:val="0"/>
          <w:numId w:val="50"/>
        </w:numPr>
        <w:tabs>
          <w:tab w:val="left" w:pos="360"/>
        </w:tabs>
        <w:spacing w:line="277" w:lineRule="auto"/>
        <w:ind w:left="360" w:hanging="360"/>
        <w:rPr>
          <w:rFonts w:ascii="Cambria" w:eastAsia="Cambria" w:hAnsi="Cambria" w:cs="Cambria"/>
          <w:b/>
          <w:bCs/>
        </w:rPr>
      </w:pPr>
      <w:r>
        <w:rPr>
          <w:rFonts w:ascii="Cambria" w:eastAsia="Cambria" w:hAnsi="Cambria" w:cs="Cambria"/>
        </w:rPr>
        <w:t>Všechny finanční prostředky poskytnuté poskytovatelem jako podpora na řešení projektu výzkumu a vývoje mají charakter účelově určených finančních prostředků.</w:t>
      </w:r>
    </w:p>
    <w:p w:rsidR="00D4760A" w:rsidRDefault="00D4760A">
      <w:pPr>
        <w:spacing w:line="120" w:lineRule="exact"/>
        <w:rPr>
          <w:rFonts w:ascii="Cambria" w:eastAsia="Cambria" w:hAnsi="Cambria" w:cs="Cambria"/>
          <w:b/>
          <w:bCs/>
        </w:rPr>
      </w:pPr>
    </w:p>
    <w:p w:rsidR="00D4760A" w:rsidRDefault="00B93A8D">
      <w:pPr>
        <w:numPr>
          <w:ilvl w:val="0"/>
          <w:numId w:val="50"/>
        </w:numPr>
        <w:tabs>
          <w:tab w:val="left" w:pos="360"/>
        </w:tabs>
        <w:ind w:left="360" w:hanging="360"/>
        <w:rPr>
          <w:rFonts w:ascii="Cambria" w:eastAsia="Cambria" w:hAnsi="Cambria" w:cs="Cambria"/>
          <w:b/>
          <w:bCs/>
        </w:rPr>
      </w:pPr>
      <w:r>
        <w:rPr>
          <w:rFonts w:ascii="Cambria" w:eastAsia="Cambria" w:hAnsi="Cambria" w:cs="Cambria"/>
        </w:rPr>
        <w:t>Uznané náklady musí být</w:t>
      </w:r>
    </w:p>
    <w:p w:rsidR="00D4760A" w:rsidRDefault="00D4760A">
      <w:pPr>
        <w:spacing w:line="157" w:lineRule="exact"/>
        <w:rPr>
          <w:rFonts w:ascii="Cambria" w:eastAsia="Cambria" w:hAnsi="Cambria" w:cs="Cambria"/>
          <w:b/>
          <w:bCs/>
        </w:rPr>
      </w:pPr>
    </w:p>
    <w:p w:rsidR="00D4760A" w:rsidRDefault="00B93A8D">
      <w:pPr>
        <w:numPr>
          <w:ilvl w:val="1"/>
          <w:numId w:val="50"/>
        </w:numPr>
        <w:tabs>
          <w:tab w:val="left" w:pos="660"/>
        </w:tabs>
        <w:ind w:left="660" w:hanging="367"/>
        <w:rPr>
          <w:rFonts w:ascii="Cambria" w:eastAsia="Cambria" w:hAnsi="Cambria" w:cs="Cambria"/>
        </w:rPr>
      </w:pPr>
      <w:r>
        <w:rPr>
          <w:rFonts w:ascii="Cambria" w:eastAsia="Cambria" w:hAnsi="Cambria" w:cs="Cambria"/>
        </w:rPr>
        <w:t>vynaloženy v souladu s cíli programu a musí bezprostředně souviset s řešením projektu,</w:t>
      </w:r>
    </w:p>
    <w:p w:rsidR="00D4760A" w:rsidRDefault="00D4760A">
      <w:pPr>
        <w:spacing w:line="159" w:lineRule="exact"/>
        <w:rPr>
          <w:rFonts w:ascii="Cambria" w:eastAsia="Cambria" w:hAnsi="Cambria" w:cs="Cambria"/>
        </w:rPr>
      </w:pPr>
    </w:p>
    <w:p w:rsidR="00D4760A" w:rsidRDefault="00B93A8D">
      <w:pPr>
        <w:numPr>
          <w:ilvl w:val="1"/>
          <w:numId w:val="50"/>
        </w:numPr>
        <w:tabs>
          <w:tab w:val="left" w:pos="660"/>
        </w:tabs>
        <w:ind w:left="660" w:hanging="367"/>
        <w:rPr>
          <w:rFonts w:ascii="Cambria" w:eastAsia="Cambria" w:hAnsi="Cambria" w:cs="Cambria"/>
        </w:rPr>
      </w:pPr>
      <w:r>
        <w:rPr>
          <w:rFonts w:ascii="Cambria" w:eastAsia="Cambria" w:hAnsi="Cambria" w:cs="Cambria"/>
        </w:rPr>
        <w:t>způsobilými náklady,</w:t>
      </w:r>
    </w:p>
    <w:p w:rsidR="00D4760A" w:rsidRDefault="00D4760A">
      <w:pPr>
        <w:spacing w:line="157" w:lineRule="exact"/>
        <w:rPr>
          <w:rFonts w:ascii="Cambria" w:eastAsia="Cambria" w:hAnsi="Cambria" w:cs="Cambria"/>
        </w:rPr>
      </w:pPr>
    </w:p>
    <w:p w:rsidR="00D4760A" w:rsidRDefault="00B93A8D">
      <w:pPr>
        <w:numPr>
          <w:ilvl w:val="1"/>
          <w:numId w:val="50"/>
        </w:numPr>
        <w:tabs>
          <w:tab w:val="left" w:pos="660"/>
        </w:tabs>
        <w:ind w:left="660" w:hanging="367"/>
        <w:rPr>
          <w:rFonts w:ascii="Cambria" w:eastAsia="Cambria" w:hAnsi="Cambria" w:cs="Cambria"/>
        </w:rPr>
      </w:pPr>
      <w:r>
        <w:rPr>
          <w:rFonts w:ascii="Cambria" w:eastAsia="Cambria" w:hAnsi="Cambria" w:cs="Cambria"/>
        </w:rPr>
        <w:t>prokazatelně zaplaceny příjemcem,</w:t>
      </w:r>
    </w:p>
    <w:p w:rsidR="00D4760A" w:rsidRDefault="00D4760A">
      <w:pPr>
        <w:spacing w:line="159" w:lineRule="exact"/>
        <w:rPr>
          <w:rFonts w:ascii="Cambria" w:eastAsia="Cambria" w:hAnsi="Cambria" w:cs="Cambria"/>
        </w:rPr>
      </w:pPr>
    </w:p>
    <w:p w:rsidR="00D4760A" w:rsidRDefault="00B93A8D">
      <w:pPr>
        <w:numPr>
          <w:ilvl w:val="1"/>
          <w:numId w:val="50"/>
        </w:numPr>
        <w:tabs>
          <w:tab w:val="left" w:pos="660"/>
        </w:tabs>
        <w:ind w:left="660" w:hanging="367"/>
        <w:rPr>
          <w:rFonts w:ascii="Cambria" w:eastAsia="Cambria" w:hAnsi="Cambria" w:cs="Cambria"/>
        </w:rPr>
      </w:pPr>
      <w:r>
        <w:rPr>
          <w:rFonts w:ascii="Cambria" w:eastAsia="Cambria" w:hAnsi="Cambria" w:cs="Cambria"/>
        </w:rPr>
        <w:t>doloženy průkaznými doklady,</w:t>
      </w:r>
    </w:p>
    <w:p w:rsidR="00D4760A" w:rsidRDefault="00D4760A">
      <w:pPr>
        <w:spacing w:line="159" w:lineRule="exact"/>
        <w:rPr>
          <w:rFonts w:ascii="Cambria" w:eastAsia="Cambria" w:hAnsi="Cambria" w:cs="Cambria"/>
        </w:rPr>
      </w:pPr>
    </w:p>
    <w:p w:rsidR="00D4760A" w:rsidRDefault="00B93A8D">
      <w:pPr>
        <w:numPr>
          <w:ilvl w:val="1"/>
          <w:numId w:val="50"/>
        </w:numPr>
        <w:tabs>
          <w:tab w:val="left" w:pos="660"/>
        </w:tabs>
        <w:ind w:left="660" w:hanging="367"/>
        <w:rPr>
          <w:rFonts w:ascii="Cambria" w:eastAsia="Cambria" w:hAnsi="Cambria" w:cs="Cambria"/>
        </w:rPr>
      </w:pPr>
      <w:r>
        <w:rPr>
          <w:rFonts w:ascii="Cambria" w:eastAsia="Cambria" w:hAnsi="Cambria" w:cs="Cambria"/>
        </w:rPr>
        <w:t>přiměřené (musí odpovídat cenám v místě a čase obvyklým) a</w:t>
      </w:r>
    </w:p>
    <w:p w:rsidR="00D4760A" w:rsidRDefault="00D4760A">
      <w:pPr>
        <w:spacing w:line="157" w:lineRule="exact"/>
        <w:rPr>
          <w:rFonts w:ascii="Cambria" w:eastAsia="Cambria" w:hAnsi="Cambria" w:cs="Cambria"/>
        </w:rPr>
      </w:pPr>
    </w:p>
    <w:p w:rsidR="00D4760A" w:rsidRDefault="00B93A8D">
      <w:pPr>
        <w:numPr>
          <w:ilvl w:val="1"/>
          <w:numId w:val="50"/>
        </w:numPr>
        <w:tabs>
          <w:tab w:val="left" w:pos="660"/>
        </w:tabs>
        <w:spacing w:line="276" w:lineRule="auto"/>
        <w:ind w:left="660" w:hanging="367"/>
        <w:jc w:val="both"/>
        <w:rPr>
          <w:rFonts w:ascii="Cambria" w:eastAsia="Cambria" w:hAnsi="Cambria" w:cs="Cambria"/>
        </w:rPr>
      </w:pPr>
      <w:r>
        <w:rPr>
          <w:rFonts w:ascii="Cambria" w:eastAsia="Cambria" w:hAnsi="Cambria" w:cs="Cambria"/>
        </w:rPr>
        <w:t>vynaloženy v souladu s principy hospodárnosti (minimalizace nákladů/výdajů při respektování cílů projektu), účelnosti (přímá vazba na projekt a nezbytnost pro řešení projektu) a efektivnosti (maximalizace poměru mezi výstupy a vstupy projektu),</w:t>
      </w:r>
    </w:p>
    <w:p w:rsidR="00D4760A" w:rsidRDefault="00D4760A">
      <w:pPr>
        <w:spacing w:line="121" w:lineRule="exact"/>
        <w:rPr>
          <w:sz w:val="20"/>
          <w:szCs w:val="20"/>
        </w:rPr>
      </w:pPr>
    </w:p>
    <w:p w:rsidR="00D4760A" w:rsidRDefault="00B93A8D">
      <w:pPr>
        <w:spacing w:line="274" w:lineRule="auto"/>
        <w:ind w:left="360"/>
        <w:rPr>
          <w:sz w:val="20"/>
          <w:szCs w:val="20"/>
        </w:rPr>
      </w:pPr>
      <w:r>
        <w:rPr>
          <w:rFonts w:ascii="Cambria" w:eastAsia="Cambria" w:hAnsi="Cambria" w:cs="Cambria"/>
        </w:rPr>
        <w:t>přičemž splnění těchto podmínek se prokazuje v rámci hodnotících a kontrolních procesů popř. na žádost poskytovatele.</w:t>
      </w:r>
    </w:p>
    <w:p w:rsidR="00D4760A" w:rsidRDefault="00D4760A">
      <w:pPr>
        <w:spacing w:line="124" w:lineRule="exact"/>
        <w:rPr>
          <w:sz w:val="20"/>
          <w:szCs w:val="20"/>
        </w:rPr>
      </w:pPr>
    </w:p>
    <w:p w:rsidR="00D4760A" w:rsidRDefault="00B93A8D">
      <w:pPr>
        <w:numPr>
          <w:ilvl w:val="0"/>
          <w:numId w:val="51"/>
        </w:numPr>
        <w:tabs>
          <w:tab w:val="left" w:pos="360"/>
        </w:tabs>
        <w:spacing w:line="276" w:lineRule="auto"/>
        <w:ind w:left="360" w:hanging="360"/>
        <w:jc w:val="both"/>
        <w:rPr>
          <w:rFonts w:ascii="Cambria" w:eastAsia="Cambria" w:hAnsi="Cambria" w:cs="Cambria"/>
          <w:b/>
          <w:bCs/>
        </w:rPr>
      </w:pPr>
      <w:r>
        <w:rPr>
          <w:rFonts w:ascii="Cambria" w:eastAsia="Cambria" w:hAnsi="Cambria" w:cs="Cambria"/>
        </w:rPr>
        <w:t xml:space="preserve">Za uznaný náklad se nepovažuje poskytnuté plnění mezi hlavním příjemcem a dalšími účastníky či dalšími účastníky navzájem. Za uznaný náklad se nepovažují rovněž náklady se zdanitelným plněním mezi dnem, ve kterém nastanou účinky fúze, rozdělení nebo převodu jmění na společníka, a mezi dnem, ve kterém dojde v souladu se </w:t>
      </w:r>
      <w:r>
        <w:rPr>
          <w:rFonts w:ascii="Cambria" w:eastAsia="Cambria" w:hAnsi="Cambria" w:cs="Cambria"/>
          <w:b/>
          <w:bCs/>
        </w:rPr>
        <w:t>SME-07 Změnová řízení projektů</w:t>
      </w:r>
      <w:r>
        <w:rPr>
          <w:rFonts w:ascii="Cambria" w:eastAsia="Cambria" w:hAnsi="Cambria" w:cs="Cambria"/>
        </w:rPr>
        <w:t xml:space="preserve"> ke schválení takové přeměny, ledaže příjemce požádal včas o souhlas s přechodem práv a povinností při takové přeměně podle § 14a zákona č. 218/2000 Sb., o rozpočtových pravidlech a o změně některých souvisejících zákonů (rozpočtová pravidla) a pozdní schválení bylo zapříčiněno výhradně z důvodů na straně poskytovatele.</w:t>
      </w:r>
    </w:p>
    <w:p w:rsidR="00D4760A" w:rsidRDefault="00B93A8D">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-761365</wp:posOffset>
            </wp:positionH>
            <wp:positionV relativeFrom="paragraph">
              <wp:posOffset>54610</wp:posOffset>
            </wp:positionV>
            <wp:extent cx="3601085" cy="9601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150"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18/23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72064"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52"/>
        </w:numPr>
        <w:tabs>
          <w:tab w:val="left" w:pos="427"/>
        </w:tabs>
        <w:spacing w:line="294" w:lineRule="auto"/>
        <w:ind w:left="427" w:hanging="360"/>
        <w:jc w:val="both"/>
        <w:rPr>
          <w:rFonts w:ascii="Cambria" w:eastAsia="Cambria" w:hAnsi="Cambria" w:cs="Cambria"/>
          <w:b/>
          <w:bCs/>
          <w:sz w:val="21"/>
          <w:szCs w:val="21"/>
        </w:rPr>
      </w:pPr>
      <w:r>
        <w:rPr>
          <w:rFonts w:ascii="Cambria" w:eastAsia="Cambria" w:hAnsi="Cambria" w:cs="Cambria"/>
          <w:sz w:val="21"/>
          <w:szCs w:val="21"/>
        </w:rPr>
        <w:t>Pokud dojde k nabytí účinnosti Smlouvy ke dni pozdějšímu, než je den uvedený jako začátek řešení projektu v Závazných parametrech řešení projektu, bude na náklady na řešení projektu vzniklé mezi těmito dny pohlíženo, jako by se jednalo o náklady vzniklé po nabytí účinnosti Smlouvy.</w:t>
      </w:r>
    </w:p>
    <w:p w:rsidR="00D4760A" w:rsidRDefault="00D4760A">
      <w:pPr>
        <w:spacing w:line="105" w:lineRule="exact"/>
        <w:rPr>
          <w:rFonts w:ascii="Cambria" w:eastAsia="Cambria" w:hAnsi="Cambria" w:cs="Cambria"/>
          <w:b/>
          <w:bCs/>
          <w:sz w:val="21"/>
          <w:szCs w:val="21"/>
        </w:rPr>
      </w:pPr>
    </w:p>
    <w:p w:rsidR="00D4760A" w:rsidRDefault="00B93A8D">
      <w:pPr>
        <w:numPr>
          <w:ilvl w:val="0"/>
          <w:numId w:val="52"/>
        </w:numPr>
        <w:tabs>
          <w:tab w:val="left" w:pos="427"/>
        </w:tabs>
        <w:spacing w:line="274" w:lineRule="auto"/>
        <w:ind w:left="427" w:hanging="360"/>
        <w:rPr>
          <w:rFonts w:ascii="Cambria" w:eastAsia="Cambria" w:hAnsi="Cambria" w:cs="Cambria"/>
          <w:b/>
          <w:bCs/>
        </w:rPr>
      </w:pPr>
      <w:r>
        <w:rPr>
          <w:rFonts w:ascii="Cambria" w:eastAsia="Cambria" w:hAnsi="Cambria" w:cs="Cambria"/>
        </w:rPr>
        <w:t>Na každý náklad se pohlíží tak, jakoby byl financován z poskytnuté podpory a neveřejného zdroje v poměru podle míry poskytnuté podpory daného účastníka na celou dobu řešení projektu.</w:t>
      </w:r>
    </w:p>
    <w:p w:rsidR="00D4760A" w:rsidRDefault="00D4760A">
      <w:pPr>
        <w:spacing w:line="123" w:lineRule="exact"/>
        <w:rPr>
          <w:rFonts w:ascii="Cambria" w:eastAsia="Cambria" w:hAnsi="Cambria" w:cs="Cambria"/>
          <w:b/>
          <w:bCs/>
        </w:rPr>
      </w:pPr>
    </w:p>
    <w:p w:rsidR="00D4760A" w:rsidRDefault="00B93A8D">
      <w:pPr>
        <w:numPr>
          <w:ilvl w:val="0"/>
          <w:numId w:val="52"/>
        </w:numPr>
        <w:tabs>
          <w:tab w:val="left" w:pos="427"/>
        </w:tabs>
        <w:spacing w:line="276" w:lineRule="auto"/>
        <w:ind w:left="427" w:hanging="360"/>
        <w:jc w:val="both"/>
        <w:rPr>
          <w:rFonts w:ascii="Cambria" w:eastAsia="Cambria" w:hAnsi="Cambria" w:cs="Cambria"/>
          <w:b/>
          <w:bCs/>
        </w:rPr>
      </w:pPr>
      <w:r>
        <w:rPr>
          <w:rFonts w:ascii="Cambria" w:eastAsia="Cambria" w:hAnsi="Cambria" w:cs="Cambria"/>
        </w:rPr>
        <w:t>V případě, že ze Závazných parametrů řešení projektu vyplývá závazek dosažení dvou a více výsledků v rámci řešení projektu, pro účely Smlouvy se považuje výše poskytnuté podpory potřebná k dosažení každého jednotlivého výsledku podpora vypočtená podle vzorce, kde hodnota výsledku je rovna hodnotě bodů</w:t>
      </w:r>
      <w:r>
        <w:rPr>
          <w:rFonts w:ascii="Cambria" w:eastAsia="Cambria" w:hAnsi="Cambria" w:cs="Cambria"/>
          <w:sz w:val="13"/>
          <w:szCs w:val="13"/>
        </w:rPr>
        <w:t>2</w:t>
      </w:r>
      <w:r>
        <w:rPr>
          <w:rFonts w:ascii="Cambria" w:eastAsia="Cambria" w:hAnsi="Cambria" w:cs="Cambria"/>
        </w:rPr>
        <w:t xml:space="preserve"> tohoto výsledku vynásobeného podílem celkové podpory ku celkovým bodům všech deklarovaných výsledků. Pokud příjemce v návrhu projektu, případně ve zprávách překládaných poskytovateli rozděluje náklady k jednotlivým výsledkům, stanoví poskytovatel hodnotu výsledků na základě těchto údajů.</w:t>
      </w:r>
    </w:p>
    <w:p w:rsidR="00D4760A" w:rsidRDefault="00D4760A">
      <w:pPr>
        <w:spacing w:line="120" w:lineRule="exact"/>
        <w:rPr>
          <w:rFonts w:ascii="Cambria" w:eastAsia="Cambria" w:hAnsi="Cambria" w:cs="Cambria"/>
          <w:b/>
          <w:bCs/>
        </w:rPr>
      </w:pPr>
    </w:p>
    <w:p w:rsidR="00D4760A" w:rsidRDefault="00B93A8D">
      <w:pPr>
        <w:numPr>
          <w:ilvl w:val="0"/>
          <w:numId w:val="52"/>
        </w:numPr>
        <w:tabs>
          <w:tab w:val="left" w:pos="427"/>
        </w:tabs>
        <w:spacing w:line="275" w:lineRule="auto"/>
        <w:ind w:left="427" w:hanging="360"/>
        <w:jc w:val="both"/>
        <w:rPr>
          <w:rFonts w:ascii="Cambria" w:eastAsia="Cambria" w:hAnsi="Cambria" w:cs="Cambria"/>
          <w:b/>
          <w:bCs/>
        </w:rPr>
      </w:pPr>
      <w:r>
        <w:rPr>
          <w:rFonts w:ascii="Cambria" w:eastAsia="Cambria" w:hAnsi="Cambria" w:cs="Cambria"/>
        </w:rPr>
        <w:t>O všech nákladech projektu je příjemce povinen vést oddělenou účetní evidenci v souladu se zákonem č. 563/1991 Sb., o účetnictví, v platném znění, a v případě daňové evidence oddělenou evidenci příjmů a výdajů projektu.</w:t>
      </w:r>
    </w:p>
    <w:p w:rsidR="00D4760A" w:rsidRDefault="00D4760A">
      <w:pPr>
        <w:spacing w:line="123" w:lineRule="exact"/>
        <w:rPr>
          <w:rFonts w:ascii="Cambria" w:eastAsia="Cambria" w:hAnsi="Cambria" w:cs="Cambria"/>
          <w:b/>
          <w:bCs/>
        </w:rPr>
      </w:pPr>
    </w:p>
    <w:p w:rsidR="00D4760A" w:rsidRDefault="00B93A8D">
      <w:pPr>
        <w:numPr>
          <w:ilvl w:val="0"/>
          <w:numId w:val="52"/>
        </w:numPr>
        <w:tabs>
          <w:tab w:val="left" w:pos="427"/>
        </w:tabs>
        <w:spacing w:line="275" w:lineRule="auto"/>
        <w:ind w:left="427" w:hanging="360"/>
        <w:jc w:val="both"/>
        <w:rPr>
          <w:rFonts w:ascii="Cambria" w:eastAsia="Cambria" w:hAnsi="Cambria" w:cs="Cambria"/>
          <w:b/>
          <w:bCs/>
        </w:rPr>
      </w:pPr>
      <w:r>
        <w:rPr>
          <w:rFonts w:ascii="Cambria" w:eastAsia="Cambria" w:hAnsi="Cambria" w:cs="Cambria"/>
        </w:rPr>
        <w:t>V případě, že příjemce je plátcem daně z přidané hodnoty a má nárok na odpočet daně dle Zákona 235/2004 Sb. o dani z přidané hodnoty nelze tuto daň z přidané hodnoty považovat za uznaný náklad.</w:t>
      </w:r>
    </w:p>
    <w:p w:rsidR="00D4760A" w:rsidRDefault="00D4760A">
      <w:pPr>
        <w:spacing w:line="124" w:lineRule="exact"/>
        <w:rPr>
          <w:rFonts w:ascii="Cambria" w:eastAsia="Cambria" w:hAnsi="Cambria" w:cs="Cambria"/>
          <w:b/>
          <w:bCs/>
        </w:rPr>
      </w:pPr>
    </w:p>
    <w:p w:rsidR="00D4760A" w:rsidRDefault="00B93A8D">
      <w:pPr>
        <w:numPr>
          <w:ilvl w:val="0"/>
          <w:numId w:val="52"/>
        </w:numPr>
        <w:tabs>
          <w:tab w:val="left" w:pos="427"/>
        </w:tabs>
        <w:spacing w:line="275" w:lineRule="auto"/>
        <w:ind w:left="427" w:hanging="360"/>
        <w:jc w:val="both"/>
        <w:rPr>
          <w:rFonts w:ascii="Cambria" w:eastAsia="Cambria" w:hAnsi="Cambria" w:cs="Cambria"/>
          <w:b/>
          <w:bCs/>
        </w:rPr>
      </w:pPr>
      <w:r>
        <w:rPr>
          <w:rFonts w:ascii="Cambria" w:eastAsia="Cambria" w:hAnsi="Cambria" w:cs="Cambria"/>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w:t>
      </w:r>
    </w:p>
    <w:p w:rsidR="00D4760A" w:rsidRDefault="00D4760A">
      <w:pPr>
        <w:spacing w:line="123" w:lineRule="exact"/>
        <w:rPr>
          <w:rFonts w:ascii="Cambria" w:eastAsia="Cambria" w:hAnsi="Cambria" w:cs="Cambria"/>
          <w:b/>
          <w:bCs/>
        </w:rPr>
      </w:pPr>
    </w:p>
    <w:p w:rsidR="00D4760A" w:rsidRDefault="00B93A8D">
      <w:pPr>
        <w:numPr>
          <w:ilvl w:val="0"/>
          <w:numId w:val="52"/>
        </w:numPr>
        <w:tabs>
          <w:tab w:val="left" w:pos="427"/>
        </w:tabs>
        <w:spacing w:line="276" w:lineRule="auto"/>
        <w:ind w:left="427" w:right="20" w:hanging="360"/>
        <w:rPr>
          <w:rFonts w:ascii="Cambria" w:eastAsia="Cambria" w:hAnsi="Cambria" w:cs="Cambria"/>
          <w:b/>
          <w:bCs/>
        </w:rPr>
      </w:pPr>
      <w:r>
        <w:rPr>
          <w:rFonts w:ascii="Cambria" w:eastAsia="Cambria" w:hAnsi="Cambria" w:cs="Cambria"/>
        </w:rPr>
        <w:t>Sníží-li se výše uznaných nákladů, sníží se úměrně i maximální výše podpory při zachování stanovené míry podpory.</w:t>
      </w:r>
    </w:p>
    <w:p w:rsidR="00D4760A" w:rsidRDefault="00D4760A">
      <w:pPr>
        <w:spacing w:line="119" w:lineRule="exact"/>
        <w:rPr>
          <w:rFonts w:ascii="Cambria" w:eastAsia="Cambria" w:hAnsi="Cambria" w:cs="Cambria"/>
          <w:b/>
          <w:bCs/>
        </w:rPr>
      </w:pPr>
    </w:p>
    <w:p w:rsidR="00D4760A" w:rsidRDefault="00B93A8D">
      <w:pPr>
        <w:numPr>
          <w:ilvl w:val="0"/>
          <w:numId w:val="52"/>
        </w:numPr>
        <w:tabs>
          <w:tab w:val="left" w:pos="427"/>
        </w:tabs>
        <w:spacing w:line="294" w:lineRule="auto"/>
        <w:ind w:left="427" w:hanging="360"/>
        <w:jc w:val="both"/>
        <w:rPr>
          <w:rFonts w:ascii="Cambria" w:eastAsia="Cambria" w:hAnsi="Cambria" w:cs="Cambria"/>
          <w:b/>
          <w:bCs/>
          <w:sz w:val="21"/>
          <w:szCs w:val="21"/>
        </w:rPr>
      </w:pPr>
      <w:r>
        <w:rPr>
          <w:rFonts w:ascii="Cambria" w:eastAsia="Cambria" w:hAnsi="Cambria" w:cs="Cambria"/>
          <w:sz w:val="21"/>
          <w:szCs w:val="21"/>
        </w:rPr>
        <w:t>V případě, že příjemce pořizuje pro účely řešení projektu hmotný či nehmotný majetek nebo služby a zároveň nelze aplikovat výjimku podle § 8 odst. 5 ZPVV (specifikace v návrhu projektu), je povinen postupovat podle příslušných ustanovení ZVZ, vždy bez ohledu na míru či výši poskytnuté podpory.</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44" w:lineRule="exact"/>
        <w:rPr>
          <w:sz w:val="20"/>
          <w:szCs w:val="20"/>
        </w:rPr>
      </w:pPr>
    </w:p>
    <w:p w:rsidR="00D4760A" w:rsidRDefault="00B93A8D">
      <w:pPr>
        <w:ind w:right="-6"/>
        <w:jc w:val="center"/>
        <w:rPr>
          <w:sz w:val="20"/>
          <w:szCs w:val="20"/>
        </w:rPr>
      </w:pPr>
      <w:r>
        <w:rPr>
          <w:rFonts w:ascii="Cambria" w:eastAsia="Cambria" w:hAnsi="Cambria" w:cs="Cambria"/>
          <w:b/>
          <w:bCs/>
          <w:i/>
          <w:iCs/>
        </w:rPr>
        <w:t>Článek 17</w:t>
      </w:r>
    </w:p>
    <w:p w:rsidR="00D4760A" w:rsidRDefault="00D4760A">
      <w:pPr>
        <w:spacing w:line="37" w:lineRule="exact"/>
        <w:rPr>
          <w:sz w:val="20"/>
          <w:szCs w:val="20"/>
        </w:rPr>
      </w:pPr>
    </w:p>
    <w:p w:rsidR="00D4760A" w:rsidRDefault="00B93A8D">
      <w:pPr>
        <w:ind w:right="13"/>
        <w:jc w:val="center"/>
        <w:rPr>
          <w:sz w:val="20"/>
          <w:szCs w:val="20"/>
        </w:rPr>
      </w:pPr>
      <w:r>
        <w:rPr>
          <w:rFonts w:ascii="Cambria" w:eastAsia="Cambria" w:hAnsi="Cambria" w:cs="Cambria"/>
          <w:b/>
          <w:bCs/>
          <w:i/>
          <w:iCs/>
        </w:rPr>
        <w:t>Jednotlivé kategorie způsobilých nákladů a podmínky jejich uznatelnosti</w:t>
      </w:r>
    </w:p>
    <w:p w:rsidR="00D4760A" w:rsidRDefault="00D4760A">
      <w:pPr>
        <w:spacing w:line="160" w:lineRule="exact"/>
        <w:rPr>
          <w:sz w:val="20"/>
          <w:szCs w:val="20"/>
        </w:rPr>
      </w:pPr>
    </w:p>
    <w:p w:rsidR="00D4760A" w:rsidRDefault="00B93A8D">
      <w:pPr>
        <w:ind w:left="67"/>
        <w:rPr>
          <w:sz w:val="20"/>
          <w:szCs w:val="20"/>
        </w:rPr>
      </w:pPr>
      <w:r>
        <w:rPr>
          <w:rFonts w:ascii="Cambria" w:eastAsia="Cambria" w:hAnsi="Cambria" w:cs="Cambria"/>
          <w:b/>
          <w:bCs/>
        </w:rPr>
        <w:t xml:space="preserve">1.  </w:t>
      </w:r>
      <w:r>
        <w:rPr>
          <w:rFonts w:ascii="Cambria" w:eastAsia="Cambria" w:hAnsi="Cambria" w:cs="Cambria"/>
        </w:rPr>
        <w:t>Veškeré jednotlivé typové náklady neuvedené v tomto článku se považují za nezpůsobilé</w:t>
      </w:r>
    </w:p>
    <w:p w:rsidR="00D4760A" w:rsidRDefault="00D4760A">
      <w:pPr>
        <w:spacing w:line="37" w:lineRule="exact"/>
        <w:rPr>
          <w:sz w:val="20"/>
          <w:szCs w:val="20"/>
        </w:rPr>
      </w:pPr>
    </w:p>
    <w:p w:rsidR="00D4760A" w:rsidRDefault="00B93A8D">
      <w:pPr>
        <w:ind w:left="427"/>
        <w:rPr>
          <w:sz w:val="20"/>
          <w:szCs w:val="20"/>
        </w:rPr>
      </w:pPr>
      <w:r>
        <w:rPr>
          <w:rFonts w:ascii="Cambria" w:eastAsia="Cambria" w:hAnsi="Cambria" w:cs="Cambria"/>
        </w:rPr>
        <w:t>a nemohou být tudíž ani uznané.</w:t>
      </w:r>
    </w:p>
    <w:p w:rsidR="00D4760A" w:rsidRDefault="00D4760A">
      <w:pPr>
        <w:spacing w:line="159" w:lineRule="exact"/>
        <w:rPr>
          <w:sz w:val="20"/>
          <w:szCs w:val="20"/>
        </w:rPr>
      </w:pPr>
    </w:p>
    <w:p w:rsidR="00D4760A" w:rsidRDefault="00B93A8D">
      <w:pPr>
        <w:numPr>
          <w:ilvl w:val="0"/>
          <w:numId w:val="53"/>
        </w:numPr>
        <w:tabs>
          <w:tab w:val="left" w:pos="427"/>
        </w:tabs>
        <w:ind w:left="427" w:hanging="360"/>
        <w:rPr>
          <w:rFonts w:ascii="Cambria" w:eastAsia="Cambria" w:hAnsi="Cambria" w:cs="Cambria"/>
          <w:b/>
          <w:bCs/>
        </w:rPr>
      </w:pPr>
      <w:r>
        <w:rPr>
          <w:rFonts w:ascii="Cambria" w:eastAsia="Cambria" w:hAnsi="Cambria" w:cs="Cambria"/>
        </w:rPr>
        <w:t>Způsobilé náklady se vykazují v těchto položkách:</w:t>
      </w:r>
    </w:p>
    <w:p w:rsidR="00D4760A" w:rsidRDefault="00B93A8D">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0</wp:posOffset>
                </wp:positionH>
                <wp:positionV relativeFrom="paragraph">
                  <wp:posOffset>238125</wp:posOffset>
                </wp:positionV>
                <wp:extent cx="182880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6D60108E" id="Shape 40"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0,18.75pt" to="2in,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" o:allowincell="f" filled="t" strokeweight=".21164mm">
                <v:stroke joinstyle="miter"/>
                <o:lock v:ext="edit" shapetype="f"/>
              </v:line>
            </w:pict>
          </mc:Fallback>
        </mc:AlternateContent>
      </w:r>
    </w:p>
    <w:p w:rsidR="00D4760A" w:rsidRDefault="00D4760A">
      <w:pPr>
        <w:spacing w:line="200" w:lineRule="exact"/>
        <w:rPr>
          <w:sz w:val="20"/>
          <w:szCs w:val="20"/>
        </w:rPr>
      </w:pPr>
    </w:p>
    <w:p w:rsidR="00D4760A" w:rsidRDefault="00D4760A">
      <w:pPr>
        <w:spacing w:line="373" w:lineRule="exact"/>
        <w:rPr>
          <w:sz w:val="20"/>
          <w:szCs w:val="20"/>
        </w:rPr>
      </w:pPr>
    </w:p>
    <w:p w:rsidR="00D4760A" w:rsidRDefault="00B93A8D">
      <w:pPr>
        <w:numPr>
          <w:ilvl w:val="0"/>
          <w:numId w:val="54"/>
        </w:numPr>
        <w:tabs>
          <w:tab w:val="left" w:pos="136"/>
        </w:tabs>
        <w:spacing w:line="236" w:lineRule="auto"/>
        <w:ind w:left="7" w:hanging="7"/>
        <w:rPr>
          <w:rFonts w:ascii="Cambria" w:eastAsia="Cambria" w:hAnsi="Cambria" w:cs="Cambria"/>
          <w:sz w:val="28"/>
          <w:szCs w:val="28"/>
          <w:vertAlign w:val="superscript"/>
        </w:rPr>
      </w:pPr>
      <w:r>
        <w:rPr>
          <w:rFonts w:ascii="Cambria" w:eastAsia="Cambria" w:hAnsi="Cambria" w:cs="Cambria"/>
          <w:color w:val="222222"/>
          <w:sz w:val="19"/>
          <w:szCs w:val="19"/>
        </w:rPr>
        <w:t>Výsledky P,N,Z,F,G,H,R,V - 100 bodů</w:t>
      </w:r>
      <w:r>
        <w:rPr>
          <w:rFonts w:ascii="Cambria" w:eastAsia="Cambria" w:hAnsi="Cambria" w:cs="Cambria"/>
          <w:color w:val="000000"/>
          <w:sz w:val="24"/>
          <w:szCs w:val="24"/>
        </w:rPr>
        <w:t>,</w:t>
      </w:r>
      <w:r>
        <w:rPr>
          <w:rFonts w:ascii="Cambria" w:eastAsia="Cambria" w:hAnsi="Cambria" w:cs="Cambria"/>
          <w:color w:val="222222"/>
          <w:sz w:val="19"/>
          <w:szCs w:val="19"/>
        </w:rPr>
        <w:t xml:space="preserve"> O - 20 bodů (pouze v případě, pokud půjde o přihlášku P či o přihlášku F - 100 bodů)</w:t>
      </w:r>
      <w:r>
        <w:rPr>
          <w:rFonts w:ascii="Cambria" w:eastAsia="Cambria" w:hAnsi="Cambria" w:cs="Cambria"/>
          <w:color w:val="000000"/>
          <w:sz w:val="24"/>
          <w:szCs w:val="24"/>
        </w:rPr>
        <w:t>.</w:t>
      </w:r>
    </w:p>
    <w:p w:rsidR="00D4760A" w:rsidRDefault="00B93A8D">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-718820</wp:posOffset>
            </wp:positionH>
            <wp:positionV relativeFrom="paragraph">
              <wp:posOffset>95250</wp:posOffset>
            </wp:positionV>
            <wp:extent cx="3601085" cy="9601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14"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19/23</w:t>
      </w:r>
    </w:p>
    <w:p w:rsidR="00D4760A" w:rsidRDefault="00D4760A">
      <w:pPr>
        <w:sectPr w:rsidR="00D4760A">
          <w:pgSz w:w="11900" w:h="16838"/>
          <w:pgMar w:top="1440" w:right="1126" w:bottom="311" w:left="1133" w:header="0" w:footer="0" w:gutter="0"/>
          <w:cols w:space="708" w:equalWidth="0">
            <w:col w:w="9647"/>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75136"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1"/>
          <w:numId w:val="55"/>
        </w:numPr>
        <w:tabs>
          <w:tab w:val="left" w:pos="660"/>
        </w:tabs>
        <w:ind w:left="660" w:hanging="367"/>
        <w:rPr>
          <w:rFonts w:ascii="Cambria" w:eastAsia="Cambria" w:hAnsi="Cambria" w:cs="Cambria"/>
        </w:rPr>
      </w:pPr>
      <w:r>
        <w:rPr>
          <w:rFonts w:ascii="Cambria" w:eastAsia="Cambria" w:hAnsi="Cambria" w:cs="Cambria"/>
        </w:rPr>
        <w:t>osobní náklady,</w:t>
      </w:r>
    </w:p>
    <w:p w:rsidR="00D4760A" w:rsidRDefault="00D4760A">
      <w:pPr>
        <w:spacing w:line="159" w:lineRule="exact"/>
        <w:rPr>
          <w:rFonts w:ascii="Cambria" w:eastAsia="Cambria" w:hAnsi="Cambria" w:cs="Cambria"/>
        </w:rPr>
      </w:pPr>
    </w:p>
    <w:p w:rsidR="00D4760A" w:rsidRDefault="00B93A8D">
      <w:pPr>
        <w:numPr>
          <w:ilvl w:val="1"/>
          <w:numId w:val="55"/>
        </w:numPr>
        <w:tabs>
          <w:tab w:val="left" w:pos="660"/>
        </w:tabs>
        <w:ind w:left="660" w:hanging="367"/>
        <w:rPr>
          <w:rFonts w:ascii="Cambria" w:eastAsia="Cambria" w:hAnsi="Cambria" w:cs="Cambria"/>
        </w:rPr>
      </w:pPr>
      <w:r>
        <w:rPr>
          <w:rFonts w:ascii="Cambria" w:eastAsia="Cambria" w:hAnsi="Cambria" w:cs="Cambria"/>
        </w:rPr>
        <w:t>investice,</w:t>
      </w:r>
    </w:p>
    <w:p w:rsidR="00D4760A" w:rsidRDefault="00D4760A">
      <w:pPr>
        <w:spacing w:line="157" w:lineRule="exact"/>
        <w:rPr>
          <w:rFonts w:ascii="Cambria" w:eastAsia="Cambria" w:hAnsi="Cambria" w:cs="Cambria"/>
        </w:rPr>
      </w:pPr>
    </w:p>
    <w:p w:rsidR="00D4760A" w:rsidRDefault="00B93A8D">
      <w:pPr>
        <w:numPr>
          <w:ilvl w:val="1"/>
          <w:numId w:val="55"/>
        </w:numPr>
        <w:tabs>
          <w:tab w:val="left" w:pos="660"/>
        </w:tabs>
        <w:ind w:left="660" w:hanging="367"/>
        <w:rPr>
          <w:rFonts w:ascii="Cambria" w:eastAsia="Cambria" w:hAnsi="Cambria" w:cs="Cambria"/>
        </w:rPr>
      </w:pPr>
      <w:r>
        <w:rPr>
          <w:rFonts w:ascii="Cambria" w:eastAsia="Cambria" w:hAnsi="Cambria" w:cs="Cambria"/>
        </w:rPr>
        <w:t>náklady na subdodávky,</w:t>
      </w:r>
    </w:p>
    <w:p w:rsidR="00D4760A" w:rsidRDefault="00D4760A">
      <w:pPr>
        <w:spacing w:line="159" w:lineRule="exact"/>
        <w:rPr>
          <w:rFonts w:ascii="Cambria" w:eastAsia="Cambria" w:hAnsi="Cambria" w:cs="Cambria"/>
        </w:rPr>
      </w:pPr>
    </w:p>
    <w:p w:rsidR="00D4760A" w:rsidRDefault="00B93A8D">
      <w:pPr>
        <w:numPr>
          <w:ilvl w:val="1"/>
          <w:numId w:val="55"/>
        </w:numPr>
        <w:tabs>
          <w:tab w:val="left" w:pos="660"/>
        </w:tabs>
        <w:ind w:left="660" w:hanging="367"/>
        <w:rPr>
          <w:rFonts w:ascii="Cambria" w:eastAsia="Cambria" w:hAnsi="Cambria" w:cs="Cambria"/>
        </w:rPr>
      </w:pPr>
      <w:r>
        <w:rPr>
          <w:rFonts w:ascii="Cambria" w:eastAsia="Cambria" w:hAnsi="Cambria" w:cs="Cambria"/>
        </w:rPr>
        <w:t>ostatní přímé náklady a</w:t>
      </w:r>
    </w:p>
    <w:p w:rsidR="00D4760A" w:rsidRDefault="00D4760A">
      <w:pPr>
        <w:spacing w:line="157" w:lineRule="exact"/>
        <w:rPr>
          <w:rFonts w:ascii="Cambria" w:eastAsia="Cambria" w:hAnsi="Cambria" w:cs="Cambria"/>
        </w:rPr>
      </w:pPr>
    </w:p>
    <w:p w:rsidR="00D4760A" w:rsidRDefault="00B93A8D">
      <w:pPr>
        <w:numPr>
          <w:ilvl w:val="1"/>
          <w:numId w:val="55"/>
        </w:numPr>
        <w:tabs>
          <w:tab w:val="left" w:pos="660"/>
        </w:tabs>
        <w:ind w:left="660" w:hanging="367"/>
        <w:rPr>
          <w:rFonts w:ascii="Cambria" w:eastAsia="Cambria" w:hAnsi="Cambria" w:cs="Cambria"/>
        </w:rPr>
      </w:pPr>
      <w:r>
        <w:rPr>
          <w:rFonts w:ascii="Cambria" w:eastAsia="Cambria" w:hAnsi="Cambria" w:cs="Cambria"/>
        </w:rPr>
        <w:t>nepřímé náklady.</w:t>
      </w:r>
    </w:p>
    <w:p w:rsidR="00D4760A" w:rsidRDefault="00D4760A">
      <w:pPr>
        <w:spacing w:line="160" w:lineRule="exact"/>
        <w:rPr>
          <w:rFonts w:ascii="Cambria" w:eastAsia="Cambria" w:hAnsi="Cambria" w:cs="Cambria"/>
        </w:rPr>
      </w:pPr>
    </w:p>
    <w:p w:rsidR="00D4760A" w:rsidRDefault="00B93A8D">
      <w:pPr>
        <w:numPr>
          <w:ilvl w:val="0"/>
          <w:numId w:val="56"/>
        </w:numPr>
        <w:tabs>
          <w:tab w:val="left" w:pos="360"/>
        </w:tabs>
        <w:spacing w:line="275" w:lineRule="auto"/>
        <w:ind w:left="360" w:hanging="360"/>
        <w:jc w:val="both"/>
        <w:rPr>
          <w:rFonts w:ascii="Cambria" w:eastAsia="Cambria" w:hAnsi="Cambria" w:cs="Cambria"/>
          <w:b/>
          <w:bCs/>
        </w:rPr>
      </w:pPr>
      <w:r>
        <w:rPr>
          <w:rFonts w:ascii="Cambria" w:eastAsia="Cambria" w:hAnsi="Cambria" w:cs="Cambria"/>
          <w:b/>
          <w:bCs/>
        </w:rPr>
        <w:t xml:space="preserve">Osobní náklady </w:t>
      </w:r>
      <w:r>
        <w:rPr>
          <w:rFonts w:ascii="Cambria" w:eastAsia="Cambria" w:hAnsi="Cambria" w:cs="Cambria"/>
        </w:rPr>
        <w:t>zahrnují náklady na mzdy nebo platy a povinné odvody na pojistné na všeobecné</w:t>
      </w:r>
      <w:r>
        <w:rPr>
          <w:rFonts w:ascii="Cambria" w:eastAsia="Cambria" w:hAnsi="Cambria" w:cs="Cambria"/>
          <w:b/>
          <w:bCs/>
        </w:rPr>
        <w:t xml:space="preserve"> </w:t>
      </w:r>
      <w:r>
        <w:rPr>
          <w:rFonts w:ascii="Cambria" w:eastAsia="Cambria" w:hAnsi="Cambria" w:cs="Cambria"/>
        </w:rPr>
        <w:t xml:space="preserve">zdravotní pojištění, pojistné na sociální zabezpečení a příspěvek na státní politiku zaměstnanosti a další zákonné povinnosti zaměstnavatele nebo povinnosti zaměstnavatele vyplývající z platných vnitřních předpisů (např. fond kulturních a sociálních potřeb, sociální fond, zákonné pojištění odpovědnosti zaměstnavatele, apod.). Odměny mohou být vypláceny jen pracovníkům, kteří jsou zaměstnanci podle zákona 262/2006 Sb., zákoník práce a podílí se na řešení předmětného projektu (tj. prokazatelně pracují na projektu částí svého úvazku). Tyto náklady jsou uznatelné jen do výše </w:t>
      </w:r>
      <w:r>
        <w:rPr>
          <w:rFonts w:ascii="Cambria" w:eastAsia="Cambria" w:hAnsi="Cambria" w:cs="Cambria"/>
          <w:b/>
          <w:bCs/>
        </w:rPr>
        <w:t>nepřevyšující maximální součet dvou měsíčních platů za práci na projektu dle platného mzdového/platového výměru nebo smlouvy o mzdě v jednom kalendářním roce</w:t>
      </w:r>
      <w:r>
        <w:rPr>
          <w:rFonts w:ascii="Cambria" w:eastAsia="Cambria" w:hAnsi="Cambria" w:cs="Cambria"/>
        </w:rPr>
        <w:t>. Mzdy nebo</w:t>
      </w:r>
      <w:r>
        <w:rPr>
          <w:rFonts w:ascii="Cambria" w:eastAsia="Cambria" w:hAnsi="Cambria" w:cs="Cambria"/>
          <w:b/>
          <w:bCs/>
        </w:rPr>
        <w:t xml:space="preserve"> </w:t>
      </w:r>
      <w:r>
        <w:rPr>
          <w:rFonts w:ascii="Cambria" w:eastAsia="Cambria" w:hAnsi="Cambria" w:cs="Cambria"/>
        </w:rPr>
        <w:t>platy, odměny z dohod o pracovní činnosti či dohod o provedení práce musí odpovídat schválenému mzdovému, platovému nebo jinému předpisu příjemce. V případě náhrad jsou způsobilými náklady náhrady za dovolenou a nemoc (a to u pracovníka s pevně stanoveným pracovním úvazkem v projektu). Osobě samostatně výdělečně činné jakožto samostatnému příjemci náleží odměna za činnost při řešení návrhu projektu, pokud odpovídá hodinové sazbě zaměstnanců s obdobnou kvalifikací či zkušeností (je v místě a čase obvyklá).</w:t>
      </w:r>
    </w:p>
    <w:p w:rsidR="00D4760A" w:rsidRDefault="00D4760A">
      <w:pPr>
        <w:spacing w:line="137" w:lineRule="exact"/>
        <w:rPr>
          <w:rFonts w:ascii="Cambria" w:eastAsia="Cambria" w:hAnsi="Cambria" w:cs="Cambria"/>
          <w:b/>
          <w:bCs/>
        </w:rPr>
      </w:pPr>
    </w:p>
    <w:p w:rsidR="00D4760A" w:rsidRDefault="00B93A8D">
      <w:pPr>
        <w:numPr>
          <w:ilvl w:val="0"/>
          <w:numId w:val="56"/>
        </w:numPr>
        <w:tabs>
          <w:tab w:val="left" w:pos="360"/>
        </w:tabs>
        <w:spacing w:line="276" w:lineRule="auto"/>
        <w:ind w:left="360" w:hanging="360"/>
        <w:jc w:val="both"/>
        <w:rPr>
          <w:rFonts w:ascii="Cambria" w:eastAsia="Cambria" w:hAnsi="Cambria" w:cs="Cambria"/>
          <w:b/>
          <w:bCs/>
        </w:rPr>
      </w:pPr>
      <w:r>
        <w:rPr>
          <w:rFonts w:ascii="Cambria" w:eastAsia="Cambria" w:hAnsi="Cambria" w:cs="Cambria"/>
          <w:b/>
          <w:bCs/>
        </w:rPr>
        <w:t xml:space="preserve">Investice </w:t>
      </w:r>
      <w:r>
        <w:rPr>
          <w:rFonts w:ascii="Cambria" w:eastAsia="Cambria" w:hAnsi="Cambria" w:cs="Cambria"/>
        </w:rPr>
        <w:t>zahrnují výdaje na pořízení dlouhodobého hmotného a nehmotného majetku, který lze</w:t>
      </w:r>
      <w:r>
        <w:rPr>
          <w:rFonts w:ascii="Cambria" w:eastAsia="Cambria" w:hAnsi="Cambria" w:cs="Cambria"/>
          <w:b/>
          <w:bCs/>
        </w:rPr>
        <w:t xml:space="preserve"> </w:t>
      </w:r>
      <w:r>
        <w:rPr>
          <w:rFonts w:ascii="Cambria" w:eastAsia="Cambria" w:hAnsi="Cambria" w:cs="Cambria"/>
        </w:rPr>
        <w:t>odepisovat podle zákona o dani z příjmu. Za způsobilé náklady na pořízení dlouhodobého hmotného a nehmotného majetku potřebného pro řešení projektu je považována pouze ta část pořizovací ceny investice, která je rovna výši odpisů odpovídající délce trvání projektu, v rozsahu jeho využívání a době využívání pro potřeby řešení projektu vypočtené pomocí zavedených účetních postupů. Při odepisování lze použít účetní nebo daňové odpisy. V případě, že budou využity účetní odpisy, délka odepisování nesmí být kratší než doba stanovená u daňových odpisů a výše ročních odpisů nesmí být vyšší než výše odpisů stanovená dle zákona č. 586/1992 Sb., o daních z příjmů.</w:t>
      </w:r>
    </w:p>
    <w:p w:rsidR="00D4760A" w:rsidRDefault="00D4760A">
      <w:pPr>
        <w:spacing w:line="119" w:lineRule="exact"/>
        <w:rPr>
          <w:rFonts w:ascii="Cambria" w:eastAsia="Cambria" w:hAnsi="Cambria" w:cs="Cambria"/>
          <w:b/>
          <w:bCs/>
        </w:rPr>
      </w:pPr>
    </w:p>
    <w:p w:rsidR="00D4760A" w:rsidRDefault="00B93A8D">
      <w:pPr>
        <w:numPr>
          <w:ilvl w:val="0"/>
          <w:numId w:val="56"/>
        </w:numPr>
        <w:tabs>
          <w:tab w:val="left" w:pos="360"/>
        </w:tabs>
        <w:spacing w:line="276" w:lineRule="auto"/>
        <w:ind w:left="360" w:hanging="360"/>
        <w:jc w:val="both"/>
        <w:rPr>
          <w:rFonts w:ascii="Cambria" w:eastAsia="Cambria" w:hAnsi="Cambria" w:cs="Cambria"/>
          <w:b/>
          <w:bCs/>
        </w:rPr>
      </w:pPr>
      <w:r>
        <w:rPr>
          <w:rFonts w:ascii="Cambria" w:eastAsia="Cambria" w:hAnsi="Cambria" w:cs="Cambria"/>
          <w:b/>
          <w:bCs/>
        </w:rPr>
        <w:t xml:space="preserve">Náklady na subdodávky </w:t>
      </w:r>
      <w:r>
        <w:rPr>
          <w:rFonts w:ascii="Cambria" w:eastAsia="Cambria" w:hAnsi="Cambria" w:cs="Cambria"/>
        </w:rPr>
        <w:t>představují náklady vzniklé v přímé souvislosti s výzkumnou činností při</w:t>
      </w:r>
      <w:r>
        <w:rPr>
          <w:rFonts w:ascii="Cambria" w:eastAsia="Cambria" w:hAnsi="Cambria" w:cs="Cambria"/>
          <w:b/>
          <w:bCs/>
        </w:rPr>
        <w:t xml:space="preserve"> </w:t>
      </w:r>
      <w:r>
        <w:rPr>
          <w:rFonts w:ascii="Cambria" w:eastAsia="Cambria" w:hAnsi="Cambria" w:cs="Cambria"/>
        </w:rPr>
        <w:t>řešení projektu, tj. přenesení části výzkumné činnosti projektu na dodavatele. Dodavatelem subdodávek nesmí být člen řešitelského týmu ani jiný zaměstnanec příjemce nebo osoba spojená (ve smyslu § 23 odst. 7 zákona č. 586/1992 Sb., o daních z příjmů) s příjemcem. Náklady na subdodávky jsou omezeny 20 % z celkových uznaných nákladů všech účastníků projektu za celou dobu řešení; to neplatí ve veřejné zakázce ve výzkumu, vývoji a inovacích, kde tyto náklady může poskytovatel v souladu se ZVZ omezit věcně v zadávacích podmínkách.</w:t>
      </w:r>
    </w:p>
    <w:p w:rsidR="00D4760A" w:rsidRDefault="00D4760A">
      <w:pPr>
        <w:spacing w:line="119" w:lineRule="exact"/>
        <w:rPr>
          <w:rFonts w:ascii="Cambria" w:eastAsia="Cambria" w:hAnsi="Cambria" w:cs="Cambria"/>
          <w:b/>
          <w:bCs/>
        </w:rPr>
      </w:pPr>
    </w:p>
    <w:p w:rsidR="00D4760A" w:rsidRDefault="00B93A8D">
      <w:pPr>
        <w:numPr>
          <w:ilvl w:val="0"/>
          <w:numId w:val="56"/>
        </w:numPr>
        <w:tabs>
          <w:tab w:val="left" w:pos="360"/>
        </w:tabs>
        <w:ind w:left="360" w:hanging="360"/>
        <w:rPr>
          <w:rFonts w:ascii="Cambria" w:eastAsia="Cambria" w:hAnsi="Cambria" w:cs="Cambria"/>
          <w:b/>
          <w:bCs/>
        </w:rPr>
      </w:pPr>
      <w:r>
        <w:rPr>
          <w:rFonts w:ascii="Cambria" w:eastAsia="Cambria" w:hAnsi="Cambria" w:cs="Cambria"/>
          <w:b/>
          <w:bCs/>
        </w:rPr>
        <w:t xml:space="preserve">Ostatní přímé náklady </w:t>
      </w:r>
      <w:r>
        <w:rPr>
          <w:rFonts w:ascii="Cambria" w:eastAsia="Cambria" w:hAnsi="Cambria" w:cs="Cambria"/>
        </w:rPr>
        <w:t>zahrnují</w:t>
      </w:r>
    </w:p>
    <w:p w:rsidR="00D4760A" w:rsidRDefault="00B93A8D">
      <w:pPr>
        <w:spacing w:line="20" w:lineRule="exact"/>
        <w:rPr>
          <w:sz w:val="20"/>
          <w:szCs w:val="20"/>
        </w:rPr>
      </w:pPr>
      <w:r>
        <w:rPr>
          <w:noProof/>
          <w:sz w:val="20"/>
          <w:szCs w:val="20"/>
        </w:rPr>
        <w:drawing>
          <wp:anchor distT="0" distB="0" distL="114300" distR="114300" simplePos="0" relativeHeight="251676160" behindDoc="1" locked="0" layoutInCell="0" allowOverlap="1">
            <wp:simplePos x="0" y="0"/>
            <wp:positionH relativeFrom="column">
              <wp:posOffset>-761365</wp:posOffset>
            </wp:positionH>
            <wp:positionV relativeFrom="paragraph">
              <wp:posOffset>403860</wp:posOffset>
            </wp:positionV>
            <wp:extent cx="3601085" cy="9601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00"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20/23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77184"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numPr>
          <w:ilvl w:val="0"/>
          <w:numId w:val="57"/>
        </w:numPr>
        <w:tabs>
          <w:tab w:val="left" w:pos="660"/>
        </w:tabs>
        <w:spacing w:line="275" w:lineRule="auto"/>
        <w:ind w:left="660" w:hanging="367"/>
        <w:jc w:val="both"/>
        <w:rPr>
          <w:rFonts w:ascii="Cambria" w:eastAsia="Cambria" w:hAnsi="Cambria" w:cs="Cambria"/>
        </w:rPr>
      </w:pPr>
      <w:r>
        <w:rPr>
          <w:rFonts w:ascii="Cambria" w:eastAsia="Cambria" w:hAnsi="Cambria" w:cs="Cambria"/>
        </w:rPr>
        <w:t>náklady na ochranu práv duševního vlastnictví, která jsou deklarovaným výsledkem projektu (zejména související poplatky, rešerše, náklady na patentového zástupce) a náklady na ochranu již vznesených práv k duševnímu vlastnictví potřebného k řešení projektu,</w:t>
      </w:r>
    </w:p>
    <w:p w:rsidR="00D4760A" w:rsidRDefault="00D4760A">
      <w:pPr>
        <w:spacing w:line="123" w:lineRule="exact"/>
        <w:rPr>
          <w:rFonts w:ascii="Cambria" w:eastAsia="Cambria" w:hAnsi="Cambria" w:cs="Cambria"/>
        </w:rPr>
      </w:pPr>
    </w:p>
    <w:p w:rsidR="00D4760A" w:rsidRDefault="00B93A8D">
      <w:pPr>
        <w:numPr>
          <w:ilvl w:val="0"/>
          <w:numId w:val="57"/>
        </w:numPr>
        <w:tabs>
          <w:tab w:val="left" w:pos="660"/>
        </w:tabs>
        <w:spacing w:line="274" w:lineRule="auto"/>
        <w:ind w:left="660" w:hanging="367"/>
        <w:rPr>
          <w:rFonts w:ascii="Cambria" w:eastAsia="Cambria" w:hAnsi="Cambria" w:cs="Cambria"/>
        </w:rPr>
      </w:pPr>
      <w:r>
        <w:rPr>
          <w:rFonts w:ascii="Cambria" w:eastAsia="Cambria" w:hAnsi="Cambria" w:cs="Cambria"/>
        </w:rPr>
        <w:t>další provozní náklady vzniklé v přímé souvislosti s řešením projektu, kterými jsou materiál, služby a drobný hmotný a nehmotný majetek,</w:t>
      </w:r>
    </w:p>
    <w:p w:rsidR="00D4760A" w:rsidRDefault="00D4760A">
      <w:pPr>
        <w:spacing w:line="123" w:lineRule="exact"/>
        <w:rPr>
          <w:rFonts w:ascii="Cambria" w:eastAsia="Cambria" w:hAnsi="Cambria" w:cs="Cambria"/>
        </w:rPr>
      </w:pPr>
    </w:p>
    <w:p w:rsidR="00D4760A" w:rsidRDefault="00B93A8D">
      <w:pPr>
        <w:numPr>
          <w:ilvl w:val="0"/>
          <w:numId w:val="57"/>
        </w:numPr>
        <w:tabs>
          <w:tab w:val="left" w:pos="660"/>
        </w:tabs>
        <w:spacing w:line="276" w:lineRule="auto"/>
        <w:ind w:left="660" w:hanging="367"/>
        <w:jc w:val="both"/>
        <w:rPr>
          <w:rFonts w:ascii="Cambria" w:eastAsia="Cambria" w:hAnsi="Cambria" w:cs="Cambria"/>
        </w:rPr>
      </w:pPr>
      <w:r>
        <w:rPr>
          <w:rFonts w:ascii="Cambria" w:eastAsia="Cambria" w:hAnsi="Cambria" w:cs="Cambria"/>
        </w:rPr>
        <w:t>náklady na provoz, opravy a údržbu hmotného a nehmotného majetku využívaného při řešení projektu, a to ve výši odpovídající délce období a podílu předpokládaného užití majetku pro projekt,</w:t>
      </w:r>
    </w:p>
    <w:p w:rsidR="00D4760A" w:rsidRDefault="00B93A8D">
      <w:pPr>
        <w:numPr>
          <w:ilvl w:val="0"/>
          <w:numId w:val="57"/>
        </w:numPr>
        <w:tabs>
          <w:tab w:val="left" w:pos="660"/>
        </w:tabs>
        <w:spacing w:line="181" w:lineRule="auto"/>
        <w:ind w:left="660" w:hanging="367"/>
        <w:rPr>
          <w:rFonts w:ascii="Cambria" w:eastAsia="Cambria" w:hAnsi="Cambria" w:cs="Cambria"/>
          <w:sz w:val="18"/>
          <w:szCs w:val="18"/>
        </w:rPr>
      </w:pPr>
      <w:r>
        <w:rPr>
          <w:rFonts w:ascii="Cambria" w:eastAsia="Cambria" w:hAnsi="Cambria" w:cs="Cambria"/>
          <w:sz w:val="18"/>
          <w:szCs w:val="18"/>
        </w:rPr>
        <w:t>část ročních odpisů dlouhodobého hmotného a nehmotného majetku ve výši odpovídající délce</w:t>
      </w:r>
    </w:p>
    <w:p w:rsidR="00D4760A" w:rsidRDefault="00D4760A">
      <w:pPr>
        <w:spacing w:line="296" w:lineRule="exact"/>
        <w:rPr>
          <w:sz w:val="20"/>
          <w:szCs w:val="20"/>
        </w:rPr>
      </w:pPr>
    </w:p>
    <w:p w:rsidR="00D4760A" w:rsidRDefault="00B93A8D">
      <w:pPr>
        <w:spacing w:line="276" w:lineRule="auto"/>
        <w:ind w:left="660"/>
        <w:jc w:val="both"/>
        <w:rPr>
          <w:sz w:val="20"/>
          <w:szCs w:val="20"/>
        </w:rPr>
      </w:pPr>
      <w:r>
        <w:rPr>
          <w:rFonts w:ascii="Cambria" w:eastAsia="Cambria" w:hAnsi="Cambria" w:cs="Cambria"/>
        </w:rPr>
        <w:t>období a podílu skutečného užití tohoto majetku pro řešení projektu, který nebyl pořízen z veřejných prostředků a není zahrnut do kategorie investice</w:t>
      </w:r>
    </w:p>
    <w:p w:rsidR="00D4760A" w:rsidRDefault="00D4760A">
      <w:pPr>
        <w:spacing w:line="2" w:lineRule="exact"/>
        <w:rPr>
          <w:sz w:val="20"/>
          <w:szCs w:val="20"/>
        </w:rPr>
      </w:pPr>
    </w:p>
    <w:p w:rsidR="00D4760A" w:rsidRDefault="00B93A8D">
      <w:pPr>
        <w:spacing w:line="288" w:lineRule="auto"/>
        <w:ind w:left="660"/>
        <w:rPr>
          <w:sz w:val="20"/>
          <w:szCs w:val="20"/>
        </w:rPr>
      </w:pPr>
      <w:r>
        <w:rPr>
          <w:rFonts w:ascii="Cambria" w:eastAsia="Cambria" w:hAnsi="Cambria" w:cs="Cambria"/>
          <w:sz w:val="21"/>
          <w:szCs w:val="21"/>
        </w:rPr>
        <w:t>tohoto projektu, Podíl odpisů na projekt je možné počítat jak z účetních odpisů, tak z odpisů dle zákona o daních z příjmů, přičemž účetní odpisy nesmí být vyšší, než odpisy dle zákona o daních</w:t>
      </w:r>
    </w:p>
    <w:p w:rsidR="00D4760A" w:rsidRDefault="00D4760A">
      <w:pPr>
        <w:spacing w:line="2" w:lineRule="exact"/>
        <w:rPr>
          <w:sz w:val="20"/>
          <w:szCs w:val="20"/>
        </w:rPr>
      </w:pPr>
    </w:p>
    <w:p w:rsidR="00D4760A" w:rsidRDefault="00B93A8D">
      <w:pPr>
        <w:numPr>
          <w:ilvl w:val="1"/>
          <w:numId w:val="58"/>
        </w:numPr>
        <w:tabs>
          <w:tab w:val="left" w:pos="800"/>
        </w:tabs>
        <w:ind w:left="800" w:hanging="147"/>
        <w:rPr>
          <w:rFonts w:ascii="Cambria" w:eastAsia="Cambria" w:hAnsi="Cambria" w:cs="Cambria"/>
        </w:rPr>
      </w:pPr>
      <w:r>
        <w:rPr>
          <w:rFonts w:ascii="Cambria" w:eastAsia="Cambria" w:hAnsi="Cambria" w:cs="Cambria"/>
        </w:rPr>
        <w:t>příjmů,</w:t>
      </w:r>
    </w:p>
    <w:p w:rsidR="00D4760A" w:rsidRDefault="00D4760A">
      <w:pPr>
        <w:spacing w:line="157" w:lineRule="exact"/>
        <w:rPr>
          <w:rFonts w:ascii="Cambria" w:eastAsia="Cambria" w:hAnsi="Cambria" w:cs="Cambria"/>
        </w:rPr>
      </w:pPr>
    </w:p>
    <w:p w:rsidR="00D4760A" w:rsidRDefault="00B93A8D">
      <w:pPr>
        <w:numPr>
          <w:ilvl w:val="0"/>
          <w:numId w:val="59"/>
        </w:numPr>
        <w:tabs>
          <w:tab w:val="left" w:pos="660"/>
        </w:tabs>
        <w:spacing w:line="289" w:lineRule="auto"/>
        <w:ind w:left="660" w:hanging="367"/>
        <w:jc w:val="both"/>
        <w:rPr>
          <w:rFonts w:ascii="Cambria" w:eastAsia="Cambria" w:hAnsi="Cambria" w:cs="Cambria"/>
          <w:sz w:val="21"/>
          <w:szCs w:val="21"/>
        </w:rPr>
      </w:pPr>
      <w:r>
        <w:rPr>
          <w:rFonts w:ascii="Cambria" w:eastAsia="Cambria" w:hAnsi="Cambria" w:cs="Cambria"/>
          <w:sz w:val="21"/>
          <w:szCs w:val="21"/>
        </w:rPr>
        <w:t>cestovní náklady vzniklé v přímé souvislosti s řešením projektu, pokud se služební cesty účastní zaměstnanec s úvazkem na projektu (náklady na pracovní pobyty, konferenční poplatky, a cestovní náhrady podle zákona č. 262/2006 Sb., zákoník práce), přičemž musí být prokazatelný přínos cesty pro řešení projektu, anebo pracovní cesta je již deklarována ve schváleném návrhu projektu a to ve výši nákladů odpovídajícím nákladům na přiměřený způsob hromadné dopravy,</w:t>
      </w:r>
    </w:p>
    <w:p w:rsidR="00D4760A" w:rsidRDefault="00D4760A">
      <w:pPr>
        <w:spacing w:line="1" w:lineRule="exact"/>
        <w:rPr>
          <w:rFonts w:ascii="Cambria" w:eastAsia="Cambria" w:hAnsi="Cambria" w:cs="Cambria"/>
          <w:sz w:val="21"/>
          <w:szCs w:val="21"/>
        </w:rPr>
      </w:pPr>
    </w:p>
    <w:p w:rsidR="00D4760A" w:rsidRDefault="00D4760A">
      <w:pPr>
        <w:numPr>
          <w:ilvl w:val="1"/>
          <w:numId w:val="59"/>
        </w:numPr>
        <w:tabs>
          <w:tab w:val="left" w:pos="0"/>
        </w:tabs>
        <w:rPr>
          <w:rFonts w:ascii="Cambria" w:eastAsia="Cambria" w:hAnsi="Cambria" w:cs="Cambria"/>
        </w:rPr>
      </w:pPr>
    </w:p>
    <w:p w:rsidR="00D4760A" w:rsidRDefault="00D4760A">
      <w:pPr>
        <w:spacing w:line="159" w:lineRule="exact"/>
        <w:rPr>
          <w:rFonts w:ascii="Cambria" w:eastAsia="Cambria" w:hAnsi="Cambria" w:cs="Cambria"/>
        </w:rPr>
      </w:pPr>
    </w:p>
    <w:p w:rsidR="00D4760A" w:rsidRDefault="00B93A8D">
      <w:pPr>
        <w:numPr>
          <w:ilvl w:val="0"/>
          <w:numId w:val="59"/>
        </w:numPr>
        <w:tabs>
          <w:tab w:val="left" w:pos="660"/>
        </w:tabs>
        <w:ind w:left="660" w:hanging="367"/>
        <w:rPr>
          <w:rFonts w:ascii="Cambria" w:eastAsia="Cambria" w:hAnsi="Cambria" w:cs="Cambria"/>
        </w:rPr>
      </w:pPr>
      <w:r>
        <w:rPr>
          <w:rFonts w:ascii="Cambria" w:eastAsia="Cambria" w:hAnsi="Cambria" w:cs="Cambria"/>
        </w:rPr>
        <w:t>stipendia uvedená v § 91 odst. 2 písm. c) zákona č. 111/1998 Sb., o vysokých školách a o změně</w:t>
      </w:r>
    </w:p>
    <w:p w:rsidR="00D4760A" w:rsidRDefault="00D4760A">
      <w:pPr>
        <w:spacing w:line="37" w:lineRule="exact"/>
        <w:rPr>
          <w:rFonts w:ascii="Cambria" w:eastAsia="Cambria" w:hAnsi="Cambria" w:cs="Cambria"/>
        </w:rPr>
      </w:pPr>
    </w:p>
    <w:p w:rsidR="00D4760A" w:rsidRDefault="00B93A8D">
      <w:pPr>
        <w:numPr>
          <w:ilvl w:val="1"/>
          <w:numId w:val="59"/>
        </w:numPr>
        <w:tabs>
          <w:tab w:val="left" w:pos="811"/>
        </w:tabs>
        <w:spacing w:line="276" w:lineRule="auto"/>
        <w:ind w:left="660" w:hanging="7"/>
        <w:rPr>
          <w:rFonts w:ascii="Cambria" w:eastAsia="Cambria" w:hAnsi="Cambria" w:cs="Cambria"/>
        </w:rPr>
      </w:pPr>
      <w:r>
        <w:rPr>
          <w:rFonts w:ascii="Cambria" w:eastAsia="Cambria" w:hAnsi="Cambria" w:cs="Cambria"/>
        </w:rPr>
        <w:t>doplnění dalších zákonů (zákon o vysokých školách), resp. jeho poměrnou část, pokud student provádí činnost podle tohoto ustanovení i mimo příslušný projekt.</w:t>
      </w:r>
    </w:p>
    <w:p w:rsidR="00D4760A" w:rsidRDefault="00D4760A">
      <w:pPr>
        <w:spacing w:line="122" w:lineRule="exact"/>
        <w:rPr>
          <w:sz w:val="20"/>
          <w:szCs w:val="20"/>
        </w:rPr>
      </w:pPr>
    </w:p>
    <w:p w:rsidR="00D4760A" w:rsidRDefault="00B93A8D">
      <w:pPr>
        <w:spacing w:line="275" w:lineRule="auto"/>
        <w:ind w:left="360"/>
        <w:jc w:val="both"/>
        <w:rPr>
          <w:sz w:val="20"/>
          <w:szCs w:val="20"/>
        </w:rPr>
      </w:pPr>
      <w:r>
        <w:rPr>
          <w:rFonts w:ascii="Cambria" w:eastAsia="Cambria" w:hAnsi="Cambria" w:cs="Cambria"/>
        </w:rPr>
        <w:t>Náklady doložené pouze interními účetními doklady (vnitrofakturami) nejsou uznanými náklady projektu. Náklady na materiál doložený interním dokladem (výdejkou ze skladu) lze považovat za uznané náklady pouze při doložení interní směrnice na oceňování zásob a faktur za nákup materiálu z předchozího období.</w:t>
      </w:r>
    </w:p>
    <w:p w:rsidR="00D4760A" w:rsidRDefault="00D4760A">
      <w:pPr>
        <w:spacing w:line="124" w:lineRule="exact"/>
        <w:rPr>
          <w:sz w:val="20"/>
          <w:szCs w:val="20"/>
        </w:rPr>
      </w:pPr>
    </w:p>
    <w:p w:rsidR="00D4760A" w:rsidRDefault="00B93A8D">
      <w:pPr>
        <w:numPr>
          <w:ilvl w:val="0"/>
          <w:numId w:val="60"/>
        </w:numPr>
        <w:tabs>
          <w:tab w:val="left" w:pos="408"/>
        </w:tabs>
        <w:spacing w:line="276" w:lineRule="auto"/>
        <w:ind w:left="360" w:hanging="360"/>
        <w:jc w:val="both"/>
        <w:rPr>
          <w:rFonts w:ascii="Cambria" w:eastAsia="Cambria" w:hAnsi="Cambria" w:cs="Cambria"/>
          <w:b/>
          <w:bCs/>
        </w:rPr>
      </w:pPr>
      <w:r>
        <w:rPr>
          <w:rFonts w:ascii="Cambria" w:eastAsia="Cambria" w:hAnsi="Cambria" w:cs="Cambria"/>
          <w:b/>
          <w:bCs/>
        </w:rPr>
        <w:t xml:space="preserve">Nepřímé náklady </w:t>
      </w:r>
      <w:r>
        <w:rPr>
          <w:rFonts w:ascii="Cambria" w:eastAsia="Cambria" w:hAnsi="Cambria" w:cs="Cambria"/>
        </w:rPr>
        <w:t>jsou náklady vzniklé v přímé souvislosti s řešením projektu, resp. pouze jejich</w:t>
      </w:r>
      <w:r>
        <w:rPr>
          <w:rFonts w:ascii="Cambria" w:eastAsia="Cambria" w:hAnsi="Cambria" w:cs="Cambria"/>
          <w:b/>
          <w:bCs/>
        </w:rPr>
        <w:t xml:space="preserve"> </w:t>
      </w:r>
      <w:r>
        <w:rPr>
          <w:rFonts w:ascii="Cambria" w:eastAsia="Cambria" w:hAnsi="Cambria" w:cs="Cambria"/>
        </w:rPr>
        <w:t>část určená podle některé z následujících metod, např. administrativní náklady, nájemné, náklady na pomocný personál a infrastrukturu, energii a služby, pokud již nejsou uvedené v jiných kategoriích. Nepřímé náklady se musí vztahovat k projektu a musí být vykazovány v souladu</w:t>
      </w:r>
    </w:p>
    <w:p w:rsidR="00D4760A" w:rsidRDefault="00D4760A">
      <w:pPr>
        <w:spacing w:line="119" w:lineRule="exact"/>
        <w:rPr>
          <w:rFonts w:ascii="Cambria" w:eastAsia="Cambria" w:hAnsi="Cambria" w:cs="Cambria"/>
          <w:b/>
          <w:bCs/>
        </w:rPr>
      </w:pPr>
    </w:p>
    <w:p w:rsidR="00D4760A" w:rsidRDefault="00B93A8D">
      <w:pPr>
        <w:numPr>
          <w:ilvl w:val="1"/>
          <w:numId w:val="60"/>
        </w:numPr>
        <w:tabs>
          <w:tab w:val="left" w:pos="660"/>
        </w:tabs>
        <w:spacing w:line="293" w:lineRule="auto"/>
        <w:ind w:left="660" w:hanging="367"/>
        <w:jc w:val="both"/>
        <w:rPr>
          <w:rFonts w:ascii="Cambria" w:eastAsia="Cambria" w:hAnsi="Cambria" w:cs="Cambria"/>
          <w:sz w:val="21"/>
          <w:szCs w:val="21"/>
        </w:rPr>
      </w:pPr>
      <w:r>
        <w:rPr>
          <w:rFonts w:ascii="Cambria" w:eastAsia="Cambria" w:hAnsi="Cambria" w:cs="Cambria"/>
          <w:sz w:val="21"/>
          <w:szCs w:val="21"/>
        </w:rPr>
        <w:t xml:space="preserve">s metodou vykazování skutečných nepřímých nákladů, tzv. metodou </w:t>
      </w:r>
      <w:r>
        <w:rPr>
          <w:rFonts w:ascii="Cambria" w:eastAsia="Cambria" w:hAnsi="Cambria" w:cs="Cambria"/>
          <w:b/>
          <w:bCs/>
          <w:sz w:val="21"/>
          <w:szCs w:val="21"/>
        </w:rPr>
        <w:t>„full cost“</w:t>
      </w:r>
      <w:r>
        <w:rPr>
          <w:rFonts w:ascii="Cambria" w:eastAsia="Cambria" w:hAnsi="Cambria" w:cs="Cambria"/>
          <w:sz w:val="21"/>
          <w:szCs w:val="21"/>
        </w:rPr>
        <w:t>, kdy organizace má již existující systém a vnitřní předpis, na jejichž základě přiřazuje jednotlivé nepřímé náklady danému projektu, takto vykázané nepřímé náklady musí být podloženy kalkulací, výstupy z účetnictví, patřičnými účetními doklady a výše nepřímých nákladů není limitována, nebo</w:t>
      </w:r>
    </w:p>
    <w:p w:rsidR="00D4760A" w:rsidRDefault="00D4760A">
      <w:pPr>
        <w:spacing w:line="105" w:lineRule="exact"/>
        <w:rPr>
          <w:rFonts w:ascii="Cambria" w:eastAsia="Cambria" w:hAnsi="Cambria" w:cs="Cambria"/>
          <w:sz w:val="21"/>
          <w:szCs w:val="21"/>
        </w:rPr>
      </w:pPr>
    </w:p>
    <w:p w:rsidR="00D4760A" w:rsidRDefault="00B93A8D">
      <w:pPr>
        <w:numPr>
          <w:ilvl w:val="1"/>
          <w:numId w:val="60"/>
        </w:numPr>
        <w:tabs>
          <w:tab w:val="left" w:pos="660"/>
        </w:tabs>
        <w:spacing w:line="294" w:lineRule="auto"/>
        <w:ind w:left="660" w:hanging="367"/>
        <w:jc w:val="both"/>
        <w:rPr>
          <w:rFonts w:ascii="Cambria" w:eastAsia="Cambria" w:hAnsi="Cambria" w:cs="Cambria"/>
          <w:sz w:val="21"/>
          <w:szCs w:val="21"/>
        </w:rPr>
      </w:pPr>
      <w:r>
        <w:rPr>
          <w:rFonts w:ascii="Cambria" w:eastAsia="Cambria" w:hAnsi="Cambria" w:cs="Cambria"/>
          <w:sz w:val="21"/>
          <w:szCs w:val="21"/>
        </w:rPr>
        <w:t xml:space="preserve">metodou vykazování nepřímých nákladů na základě pevné sazby, tzv. metodou </w:t>
      </w:r>
      <w:r>
        <w:rPr>
          <w:rFonts w:ascii="Cambria" w:eastAsia="Cambria" w:hAnsi="Cambria" w:cs="Cambria"/>
          <w:b/>
          <w:bCs/>
          <w:sz w:val="21"/>
          <w:szCs w:val="21"/>
        </w:rPr>
        <w:t>„flat rate“</w:t>
      </w:r>
      <w:r>
        <w:rPr>
          <w:rFonts w:ascii="Cambria" w:eastAsia="Cambria" w:hAnsi="Cambria" w:cs="Cambria"/>
          <w:sz w:val="21"/>
          <w:szCs w:val="21"/>
        </w:rPr>
        <w:t>, do výše 20 % ze součtu skutečně vykázaných osobních nákladů a ostatních přímých nákladů příjemce v příslušném roce, mimo nákladů na investice, kdy takto vykázané nepřímé náklady se</w:t>
      </w:r>
    </w:p>
    <w:p w:rsidR="00D4760A" w:rsidRDefault="00B93A8D">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-761365</wp:posOffset>
            </wp:positionH>
            <wp:positionV relativeFrom="paragraph">
              <wp:posOffset>104775</wp:posOffset>
            </wp:positionV>
            <wp:extent cx="3601085" cy="9601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29"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21/23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79232"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41" w:lineRule="exact"/>
        <w:rPr>
          <w:sz w:val="20"/>
          <w:szCs w:val="20"/>
        </w:rPr>
      </w:pPr>
    </w:p>
    <w:p w:rsidR="00D4760A" w:rsidRDefault="00B93A8D">
      <w:pPr>
        <w:spacing w:line="276" w:lineRule="auto"/>
        <w:ind w:left="660"/>
        <w:rPr>
          <w:sz w:val="20"/>
          <w:szCs w:val="20"/>
        </w:rPr>
      </w:pPr>
      <w:r>
        <w:rPr>
          <w:rFonts w:ascii="Cambria" w:eastAsia="Cambria" w:hAnsi="Cambria" w:cs="Cambria"/>
        </w:rPr>
        <w:t>nemusí dokládat patřičnými účetními doklady, dokládá se však celková výše nepřímých nákladů organizace a jejich rozdělení na střediska/projekty/úseky apod.</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57" w:lineRule="exact"/>
        <w:rPr>
          <w:sz w:val="20"/>
          <w:szCs w:val="20"/>
        </w:rPr>
      </w:pPr>
    </w:p>
    <w:p w:rsidR="00D4760A" w:rsidRDefault="00B93A8D">
      <w:pPr>
        <w:ind w:right="80"/>
        <w:jc w:val="center"/>
        <w:rPr>
          <w:sz w:val="20"/>
          <w:szCs w:val="20"/>
        </w:rPr>
      </w:pPr>
      <w:r>
        <w:rPr>
          <w:rFonts w:ascii="Cambria" w:eastAsia="Cambria" w:hAnsi="Cambria" w:cs="Cambria"/>
          <w:b/>
          <w:bCs/>
          <w:i/>
          <w:iCs/>
        </w:rPr>
        <w:t>Článek 18</w:t>
      </w:r>
    </w:p>
    <w:p w:rsidR="00D4760A" w:rsidRDefault="00D4760A">
      <w:pPr>
        <w:spacing w:line="37" w:lineRule="exact"/>
        <w:rPr>
          <w:sz w:val="20"/>
          <w:szCs w:val="20"/>
        </w:rPr>
      </w:pPr>
    </w:p>
    <w:p w:rsidR="00D4760A" w:rsidRDefault="00B93A8D">
      <w:pPr>
        <w:ind w:right="80"/>
        <w:jc w:val="center"/>
        <w:rPr>
          <w:sz w:val="20"/>
          <w:szCs w:val="20"/>
        </w:rPr>
      </w:pPr>
      <w:r>
        <w:rPr>
          <w:rFonts w:ascii="Cambria" w:eastAsia="Cambria" w:hAnsi="Cambria" w:cs="Cambria"/>
          <w:b/>
          <w:bCs/>
          <w:i/>
          <w:iCs/>
        </w:rPr>
        <w:t>Přesun a změna uznaných nákladů projektu a podpory</w:t>
      </w:r>
    </w:p>
    <w:p w:rsidR="00D4760A" w:rsidRDefault="00D4760A">
      <w:pPr>
        <w:spacing w:line="160" w:lineRule="exact"/>
        <w:rPr>
          <w:sz w:val="20"/>
          <w:szCs w:val="20"/>
        </w:rPr>
      </w:pPr>
    </w:p>
    <w:p w:rsidR="00D4760A" w:rsidRDefault="00B93A8D">
      <w:pPr>
        <w:numPr>
          <w:ilvl w:val="0"/>
          <w:numId w:val="61"/>
        </w:numPr>
        <w:tabs>
          <w:tab w:val="left" w:pos="360"/>
        </w:tabs>
        <w:spacing w:line="276" w:lineRule="auto"/>
        <w:ind w:left="360" w:hanging="360"/>
        <w:jc w:val="both"/>
        <w:rPr>
          <w:rFonts w:ascii="Cambria" w:eastAsia="Cambria" w:hAnsi="Cambria" w:cs="Cambria"/>
          <w:b/>
          <w:bCs/>
        </w:rPr>
      </w:pPr>
      <w:r>
        <w:rPr>
          <w:rFonts w:ascii="Cambria" w:eastAsia="Cambria" w:hAnsi="Cambria" w:cs="Cambria"/>
        </w:rPr>
        <w:t>Uznané náklady a s tím související výše podpory poskytnuté na řešení projektu na celou dobu řešení projektu mohou být změněny v průběhu řešení maximálně o 50 % výše uznaných nákladů nebo výše podpory z veřejných prostředků uvedených ve Smlouvě, jak o nich poskytovatel rozhodl při vyhodnocení veřejné soutěže ve výzkumu, vývoji a inovacích.</w:t>
      </w:r>
    </w:p>
    <w:p w:rsidR="00D4760A" w:rsidRDefault="00D4760A">
      <w:pPr>
        <w:spacing w:line="119" w:lineRule="exact"/>
        <w:rPr>
          <w:rFonts w:ascii="Cambria" w:eastAsia="Cambria" w:hAnsi="Cambria" w:cs="Cambria"/>
          <w:b/>
          <w:bCs/>
        </w:rPr>
      </w:pPr>
    </w:p>
    <w:p w:rsidR="00D4760A" w:rsidRDefault="00B93A8D">
      <w:pPr>
        <w:numPr>
          <w:ilvl w:val="0"/>
          <w:numId w:val="61"/>
        </w:numPr>
        <w:tabs>
          <w:tab w:val="left" w:pos="360"/>
        </w:tabs>
        <w:spacing w:line="276" w:lineRule="auto"/>
        <w:ind w:left="360" w:right="20" w:hanging="360"/>
        <w:rPr>
          <w:rFonts w:ascii="Cambria" w:eastAsia="Cambria" w:hAnsi="Cambria" w:cs="Cambria"/>
          <w:b/>
          <w:bCs/>
        </w:rPr>
      </w:pPr>
      <w:r>
        <w:rPr>
          <w:rFonts w:ascii="Cambria" w:eastAsia="Cambria" w:hAnsi="Cambria" w:cs="Cambria"/>
        </w:rPr>
        <w:t>SME-07 Změnová řízení projektů stanoví postup smluvních stran v případě žádosti hlavního příjemce o změnu ohledně přesunu nebo změny uznaných nákladů projektu a výše podpory.</w:t>
      </w:r>
    </w:p>
    <w:p w:rsidR="00D4760A" w:rsidRDefault="00D4760A">
      <w:pPr>
        <w:spacing w:line="242" w:lineRule="exact"/>
        <w:rPr>
          <w:sz w:val="20"/>
          <w:szCs w:val="20"/>
        </w:rPr>
      </w:pPr>
    </w:p>
    <w:p w:rsidR="00D4760A" w:rsidRDefault="00B93A8D">
      <w:pPr>
        <w:ind w:right="80"/>
        <w:jc w:val="center"/>
        <w:rPr>
          <w:sz w:val="20"/>
          <w:szCs w:val="20"/>
        </w:rPr>
      </w:pPr>
      <w:r>
        <w:rPr>
          <w:rFonts w:ascii="Cambria" w:eastAsia="Cambria" w:hAnsi="Cambria" w:cs="Cambria"/>
          <w:b/>
          <w:bCs/>
          <w:i/>
          <w:iCs/>
        </w:rPr>
        <w:t>Článek 19</w:t>
      </w:r>
    </w:p>
    <w:p w:rsidR="00D4760A" w:rsidRDefault="00D4760A">
      <w:pPr>
        <w:spacing w:line="37" w:lineRule="exact"/>
        <w:rPr>
          <w:sz w:val="20"/>
          <w:szCs w:val="20"/>
        </w:rPr>
      </w:pPr>
    </w:p>
    <w:p w:rsidR="00D4760A" w:rsidRDefault="00B93A8D">
      <w:pPr>
        <w:ind w:right="80"/>
        <w:jc w:val="center"/>
        <w:rPr>
          <w:sz w:val="20"/>
          <w:szCs w:val="20"/>
        </w:rPr>
      </w:pPr>
      <w:r>
        <w:rPr>
          <w:rFonts w:ascii="Cambria" w:eastAsia="Cambria" w:hAnsi="Cambria" w:cs="Cambria"/>
          <w:b/>
          <w:bCs/>
          <w:i/>
          <w:iCs/>
        </w:rPr>
        <w:t>Kontroly a hodnocení</w:t>
      </w:r>
    </w:p>
    <w:p w:rsidR="00D4760A" w:rsidRDefault="00D4760A">
      <w:pPr>
        <w:spacing w:line="160" w:lineRule="exact"/>
        <w:rPr>
          <w:sz w:val="20"/>
          <w:szCs w:val="20"/>
        </w:rPr>
      </w:pPr>
    </w:p>
    <w:p w:rsidR="00D4760A" w:rsidRDefault="00B93A8D">
      <w:pPr>
        <w:rPr>
          <w:sz w:val="20"/>
          <w:szCs w:val="20"/>
        </w:rPr>
      </w:pPr>
      <w:r>
        <w:rPr>
          <w:rFonts w:ascii="Cambria" w:eastAsia="Cambria" w:hAnsi="Cambria" w:cs="Cambria"/>
          <w:b/>
          <w:bCs/>
        </w:rPr>
        <w:t xml:space="preserve">1.  </w:t>
      </w:r>
      <w:r>
        <w:rPr>
          <w:rFonts w:ascii="Cambria" w:eastAsia="Cambria" w:hAnsi="Cambria" w:cs="Cambria"/>
        </w:rPr>
        <w:t>Poskytovatel je oprávněn provádět kdykoliv veřejnosprávní kontrolu v souladu se zákonem</w:t>
      </w:r>
    </w:p>
    <w:p w:rsidR="00D4760A" w:rsidRDefault="00D4760A">
      <w:pPr>
        <w:spacing w:line="37" w:lineRule="exact"/>
        <w:rPr>
          <w:sz w:val="20"/>
          <w:szCs w:val="20"/>
        </w:rPr>
      </w:pPr>
    </w:p>
    <w:p w:rsidR="00D4760A" w:rsidRDefault="00B93A8D">
      <w:pPr>
        <w:spacing w:line="277" w:lineRule="auto"/>
        <w:ind w:left="360"/>
        <w:jc w:val="both"/>
        <w:rPr>
          <w:sz w:val="20"/>
          <w:szCs w:val="20"/>
        </w:rPr>
      </w:pPr>
      <w:r>
        <w:rPr>
          <w:rFonts w:ascii="Cambria" w:eastAsia="Cambria" w:hAnsi="Cambria" w:cs="Cambria"/>
        </w:rPr>
        <w:t xml:space="preserve">č. 320/2001 Sb., o finanční kontrole, postupem podle zákona č. 255/2012 Sb., o kontrole (kontrolní řád), a v minimálním rozsahu stanoveném § 13 ZPVV. Poskytovatel postupuje podle těchto předpisů a podle směrnice </w:t>
      </w:r>
      <w:r>
        <w:rPr>
          <w:rFonts w:ascii="Cambria" w:eastAsia="Cambria" w:hAnsi="Cambria" w:cs="Cambria"/>
          <w:b/>
          <w:bCs/>
        </w:rPr>
        <w:t>SME-22 Veřejnosprávní finanční kontrola</w:t>
      </w:r>
      <w:r>
        <w:rPr>
          <w:rFonts w:ascii="Cambria" w:eastAsia="Cambria" w:hAnsi="Cambria" w:cs="Cambria"/>
        </w:rPr>
        <w:t>.</w:t>
      </w:r>
    </w:p>
    <w:p w:rsidR="00D4760A" w:rsidRDefault="00D4760A">
      <w:pPr>
        <w:spacing w:line="117" w:lineRule="exact"/>
        <w:rPr>
          <w:sz w:val="20"/>
          <w:szCs w:val="20"/>
        </w:rPr>
      </w:pPr>
    </w:p>
    <w:p w:rsidR="00D4760A" w:rsidRDefault="00B93A8D">
      <w:pPr>
        <w:numPr>
          <w:ilvl w:val="0"/>
          <w:numId w:val="62"/>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Poskytovatel je dále oprávněn provádět hodnotící procesy během řešení projektu i po jeho ukončení. Smluvní strany za tímto účelem postupují podle příslušných vnitřních předpisů poskytovatele.</w:t>
      </w:r>
    </w:p>
    <w:p w:rsidR="00D4760A" w:rsidRDefault="00D4760A">
      <w:pPr>
        <w:spacing w:line="123" w:lineRule="exact"/>
        <w:rPr>
          <w:rFonts w:ascii="Cambria" w:eastAsia="Cambria" w:hAnsi="Cambria" w:cs="Cambria"/>
          <w:b/>
          <w:bCs/>
        </w:rPr>
      </w:pPr>
    </w:p>
    <w:p w:rsidR="00D4760A" w:rsidRDefault="00B93A8D">
      <w:pPr>
        <w:numPr>
          <w:ilvl w:val="0"/>
          <w:numId w:val="62"/>
        </w:numPr>
        <w:tabs>
          <w:tab w:val="left" w:pos="360"/>
        </w:tabs>
        <w:spacing w:line="276" w:lineRule="auto"/>
        <w:ind w:left="360" w:hanging="360"/>
        <w:jc w:val="both"/>
        <w:rPr>
          <w:rFonts w:ascii="Cambria" w:eastAsia="Cambria" w:hAnsi="Cambria" w:cs="Cambria"/>
          <w:b/>
          <w:bCs/>
        </w:rPr>
      </w:pPr>
      <w:r>
        <w:rPr>
          <w:rFonts w:ascii="Cambria" w:eastAsia="Cambria" w:hAnsi="Cambria" w:cs="Cambria"/>
        </w:rPr>
        <w:t>Hlavní příjemce je povinen umožnit poskytovateli či jím pověřeným osobám provádět komplexní kontrolu podle tohoto článku a zpřístupnit svou účetní evidenci související přímo či nepřímo s projektem podle ustanovení § 8 odst. 1 ZPVV, a to kdykoli v průběhu řešení projektu nebo do deseti let od ukončení účinnosti této Smlouvy a poskytnout mu při ní potřebnou součinnost. Tímto ujednáním nejsou dotčena ani omezena práva kontrolních a finančních orgánů státní správy České republiky.</w:t>
      </w:r>
    </w:p>
    <w:p w:rsidR="00D4760A" w:rsidRDefault="00D4760A">
      <w:pPr>
        <w:spacing w:line="119" w:lineRule="exact"/>
        <w:rPr>
          <w:rFonts w:ascii="Cambria" w:eastAsia="Cambria" w:hAnsi="Cambria" w:cs="Cambria"/>
          <w:b/>
          <w:bCs/>
        </w:rPr>
      </w:pPr>
    </w:p>
    <w:p w:rsidR="00D4760A" w:rsidRDefault="00B93A8D">
      <w:pPr>
        <w:numPr>
          <w:ilvl w:val="0"/>
          <w:numId w:val="62"/>
        </w:numPr>
        <w:tabs>
          <w:tab w:val="left" w:pos="360"/>
        </w:tabs>
        <w:spacing w:line="276" w:lineRule="auto"/>
        <w:ind w:left="360" w:hanging="360"/>
        <w:rPr>
          <w:rFonts w:ascii="Cambria" w:eastAsia="Cambria" w:hAnsi="Cambria" w:cs="Cambria"/>
          <w:b/>
          <w:bCs/>
        </w:rPr>
      </w:pPr>
      <w:r>
        <w:rPr>
          <w:rFonts w:ascii="Cambria" w:eastAsia="Cambria" w:hAnsi="Cambria" w:cs="Cambria"/>
        </w:rPr>
        <w:t>Pokud si tak poskytovatel vyžádá, předloží hlavní příjemce při kontrole či hodnocení výše uvedené doklady i za dalšího účastníka, které si od něj v dostatečném předstihu obstará.</w:t>
      </w:r>
    </w:p>
    <w:p w:rsidR="00D4760A" w:rsidRDefault="00D4760A">
      <w:pPr>
        <w:spacing w:line="121" w:lineRule="exact"/>
        <w:rPr>
          <w:rFonts w:ascii="Cambria" w:eastAsia="Cambria" w:hAnsi="Cambria" w:cs="Cambria"/>
          <w:b/>
          <w:bCs/>
        </w:rPr>
      </w:pPr>
    </w:p>
    <w:p w:rsidR="00D4760A" w:rsidRDefault="00B93A8D">
      <w:pPr>
        <w:numPr>
          <w:ilvl w:val="0"/>
          <w:numId w:val="62"/>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Příjemce bere na vědomí, že v průběhu realizace veřejné zakázky ve výzkumu, vývoji a inovacích může docházet k hodnocení odborným garantem. Hodnocení odborným garantem není považováno za kontrolní ani hodnotící proces, nepodléhá jejich příslušným pravidlům a ani je nijak nenahrazuje. Příjemce se s odborným garantem může dohodnout na místě provedení hodnocení, přičemž platí to, že nemá povinnost hodnocení odborným garantem umožnit. Příjemce zároveň bere na vědomí, že poskytovatel bude po odborném garantovi vyžadovat veškeré dokumenty s jeho hodnocením spojené, včetně ročního plánu, který do 14 kalendářních dnů po jeho obdržení zašle příjemci na vědomí.</w:t>
      </w:r>
    </w:p>
    <w:p w:rsidR="00D4760A" w:rsidRDefault="00B93A8D">
      <w:pPr>
        <w:spacing w:line="20" w:lineRule="exact"/>
        <w:rPr>
          <w:sz w:val="20"/>
          <w:szCs w:val="20"/>
        </w:rPr>
      </w:pPr>
      <w:r>
        <w:rPr>
          <w:noProof/>
          <w:sz w:val="20"/>
          <w:szCs w:val="20"/>
        </w:rPr>
        <w:drawing>
          <wp:anchor distT="0" distB="0" distL="114300" distR="114300" simplePos="0" relativeHeight="251680256" behindDoc="1" locked="0" layoutInCell="0" allowOverlap="1">
            <wp:simplePos x="0" y="0"/>
            <wp:positionH relativeFrom="column">
              <wp:posOffset>-761365</wp:posOffset>
            </wp:positionH>
            <wp:positionV relativeFrom="paragraph">
              <wp:posOffset>267335</wp:posOffset>
            </wp:positionV>
            <wp:extent cx="3601085" cy="9601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85"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22/23</w:t>
      </w:r>
    </w:p>
    <w:p w:rsidR="00D4760A" w:rsidRDefault="00D4760A">
      <w:pPr>
        <w:sectPr w:rsidR="00D4760A">
          <w:pgSz w:w="11900" w:h="16838"/>
          <w:pgMar w:top="1440" w:right="1126" w:bottom="311" w:left="1200" w:header="0" w:footer="0" w:gutter="0"/>
          <w:cols w:space="708" w:equalWidth="0">
            <w:col w:w="9580"/>
          </w:cols>
        </w:sectPr>
      </w:pPr>
    </w:p>
    <w:p w:rsidR="00D4760A" w:rsidRDefault="00B93A8D">
      <w:pPr>
        <w:spacing w:line="200" w:lineRule="exact"/>
        <w:rPr>
          <w:sz w:val="20"/>
          <w:szCs w:val="20"/>
        </w:rPr>
      </w:pPr>
      <w:r>
        <w:rPr>
          <w:noProof/>
          <w:sz w:val="20"/>
          <w:szCs w:val="20"/>
        </w:rPr>
        <w:lastRenderedPageBreak/>
        <w:drawing>
          <wp:anchor distT="0" distB="0" distL="114300" distR="114300" simplePos="0" relativeHeight="251681280" behindDoc="1" locked="0" layoutInCell="0" allowOverlap="1">
            <wp:simplePos x="0" y="0"/>
            <wp:positionH relativeFrom="page">
              <wp:posOffset>10795</wp:posOffset>
            </wp:positionH>
            <wp:positionV relativeFrom="page">
              <wp:posOffset>10795</wp:posOffset>
            </wp:positionV>
            <wp:extent cx="1440180" cy="144018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40180" cy="144018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39" w:lineRule="exact"/>
        <w:rPr>
          <w:sz w:val="20"/>
          <w:szCs w:val="20"/>
        </w:rPr>
      </w:pPr>
    </w:p>
    <w:p w:rsidR="00D4760A" w:rsidRDefault="00B93A8D">
      <w:pPr>
        <w:ind w:right="80"/>
        <w:jc w:val="center"/>
        <w:rPr>
          <w:sz w:val="20"/>
          <w:szCs w:val="20"/>
        </w:rPr>
      </w:pPr>
      <w:r>
        <w:rPr>
          <w:rFonts w:ascii="Cambria" w:eastAsia="Cambria" w:hAnsi="Cambria" w:cs="Cambria"/>
          <w:b/>
          <w:bCs/>
          <w:sz w:val="28"/>
          <w:szCs w:val="28"/>
        </w:rPr>
        <w:t>ČÁST F – ZÁVĚREČNÁ USTANOVENÍ</w:t>
      </w:r>
    </w:p>
    <w:p w:rsidR="00D4760A" w:rsidRDefault="00D4760A">
      <w:pPr>
        <w:spacing w:line="290" w:lineRule="exact"/>
        <w:rPr>
          <w:sz w:val="20"/>
          <w:szCs w:val="20"/>
        </w:rPr>
      </w:pPr>
    </w:p>
    <w:p w:rsidR="00D4760A" w:rsidRDefault="00B93A8D">
      <w:pPr>
        <w:ind w:right="80"/>
        <w:jc w:val="center"/>
        <w:rPr>
          <w:sz w:val="20"/>
          <w:szCs w:val="20"/>
        </w:rPr>
      </w:pPr>
      <w:r>
        <w:rPr>
          <w:rFonts w:ascii="Cambria" w:eastAsia="Cambria" w:hAnsi="Cambria" w:cs="Cambria"/>
          <w:b/>
          <w:bCs/>
          <w:i/>
          <w:iCs/>
        </w:rPr>
        <w:t>Článek 20</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Spory smluvních stran</w:t>
      </w:r>
    </w:p>
    <w:p w:rsidR="00D4760A" w:rsidRDefault="00D4760A">
      <w:pPr>
        <w:spacing w:line="160" w:lineRule="exact"/>
        <w:rPr>
          <w:sz w:val="20"/>
          <w:szCs w:val="20"/>
        </w:rPr>
      </w:pPr>
    </w:p>
    <w:p w:rsidR="00D4760A" w:rsidRDefault="00B93A8D">
      <w:pPr>
        <w:numPr>
          <w:ilvl w:val="0"/>
          <w:numId w:val="63"/>
        </w:numPr>
        <w:tabs>
          <w:tab w:val="left" w:pos="360"/>
        </w:tabs>
        <w:spacing w:line="274" w:lineRule="auto"/>
        <w:ind w:left="360" w:hanging="360"/>
        <w:rPr>
          <w:rFonts w:ascii="Cambria" w:eastAsia="Cambria" w:hAnsi="Cambria" w:cs="Cambria"/>
          <w:b/>
          <w:bCs/>
        </w:rPr>
      </w:pPr>
      <w:r>
        <w:rPr>
          <w:rFonts w:ascii="Cambria" w:eastAsia="Cambria" w:hAnsi="Cambria" w:cs="Cambria"/>
        </w:rPr>
        <w:t>Spory smluvních stran, vznikající z této Smlouvy a v souvislosti s ní, budou rozhodovány příslušným orgánem, resp. soudem.</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60" w:lineRule="exact"/>
        <w:rPr>
          <w:sz w:val="20"/>
          <w:szCs w:val="20"/>
        </w:rPr>
      </w:pPr>
    </w:p>
    <w:p w:rsidR="00D4760A" w:rsidRDefault="00B93A8D">
      <w:pPr>
        <w:ind w:right="80"/>
        <w:jc w:val="center"/>
        <w:rPr>
          <w:sz w:val="20"/>
          <w:szCs w:val="20"/>
        </w:rPr>
      </w:pPr>
      <w:r>
        <w:rPr>
          <w:rFonts w:ascii="Cambria" w:eastAsia="Cambria" w:hAnsi="Cambria" w:cs="Cambria"/>
          <w:b/>
          <w:bCs/>
          <w:i/>
          <w:iCs/>
        </w:rPr>
        <w:t>Článek 21</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Změny smlouvy</w:t>
      </w:r>
    </w:p>
    <w:p w:rsidR="00D4760A" w:rsidRDefault="00D4760A">
      <w:pPr>
        <w:spacing w:line="160" w:lineRule="exact"/>
        <w:rPr>
          <w:sz w:val="20"/>
          <w:szCs w:val="20"/>
        </w:rPr>
      </w:pPr>
    </w:p>
    <w:p w:rsidR="00D4760A" w:rsidRDefault="00B93A8D">
      <w:pPr>
        <w:numPr>
          <w:ilvl w:val="0"/>
          <w:numId w:val="64"/>
        </w:numPr>
        <w:tabs>
          <w:tab w:val="left" w:pos="360"/>
        </w:tabs>
        <w:spacing w:line="275" w:lineRule="auto"/>
        <w:ind w:left="360" w:hanging="360"/>
        <w:jc w:val="both"/>
        <w:rPr>
          <w:rFonts w:ascii="Cambria" w:eastAsia="Cambria" w:hAnsi="Cambria" w:cs="Cambria"/>
          <w:b/>
          <w:bCs/>
        </w:rPr>
      </w:pPr>
      <w:r>
        <w:rPr>
          <w:rFonts w:ascii="Cambria" w:eastAsia="Cambria" w:hAnsi="Cambria" w:cs="Cambria"/>
        </w:rPr>
        <w:t xml:space="preserve">Smlouva, včetně jejích příloh, může být doplňována, upravována a měněna pouze písemnými, po sobě číslovanými dodatky ke Smlouvě, podepsanými smluvními stranami, s výjimkou těch případů, které jsou uvedeny ve směrnici </w:t>
      </w:r>
      <w:r>
        <w:rPr>
          <w:rFonts w:ascii="Cambria" w:eastAsia="Cambria" w:hAnsi="Cambria" w:cs="Cambria"/>
          <w:b/>
          <w:bCs/>
        </w:rPr>
        <w:t>SME-07 Změnová řízení projektů</w:t>
      </w:r>
      <w:r>
        <w:rPr>
          <w:rFonts w:ascii="Cambria" w:eastAsia="Cambria" w:hAnsi="Cambria" w:cs="Cambria"/>
        </w:rPr>
        <w:t xml:space="preserve"> (v příloze č. 2 této směrnice s názvem Typy změn u realizovaných projektů - způsob jejich posouzení hodnotícími orgány TA ČR) jako případy změn nevyžadující vyhotovení dodatku ke Smlouvě, kde změna nabývá platnosti a účinnosti zasláním schválení změny hlavnímu příjemci. Ústní dohody nejsou pro smluvní strany závazné.</w:t>
      </w:r>
    </w:p>
    <w:p w:rsidR="00D4760A" w:rsidRDefault="00D4760A">
      <w:pPr>
        <w:spacing w:line="127" w:lineRule="exact"/>
        <w:rPr>
          <w:rFonts w:ascii="Cambria" w:eastAsia="Cambria" w:hAnsi="Cambria" w:cs="Cambria"/>
          <w:b/>
          <w:bCs/>
        </w:rPr>
      </w:pPr>
    </w:p>
    <w:p w:rsidR="00D4760A" w:rsidRDefault="00B93A8D">
      <w:pPr>
        <w:numPr>
          <w:ilvl w:val="0"/>
          <w:numId w:val="64"/>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Pokud dochází k jakýmkoliv změnám v návrhu projektu, které nejsou zároveň Závaznými parametry řešení projektu, příjemce o nich informuje poskytovatele až v následující průběžné či závěrečné zprávě a nepodává o nich oznámení či žádost o změnu ve smyslu článku 4 odst. 2 písm. d). Součástí informace o takové změně je i doba, kdy nastala, a odůvodnění.</w:t>
      </w:r>
    </w:p>
    <w:p w:rsidR="00D4760A" w:rsidRDefault="00D4760A">
      <w:pPr>
        <w:spacing w:line="123" w:lineRule="exact"/>
        <w:rPr>
          <w:rFonts w:ascii="Cambria" w:eastAsia="Cambria" w:hAnsi="Cambria" w:cs="Cambria"/>
          <w:b/>
          <w:bCs/>
        </w:rPr>
      </w:pPr>
    </w:p>
    <w:p w:rsidR="00D4760A" w:rsidRDefault="00B93A8D">
      <w:pPr>
        <w:numPr>
          <w:ilvl w:val="0"/>
          <w:numId w:val="64"/>
        </w:numPr>
        <w:tabs>
          <w:tab w:val="left" w:pos="360"/>
        </w:tabs>
        <w:spacing w:line="275" w:lineRule="auto"/>
        <w:ind w:left="360" w:hanging="360"/>
        <w:jc w:val="both"/>
        <w:rPr>
          <w:rFonts w:ascii="Cambria" w:eastAsia="Cambria" w:hAnsi="Cambria" w:cs="Cambria"/>
          <w:b/>
          <w:bCs/>
        </w:rPr>
      </w:pPr>
      <w:r>
        <w:rPr>
          <w:rFonts w:ascii="Cambria" w:eastAsia="Cambria" w:hAnsi="Cambria" w:cs="Cambria"/>
        </w:rPr>
        <w:t>Předchozí odstavec dopadá i na případy, kdy dojde ke vzniku výsledků, které nejsou uvedeny jako deklarované v Závazných parametrech řešení projektu, nicméně vznikají během řešení projektu za účelem dosažení těchto deklarovaných výsledků.</w:t>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59" w:lineRule="exact"/>
        <w:rPr>
          <w:sz w:val="20"/>
          <w:szCs w:val="20"/>
        </w:rPr>
      </w:pPr>
    </w:p>
    <w:p w:rsidR="00D4760A" w:rsidRDefault="00B93A8D">
      <w:pPr>
        <w:ind w:right="80"/>
        <w:jc w:val="center"/>
        <w:rPr>
          <w:sz w:val="20"/>
          <w:szCs w:val="20"/>
        </w:rPr>
      </w:pPr>
      <w:r>
        <w:rPr>
          <w:rFonts w:ascii="Cambria" w:eastAsia="Cambria" w:hAnsi="Cambria" w:cs="Cambria"/>
          <w:b/>
          <w:bCs/>
          <w:i/>
          <w:iCs/>
        </w:rPr>
        <w:t>Článek 22</w:t>
      </w:r>
    </w:p>
    <w:p w:rsidR="00D4760A" w:rsidRDefault="00D4760A">
      <w:pPr>
        <w:spacing w:line="40" w:lineRule="exact"/>
        <w:rPr>
          <w:sz w:val="20"/>
          <w:szCs w:val="20"/>
        </w:rPr>
      </w:pPr>
    </w:p>
    <w:p w:rsidR="00D4760A" w:rsidRDefault="00B93A8D">
      <w:pPr>
        <w:ind w:right="80"/>
        <w:jc w:val="center"/>
        <w:rPr>
          <w:sz w:val="20"/>
          <w:szCs w:val="20"/>
        </w:rPr>
      </w:pPr>
      <w:r>
        <w:rPr>
          <w:rFonts w:ascii="Cambria" w:eastAsia="Cambria" w:hAnsi="Cambria" w:cs="Cambria"/>
          <w:b/>
          <w:bCs/>
          <w:i/>
          <w:iCs/>
        </w:rPr>
        <w:t>Ukončení platnosti Smlouvy</w:t>
      </w:r>
    </w:p>
    <w:p w:rsidR="00D4760A" w:rsidRDefault="00D4760A">
      <w:pPr>
        <w:spacing w:line="158" w:lineRule="exact"/>
        <w:rPr>
          <w:sz w:val="20"/>
          <w:szCs w:val="20"/>
        </w:rPr>
      </w:pPr>
    </w:p>
    <w:p w:rsidR="00D4760A" w:rsidRDefault="00B93A8D">
      <w:pPr>
        <w:numPr>
          <w:ilvl w:val="0"/>
          <w:numId w:val="65"/>
        </w:numPr>
        <w:tabs>
          <w:tab w:val="left" w:pos="360"/>
        </w:tabs>
        <w:spacing w:line="276" w:lineRule="auto"/>
        <w:ind w:left="360" w:hanging="360"/>
        <w:rPr>
          <w:rFonts w:ascii="Cambria" w:eastAsia="Cambria" w:hAnsi="Cambria" w:cs="Cambria"/>
          <w:b/>
          <w:bCs/>
        </w:rPr>
      </w:pPr>
      <w:r>
        <w:rPr>
          <w:rFonts w:ascii="Cambria" w:eastAsia="Cambria" w:hAnsi="Cambria" w:cs="Cambria"/>
        </w:rPr>
        <w:t>Platnost Smlouvy je ukončena po 3 letech ode dne ukončení řešení projektu, pokud se smluvní strany nedohodnou na jejím prodloužení.</w:t>
      </w:r>
    </w:p>
    <w:p w:rsidR="00D4760A" w:rsidRDefault="00D4760A">
      <w:pPr>
        <w:spacing w:line="121" w:lineRule="exact"/>
        <w:rPr>
          <w:rFonts w:ascii="Cambria" w:eastAsia="Cambria" w:hAnsi="Cambria" w:cs="Cambria"/>
          <w:b/>
          <w:bCs/>
        </w:rPr>
      </w:pPr>
    </w:p>
    <w:p w:rsidR="00D4760A" w:rsidRDefault="00B93A8D">
      <w:pPr>
        <w:numPr>
          <w:ilvl w:val="0"/>
          <w:numId w:val="65"/>
        </w:numPr>
        <w:tabs>
          <w:tab w:val="left" w:pos="360"/>
        </w:tabs>
        <w:ind w:left="360" w:hanging="360"/>
        <w:rPr>
          <w:rFonts w:ascii="Cambria" w:eastAsia="Cambria" w:hAnsi="Cambria" w:cs="Cambria"/>
          <w:b/>
          <w:bCs/>
        </w:rPr>
      </w:pPr>
      <w:r>
        <w:rPr>
          <w:rFonts w:ascii="Cambria" w:eastAsia="Cambria" w:hAnsi="Cambria" w:cs="Cambria"/>
        </w:rPr>
        <w:t>Platnost Smlouvy je ukončena rovněž výpovědí nebo odstoupením.</w:t>
      </w:r>
    </w:p>
    <w:p w:rsidR="00D4760A" w:rsidRDefault="00D4760A">
      <w:pPr>
        <w:spacing w:line="157" w:lineRule="exact"/>
        <w:rPr>
          <w:rFonts w:ascii="Cambria" w:eastAsia="Cambria" w:hAnsi="Cambria" w:cs="Cambria"/>
          <w:b/>
          <w:bCs/>
        </w:rPr>
      </w:pPr>
    </w:p>
    <w:p w:rsidR="00D4760A" w:rsidRDefault="00B93A8D">
      <w:pPr>
        <w:numPr>
          <w:ilvl w:val="0"/>
          <w:numId w:val="65"/>
        </w:numPr>
        <w:tabs>
          <w:tab w:val="left" w:pos="360"/>
        </w:tabs>
        <w:spacing w:line="276" w:lineRule="auto"/>
        <w:ind w:left="360" w:hanging="360"/>
        <w:jc w:val="both"/>
        <w:rPr>
          <w:rFonts w:ascii="Cambria" w:eastAsia="Cambria" w:hAnsi="Cambria" w:cs="Cambria"/>
          <w:b/>
          <w:bCs/>
        </w:rPr>
      </w:pPr>
      <w:r>
        <w:rPr>
          <w:rFonts w:ascii="Cambria" w:eastAsia="Cambria" w:hAnsi="Cambria" w:cs="Cambria"/>
        </w:rPr>
        <w:t>Doba platnosti Smlouvy zahrnuje dobu řešení projektu a následující období potřebné pro vyhodnocení výsledků řešení projektu, včetně vypořádání poskytnuté podpory podle rozpočtových pravidel, které není delší než 180 kalendářních dnů ode dne ukončení řešení projektu. Doba platnosti Smlouvy však nezahrnuje dobu řešení projektu, která předchází podpisu obou smluvních stran. Článek 16 odst. 4 není zněním tohoto odstavce dotčen.</w:t>
      </w:r>
    </w:p>
    <w:p w:rsidR="00D4760A" w:rsidRDefault="00B93A8D">
      <w:pPr>
        <w:spacing w:line="20" w:lineRule="exact"/>
        <w:rPr>
          <w:sz w:val="20"/>
          <w:szCs w:val="20"/>
        </w:rPr>
      </w:pPr>
      <w:r>
        <w:rPr>
          <w:noProof/>
          <w:sz w:val="20"/>
          <w:szCs w:val="20"/>
        </w:rPr>
        <w:drawing>
          <wp:anchor distT="0" distB="0" distL="114300" distR="114300" simplePos="0" relativeHeight="251682304" behindDoc="1" locked="0" layoutInCell="0" allowOverlap="1">
            <wp:simplePos x="0" y="0"/>
            <wp:positionH relativeFrom="column">
              <wp:posOffset>-761365</wp:posOffset>
            </wp:positionH>
            <wp:positionV relativeFrom="paragraph">
              <wp:posOffset>548005</wp:posOffset>
            </wp:positionV>
            <wp:extent cx="3601085" cy="9601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blip>
                    <a:srcRect/>
                    <a:stretch>
                      <a:fillRect/>
                    </a:stretch>
                  </pic:blipFill>
                  <pic:spPr bwMode="auto">
                    <a:xfrm>
                      <a:off x="0" y="0"/>
                      <a:ext cx="3601085" cy="960120"/>
                    </a:xfrm>
                    <a:prstGeom prst="rect">
                      <a:avLst/>
                    </a:prstGeom>
                    <a:noFill/>
                  </pic:spPr>
                </pic:pic>
              </a:graphicData>
            </a:graphic>
          </wp:anchor>
        </w:drawing>
      </w: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200" w:lineRule="exact"/>
        <w:rPr>
          <w:sz w:val="20"/>
          <w:szCs w:val="20"/>
        </w:rPr>
      </w:pPr>
    </w:p>
    <w:p w:rsidR="00D4760A" w:rsidRDefault="00D4760A">
      <w:pPr>
        <w:spacing w:line="327" w:lineRule="exact"/>
        <w:rPr>
          <w:sz w:val="20"/>
          <w:szCs w:val="20"/>
        </w:rPr>
      </w:pPr>
    </w:p>
    <w:p w:rsidR="00D4760A" w:rsidRDefault="00B93A8D">
      <w:pPr>
        <w:jc w:val="right"/>
        <w:rPr>
          <w:sz w:val="20"/>
          <w:szCs w:val="20"/>
        </w:rPr>
      </w:pPr>
      <w:r>
        <w:rPr>
          <w:rFonts w:ascii="Cambria" w:eastAsia="Cambria" w:hAnsi="Cambria" w:cs="Cambria"/>
          <w:sz w:val="16"/>
          <w:szCs w:val="16"/>
        </w:rPr>
        <w:t>F-211, Verze 5</w:t>
      </w:r>
    </w:p>
    <w:p w:rsidR="00D4760A" w:rsidRDefault="00D4760A">
      <w:pPr>
        <w:spacing w:line="2" w:lineRule="exact"/>
        <w:rPr>
          <w:sz w:val="20"/>
          <w:szCs w:val="20"/>
        </w:rPr>
      </w:pPr>
    </w:p>
    <w:p w:rsidR="00D4760A" w:rsidRDefault="00B93A8D">
      <w:pPr>
        <w:jc w:val="right"/>
        <w:rPr>
          <w:sz w:val="20"/>
          <w:szCs w:val="20"/>
        </w:rPr>
      </w:pPr>
      <w:r>
        <w:rPr>
          <w:rFonts w:ascii="Cambria" w:eastAsia="Cambria" w:hAnsi="Cambria" w:cs="Cambria"/>
          <w:sz w:val="16"/>
          <w:szCs w:val="16"/>
        </w:rPr>
        <w:t>Veřejný</w:t>
      </w:r>
    </w:p>
    <w:p w:rsidR="00D4760A" w:rsidRDefault="00B93A8D">
      <w:pPr>
        <w:jc w:val="right"/>
        <w:rPr>
          <w:sz w:val="20"/>
          <w:szCs w:val="20"/>
        </w:rPr>
      </w:pPr>
      <w:r>
        <w:rPr>
          <w:rFonts w:ascii="Cambria" w:eastAsia="Cambria" w:hAnsi="Cambria" w:cs="Cambria"/>
          <w:sz w:val="16"/>
          <w:szCs w:val="16"/>
        </w:rPr>
        <w:t>Strana 23/23</w:t>
      </w:r>
    </w:p>
    <w:sectPr w:rsidR="00D4760A">
      <w:pgSz w:w="11900" w:h="16838"/>
      <w:pgMar w:top="1440" w:right="1126" w:bottom="311" w:left="1200" w:header="0" w:footer="0" w:gutter="0"/>
      <w:cols w:space="708" w:equalWidth="0">
        <w:col w:w="9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822"/>
    <w:multiLevelType w:val="hybridMultilevel"/>
    <w:tmpl w:val="6C929AF0"/>
    <w:lvl w:ilvl="0" w:tplc="8EE8BCE0">
      <w:start w:val="1"/>
      <w:numFmt w:val="decimal"/>
      <w:lvlText w:val="%1."/>
      <w:lvlJc w:val="left"/>
    </w:lvl>
    <w:lvl w:ilvl="1" w:tplc="5224A162">
      <w:start w:val="1"/>
      <w:numFmt w:val="lowerLetter"/>
      <w:lvlText w:val="%2"/>
      <w:lvlJc w:val="left"/>
    </w:lvl>
    <w:lvl w:ilvl="2" w:tplc="C66E245C">
      <w:numFmt w:val="decimal"/>
      <w:lvlText w:val=""/>
      <w:lvlJc w:val="left"/>
    </w:lvl>
    <w:lvl w:ilvl="3" w:tplc="2B0A8AC0">
      <w:numFmt w:val="decimal"/>
      <w:lvlText w:val=""/>
      <w:lvlJc w:val="left"/>
    </w:lvl>
    <w:lvl w:ilvl="4" w:tplc="6308A50C">
      <w:numFmt w:val="decimal"/>
      <w:lvlText w:val=""/>
      <w:lvlJc w:val="left"/>
    </w:lvl>
    <w:lvl w:ilvl="5" w:tplc="364C66CA">
      <w:numFmt w:val="decimal"/>
      <w:lvlText w:val=""/>
      <w:lvlJc w:val="left"/>
    </w:lvl>
    <w:lvl w:ilvl="6" w:tplc="CF963526">
      <w:numFmt w:val="decimal"/>
      <w:lvlText w:val=""/>
      <w:lvlJc w:val="left"/>
    </w:lvl>
    <w:lvl w:ilvl="7" w:tplc="494C5F76">
      <w:numFmt w:val="decimal"/>
      <w:lvlText w:val=""/>
      <w:lvlJc w:val="left"/>
    </w:lvl>
    <w:lvl w:ilvl="8" w:tplc="AF48F99E">
      <w:numFmt w:val="decimal"/>
      <w:lvlText w:val=""/>
      <w:lvlJc w:val="left"/>
    </w:lvl>
  </w:abstractNum>
  <w:abstractNum w:abstractNumId="1" w15:restartNumberingAfterBreak="0">
    <w:nsid w:val="00000902"/>
    <w:multiLevelType w:val="hybridMultilevel"/>
    <w:tmpl w:val="F468EE16"/>
    <w:lvl w:ilvl="0" w:tplc="4432BD6E">
      <w:start w:val="2"/>
      <w:numFmt w:val="decimal"/>
      <w:lvlText w:val="%1."/>
      <w:lvlJc w:val="left"/>
    </w:lvl>
    <w:lvl w:ilvl="1" w:tplc="A9D62122">
      <w:numFmt w:val="decimal"/>
      <w:lvlText w:val=""/>
      <w:lvlJc w:val="left"/>
    </w:lvl>
    <w:lvl w:ilvl="2" w:tplc="57D01AEE">
      <w:numFmt w:val="decimal"/>
      <w:lvlText w:val=""/>
      <w:lvlJc w:val="left"/>
    </w:lvl>
    <w:lvl w:ilvl="3" w:tplc="7B669C7E">
      <w:numFmt w:val="decimal"/>
      <w:lvlText w:val=""/>
      <w:lvlJc w:val="left"/>
    </w:lvl>
    <w:lvl w:ilvl="4" w:tplc="221A8998">
      <w:numFmt w:val="decimal"/>
      <w:lvlText w:val=""/>
      <w:lvlJc w:val="left"/>
    </w:lvl>
    <w:lvl w:ilvl="5" w:tplc="ED12747E">
      <w:numFmt w:val="decimal"/>
      <w:lvlText w:val=""/>
      <w:lvlJc w:val="left"/>
    </w:lvl>
    <w:lvl w:ilvl="6" w:tplc="7602A992">
      <w:numFmt w:val="decimal"/>
      <w:lvlText w:val=""/>
      <w:lvlJc w:val="left"/>
    </w:lvl>
    <w:lvl w:ilvl="7" w:tplc="BCFC952E">
      <w:numFmt w:val="decimal"/>
      <w:lvlText w:val=""/>
      <w:lvlJc w:val="left"/>
    </w:lvl>
    <w:lvl w:ilvl="8" w:tplc="7A268308">
      <w:numFmt w:val="decimal"/>
      <w:lvlText w:val=""/>
      <w:lvlJc w:val="left"/>
    </w:lvl>
  </w:abstractNum>
  <w:abstractNum w:abstractNumId="2" w15:restartNumberingAfterBreak="0">
    <w:nsid w:val="00000DDC"/>
    <w:multiLevelType w:val="hybridMultilevel"/>
    <w:tmpl w:val="9A008DE0"/>
    <w:lvl w:ilvl="0" w:tplc="771CDEF6">
      <w:start w:val="1"/>
      <w:numFmt w:val="decimal"/>
      <w:lvlText w:val="%1"/>
      <w:lvlJc w:val="left"/>
    </w:lvl>
    <w:lvl w:ilvl="1" w:tplc="2EF008F6">
      <w:start w:val="2"/>
      <w:numFmt w:val="lowerLetter"/>
      <w:lvlText w:val="%2)"/>
      <w:lvlJc w:val="left"/>
    </w:lvl>
    <w:lvl w:ilvl="2" w:tplc="445AB180">
      <w:numFmt w:val="decimal"/>
      <w:lvlText w:val=""/>
      <w:lvlJc w:val="left"/>
    </w:lvl>
    <w:lvl w:ilvl="3" w:tplc="24728AA4">
      <w:numFmt w:val="decimal"/>
      <w:lvlText w:val=""/>
      <w:lvlJc w:val="left"/>
    </w:lvl>
    <w:lvl w:ilvl="4" w:tplc="1C843EC6">
      <w:numFmt w:val="decimal"/>
      <w:lvlText w:val=""/>
      <w:lvlJc w:val="left"/>
    </w:lvl>
    <w:lvl w:ilvl="5" w:tplc="A7526C10">
      <w:numFmt w:val="decimal"/>
      <w:lvlText w:val=""/>
      <w:lvlJc w:val="left"/>
    </w:lvl>
    <w:lvl w:ilvl="6" w:tplc="FD041A62">
      <w:numFmt w:val="decimal"/>
      <w:lvlText w:val=""/>
      <w:lvlJc w:val="left"/>
    </w:lvl>
    <w:lvl w:ilvl="7" w:tplc="A7201922">
      <w:numFmt w:val="decimal"/>
      <w:lvlText w:val=""/>
      <w:lvlJc w:val="left"/>
    </w:lvl>
    <w:lvl w:ilvl="8" w:tplc="9998E762">
      <w:numFmt w:val="decimal"/>
      <w:lvlText w:val=""/>
      <w:lvlJc w:val="left"/>
    </w:lvl>
  </w:abstractNum>
  <w:abstractNum w:abstractNumId="3" w15:restartNumberingAfterBreak="0">
    <w:nsid w:val="00000FBF"/>
    <w:multiLevelType w:val="hybridMultilevel"/>
    <w:tmpl w:val="DC487754"/>
    <w:lvl w:ilvl="0" w:tplc="715C3FA6">
      <w:start w:val="1"/>
      <w:numFmt w:val="decimal"/>
      <w:lvlText w:val="%1."/>
      <w:lvlJc w:val="left"/>
    </w:lvl>
    <w:lvl w:ilvl="1" w:tplc="4F083A90">
      <w:numFmt w:val="decimal"/>
      <w:lvlText w:val=""/>
      <w:lvlJc w:val="left"/>
    </w:lvl>
    <w:lvl w:ilvl="2" w:tplc="173EF262">
      <w:numFmt w:val="decimal"/>
      <w:lvlText w:val=""/>
      <w:lvlJc w:val="left"/>
    </w:lvl>
    <w:lvl w:ilvl="3" w:tplc="5E182B50">
      <w:numFmt w:val="decimal"/>
      <w:lvlText w:val=""/>
      <w:lvlJc w:val="left"/>
    </w:lvl>
    <w:lvl w:ilvl="4" w:tplc="03C619FC">
      <w:numFmt w:val="decimal"/>
      <w:lvlText w:val=""/>
      <w:lvlJc w:val="left"/>
    </w:lvl>
    <w:lvl w:ilvl="5" w:tplc="1C2C2514">
      <w:numFmt w:val="decimal"/>
      <w:lvlText w:val=""/>
      <w:lvlJc w:val="left"/>
    </w:lvl>
    <w:lvl w:ilvl="6" w:tplc="B2D673EE">
      <w:numFmt w:val="decimal"/>
      <w:lvlText w:val=""/>
      <w:lvlJc w:val="left"/>
    </w:lvl>
    <w:lvl w:ilvl="7" w:tplc="EF52B3CC">
      <w:numFmt w:val="decimal"/>
      <w:lvlText w:val=""/>
      <w:lvlJc w:val="left"/>
    </w:lvl>
    <w:lvl w:ilvl="8" w:tplc="0BE24CEC">
      <w:numFmt w:val="decimal"/>
      <w:lvlText w:val=""/>
      <w:lvlJc w:val="left"/>
    </w:lvl>
  </w:abstractNum>
  <w:abstractNum w:abstractNumId="4" w15:restartNumberingAfterBreak="0">
    <w:nsid w:val="0000121F"/>
    <w:multiLevelType w:val="hybridMultilevel"/>
    <w:tmpl w:val="1702EB16"/>
    <w:lvl w:ilvl="0" w:tplc="36F6E4A4">
      <w:start w:val="1"/>
      <w:numFmt w:val="decimal"/>
      <w:lvlText w:val="%1"/>
      <w:lvlJc w:val="left"/>
    </w:lvl>
    <w:lvl w:ilvl="1" w:tplc="1E006582">
      <w:start w:val="22"/>
      <w:numFmt w:val="lowerLetter"/>
      <w:lvlText w:val="%2"/>
      <w:lvlJc w:val="left"/>
    </w:lvl>
    <w:lvl w:ilvl="2" w:tplc="916EB38A">
      <w:numFmt w:val="decimal"/>
      <w:lvlText w:val=""/>
      <w:lvlJc w:val="left"/>
    </w:lvl>
    <w:lvl w:ilvl="3" w:tplc="4FDC26FA">
      <w:numFmt w:val="decimal"/>
      <w:lvlText w:val=""/>
      <w:lvlJc w:val="left"/>
    </w:lvl>
    <w:lvl w:ilvl="4" w:tplc="A886C7C2">
      <w:numFmt w:val="decimal"/>
      <w:lvlText w:val=""/>
      <w:lvlJc w:val="left"/>
    </w:lvl>
    <w:lvl w:ilvl="5" w:tplc="047A3EC6">
      <w:numFmt w:val="decimal"/>
      <w:lvlText w:val=""/>
      <w:lvlJc w:val="left"/>
    </w:lvl>
    <w:lvl w:ilvl="6" w:tplc="87A2C176">
      <w:numFmt w:val="decimal"/>
      <w:lvlText w:val=""/>
      <w:lvlJc w:val="left"/>
    </w:lvl>
    <w:lvl w:ilvl="7" w:tplc="6C100216">
      <w:numFmt w:val="decimal"/>
      <w:lvlText w:val=""/>
      <w:lvlJc w:val="left"/>
    </w:lvl>
    <w:lvl w:ilvl="8" w:tplc="476EA806">
      <w:numFmt w:val="decimal"/>
      <w:lvlText w:val=""/>
      <w:lvlJc w:val="left"/>
    </w:lvl>
  </w:abstractNum>
  <w:abstractNum w:abstractNumId="5" w15:restartNumberingAfterBreak="0">
    <w:nsid w:val="000012E1"/>
    <w:multiLevelType w:val="hybridMultilevel"/>
    <w:tmpl w:val="F72A9F24"/>
    <w:lvl w:ilvl="0" w:tplc="D8666A8E">
      <w:start w:val="1"/>
      <w:numFmt w:val="decimal"/>
      <w:lvlText w:val="%1"/>
      <w:lvlJc w:val="left"/>
    </w:lvl>
    <w:lvl w:ilvl="1" w:tplc="2996C514">
      <w:start w:val="22"/>
      <w:numFmt w:val="lowerLetter"/>
      <w:lvlText w:val="%2"/>
      <w:lvlJc w:val="left"/>
    </w:lvl>
    <w:lvl w:ilvl="2" w:tplc="3BE05C70">
      <w:numFmt w:val="decimal"/>
      <w:lvlText w:val=""/>
      <w:lvlJc w:val="left"/>
    </w:lvl>
    <w:lvl w:ilvl="3" w:tplc="CF88460A">
      <w:numFmt w:val="decimal"/>
      <w:lvlText w:val=""/>
      <w:lvlJc w:val="left"/>
    </w:lvl>
    <w:lvl w:ilvl="4" w:tplc="79FC3098">
      <w:numFmt w:val="decimal"/>
      <w:lvlText w:val=""/>
      <w:lvlJc w:val="left"/>
    </w:lvl>
    <w:lvl w:ilvl="5" w:tplc="B1ACAF22">
      <w:numFmt w:val="decimal"/>
      <w:lvlText w:val=""/>
      <w:lvlJc w:val="left"/>
    </w:lvl>
    <w:lvl w:ilvl="6" w:tplc="357E7482">
      <w:numFmt w:val="decimal"/>
      <w:lvlText w:val=""/>
      <w:lvlJc w:val="left"/>
    </w:lvl>
    <w:lvl w:ilvl="7" w:tplc="0BC4B45A">
      <w:numFmt w:val="decimal"/>
      <w:lvlText w:val=""/>
      <w:lvlJc w:val="left"/>
    </w:lvl>
    <w:lvl w:ilvl="8" w:tplc="6F84ADD2">
      <w:numFmt w:val="decimal"/>
      <w:lvlText w:val=""/>
      <w:lvlJc w:val="left"/>
    </w:lvl>
  </w:abstractNum>
  <w:abstractNum w:abstractNumId="6" w15:restartNumberingAfterBreak="0">
    <w:nsid w:val="00001366"/>
    <w:multiLevelType w:val="hybridMultilevel"/>
    <w:tmpl w:val="0BF07C96"/>
    <w:lvl w:ilvl="0" w:tplc="0972ABAE">
      <w:start w:val="1"/>
      <w:numFmt w:val="decimal"/>
      <w:lvlText w:val="%1."/>
      <w:lvlJc w:val="left"/>
    </w:lvl>
    <w:lvl w:ilvl="1" w:tplc="C908C654">
      <w:start w:val="1"/>
      <w:numFmt w:val="lowerLetter"/>
      <w:lvlText w:val="%2)"/>
      <w:lvlJc w:val="left"/>
    </w:lvl>
    <w:lvl w:ilvl="2" w:tplc="283E307E">
      <w:numFmt w:val="decimal"/>
      <w:lvlText w:val=""/>
      <w:lvlJc w:val="left"/>
    </w:lvl>
    <w:lvl w:ilvl="3" w:tplc="CECE7230">
      <w:numFmt w:val="decimal"/>
      <w:lvlText w:val=""/>
      <w:lvlJc w:val="left"/>
    </w:lvl>
    <w:lvl w:ilvl="4" w:tplc="3BB2A1D8">
      <w:numFmt w:val="decimal"/>
      <w:lvlText w:val=""/>
      <w:lvlJc w:val="left"/>
    </w:lvl>
    <w:lvl w:ilvl="5" w:tplc="53B48A20">
      <w:numFmt w:val="decimal"/>
      <w:lvlText w:val=""/>
      <w:lvlJc w:val="left"/>
    </w:lvl>
    <w:lvl w:ilvl="6" w:tplc="98CAE388">
      <w:numFmt w:val="decimal"/>
      <w:lvlText w:val=""/>
      <w:lvlJc w:val="left"/>
    </w:lvl>
    <w:lvl w:ilvl="7" w:tplc="88B8A36E">
      <w:numFmt w:val="decimal"/>
      <w:lvlText w:val=""/>
      <w:lvlJc w:val="left"/>
    </w:lvl>
    <w:lvl w:ilvl="8" w:tplc="55DE7CBA">
      <w:numFmt w:val="decimal"/>
      <w:lvlText w:val=""/>
      <w:lvlJc w:val="left"/>
    </w:lvl>
  </w:abstractNum>
  <w:abstractNum w:abstractNumId="7" w15:restartNumberingAfterBreak="0">
    <w:nsid w:val="0000139D"/>
    <w:multiLevelType w:val="hybridMultilevel"/>
    <w:tmpl w:val="2DEAD00C"/>
    <w:lvl w:ilvl="0" w:tplc="08EA67F2">
      <w:start w:val="5"/>
      <w:numFmt w:val="decimal"/>
      <w:lvlText w:val="%1."/>
      <w:lvlJc w:val="left"/>
    </w:lvl>
    <w:lvl w:ilvl="1" w:tplc="2B76B6C4">
      <w:numFmt w:val="decimal"/>
      <w:lvlText w:val=""/>
      <w:lvlJc w:val="left"/>
    </w:lvl>
    <w:lvl w:ilvl="2" w:tplc="0380994E">
      <w:numFmt w:val="decimal"/>
      <w:lvlText w:val=""/>
      <w:lvlJc w:val="left"/>
    </w:lvl>
    <w:lvl w:ilvl="3" w:tplc="D99E05FC">
      <w:numFmt w:val="decimal"/>
      <w:lvlText w:val=""/>
      <w:lvlJc w:val="left"/>
    </w:lvl>
    <w:lvl w:ilvl="4" w:tplc="EE04BA40">
      <w:numFmt w:val="decimal"/>
      <w:lvlText w:val=""/>
      <w:lvlJc w:val="left"/>
    </w:lvl>
    <w:lvl w:ilvl="5" w:tplc="CB46F592">
      <w:numFmt w:val="decimal"/>
      <w:lvlText w:val=""/>
      <w:lvlJc w:val="left"/>
    </w:lvl>
    <w:lvl w:ilvl="6" w:tplc="6610D920">
      <w:numFmt w:val="decimal"/>
      <w:lvlText w:val=""/>
      <w:lvlJc w:val="left"/>
    </w:lvl>
    <w:lvl w:ilvl="7" w:tplc="47CA639E">
      <w:numFmt w:val="decimal"/>
      <w:lvlText w:val=""/>
      <w:lvlJc w:val="left"/>
    </w:lvl>
    <w:lvl w:ilvl="8" w:tplc="FF3A0116">
      <w:numFmt w:val="decimal"/>
      <w:lvlText w:val=""/>
      <w:lvlJc w:val="left"/>
    </w:lvl>
  </w:abstractNum>
  <w:abstractNum w:abstractNumId="8" w15:restartNumberingAfterBreak="0">
    <w:nsid w:val="000013E9"/>
    <w:multiLevelType w:val="hybridMultilevel"/>
    <w:tmpl w:val="AC4093CC"/>
    <w:lvl w:ilvl="0" w:tplc="927C2180">
      <w:start w:val="2"/>
      <w:numFmt w:val="decimal"/>
      <w:lvlText w:val="%1"/>
      <w:lvlJc w:val="left"/>
    </w:lvl>
    <w:lvl w:ilvl="1" w:tplc="8208F7DA">
      <w:numFmt w:val="decimal"/>
      <w:lvlText w:val=""/>
      <w:lvlJc w:val="left"/>
    </w:lvl>
    <w:lvl w:ilvl="2" w:tplc="16DC5F8A">
      <w:numFmt w:val="decimal"/>
      <w:lvlText w:val=""/>
      <w:lvlJc w:val="left"/>
    </w:lvl>
    <w:lvl w:ilvl="3" w:tplc="CA2C76F8">
      <w:numFmt w:val="decimal"/>
      <w:lvlText w:val=""/>
      <w:lvlJc w:val="left"/>
    </w:lvl>
    <w:lvl w:ilvl="4" w:tplc="A8B80B54">
      <w:numFmt w:val="decimal"/>
      <w:lvlText w:val=""/>
      <w:lvlJc w:val="left"/>
    </w:lvl>
    <w:lvl w:ilvl="5" w:tplc="F04E96E4">
      <w:numFmt w:val="decimal"/>
      <w:lvlText w:val=""/>
      <w:lvlJc w:val="left"/>
    </w:lvl>
    <w:lvl w:ilvl="6" w:tplc="4484D966">
      <w:numFmt w:val="decimal"/>
      <w:lvlText w:val=""/>
      <w:lvlJc w:val="left"/>
    </w:lvl>
    <w:lvl w:ilvl="7" w:tplc="A95C9AE4">
      <w:numFmt w:val="decimal"/>
      <w:lvlText w:val=""/>
      <w:lvlJc w:val="left"/>
    </w:lvl>
    <w:lvl w:ilvl="8" w:tplc="9AAA1898">
      <w:numFmt w:val="decimal"/>
      <w:lvlText w:val=""/>
      <w:lvlJc w:val="left"/>
    </w:lvl>
  </w:abstractNum>
  <w:abstractNum w:abstractNumId="9" w15:restartNumberingAfterBreak="0">
    <w:nsid w:val="000015A1"/>
    <w:multiLevelType w:val="hybridMultilevel"/>
    <w:tmpl w:val="452642F0"/>
    <w:lvl w:ilvl="0" w:tplc="6F908378">
      <w:start w:val="2"/>
      <w:numFmt w:val="decimal"/>
      <w:lvlText w:val="%1."/>
      <w:lvlJc w:val="left"/>
    </w:lvl>
    <w:lvl w:ilvl="1" w:tplc="1FB83A3C">
      <w:numFmt w:val="decimal"/>
      <w:lvlText w:val=""/>
      <w:lvlJc w:val="left"/>
    </w:lvl>
    <w:lvl w:ilvl="2" w:tplc="692AD9EC">
      <w:numFmt w:val="decimal"/>
      <w:lvlText w:val=""/>
      <w:lvlJc w:val="left"/>
    </w:lvl>
    <w:lvl w:ilvl="3" w:tplc="F3B02D38">
      <w:numFmt w:val="decimal"/>
      <w:lvlText w:val=""/>
      <w:lvlJc w:val="left"/>
    </w:lvl>
    <w:lvl w:ilvl="4" w:tplc="3BEAF6C6">
      <w:numFmt w:val="decimal"/>
      <w:lvlText w:val=""/>
      <w:lvlJc w:val="left"/>
    </w:lvl>
    <w:lvl w:ilvl="5" w:tplc="928A6690">
      <w:numFmt w:val="decimal"/>
      <w:lvlText w:val=""/>
      <w:lvlJc w:val="left"/>
    </w:lvl>
    <w:lvl w:ilvl="6" w:tplc="0BCCD4CA">
      <w:numFmt w:val="decimal"/>
      <w:lvlText w:val=""/>
      <w:lvlJc w:val="left"/>
    </w:lvl>
    <w:lvl w:ilvl="7" w:tplc="F73EA62C">
      <w:numFmt w:val="decimal"/>
      <w:lvlText w:val=""/>
      <w:lvlJc w:val="left"/>
    </w:lvl>
    <w:lvl w:ilvl="8" w:tplc="807CA98A">
      <w:numFmt w:val="decimal"/>
      <w:lvlText w:val=""/>
      <w:lvlJc w:val="left"/>
    </w:lvl>
  </w:abstractNum>
  <w:abstractNum w:abstractNumId="10" w15:restartNumberingAfterBreak="0">
    <w:nsid w:val="000016C5"/>
    <w:multiLevelType w:val="hybridMultilevel"/>
    <w:tmpl w:val="D91C8F28"/>
    <w:lvl w:ilvl="0" w:tplc="6BA892C6">
      <w:start w:val="3"/>
      <w:numFmt w:val="decimal"/>
      <w:lvlText w:val="%1."/>
      <w:lvlJc w:val="left"/>
    </w:lvl>
    <w:lvl w:ilvl="1" w:tplc="63843472">
      <w:numFmt w:val="decimal"/>
      <w:lvlText w:val=""/>
      <w:lvlJc w:val="left"/>
    </w:lvl>
    <w:lvl w:ilvl="2" w:tplc="5AD07674">
      <w:numFmt w:val="decimal"/>
      <w:lvlText w:val=""/>
      <w:lvlJc w:val="left"/>
    </w:lvl>
    <w:lvl w:ilvl="3" w:tplc="E384C70C">
      <w:numFmt w:val="decimal"/>
      <w:lvlText w:val=""/>
      <w:lvlJc w:val="left"/>
    </w:lvl>
    <w:lvl w:ilvl="4" w:tplc="C234F130">
      <w:numFmt w:val="decimal"/>
      <w:lvlText w:val=""/>
      <w:lvlJc w:val="left"/>
    </w:lvl>
    <w:lvl w:ilvl="5" w:tplc="606470AC">
      <w:numFmt w:val="decimal"/>
      <w:lvlText w:val=""/>
      <w:lvlJc w:val="left"/>
    </w:lvl>
    <w:lvl w:ilvl="6" w:tplc="EFEA99F8">
      <w:numFmt w:val="decimal"/>
      <w:lvlText w:val=""/>
      <w:lvlJc w:val="left"/>
    </w:lvl>
    <w:lvl w:ilvl="7" w:tplc="40AE9E76">
      <w:numFmt w:val="decimal"/>
      <w:lvlText w:val=""/>
      <w:lvlJc w:val="left"/>
    </w:lvl>
    <w:lvl w:ilvl="8" w:tplc="9D146E0A">
      <w:numFmt w:val="decimal"/>
      <w:lvlText w:val=""/>
      <w:lvlJc w:val="left"/>
    </w:lvl>
  </w:abstractNum>
  <w:abstractNum w:abstractNumId="11" w15:restartNumberingAfterBreak="0">
    <w:nsid w:val="0000187E"/>
    <w:multiLevelType w:val="hybridMultilevel"/>
    <w:tmpl w:val="116CBE08"/>
    <w:lvl w:ilvl="0" w:tplc="AF10AFCC">
      <w:start w:val="1"/>
      <w:numFmt w:val="decimal"/>
      <w:lvlText w:val="%1."/>
      <w:lvlJc w:val="left"/>
    </w:lvl>
    <w:lvl w:ilvl="1" w:tplc="A07AEFBA">
      <w:start w:val="1"/>
      <w:numFmt w:val="lowerLetter"/>
      <w:lvlText w:val="%2)"/>
      <w:lvlJc w:val="left"/>
    </w:lvl>
    <w:lvl w:ilvl="2" w:tplc="5A8AEC00">
      <w:numFmt w:val="decimal"/>
      <w:lvlText w:val=""/>
      <w:lvlJc w:val="left"/>
    </w:lvl>
    <w:lvl w:ilvl="3" w:tplc="5F98DA50">
      <w:numFmt w:val="decimal"/>
      <w:lvlText w:val=""/>
      <w:lvlJc w:val="left"/>
    </w:lvl>
    <w:lvl w:ilvl="4" w:tplc="CFC41314">
      <w:numFmt w:val="decimal"/>
      <w:lvlText w:val=""/>
      <w:lvlJc w:val="left"/>
    </w:lvl>
    <w:lvl w:ilvl="5" w:tplc="5D98F7BE">
      <w:numFmt w:val="decimal"/>
      <w:lvlText w:val=""/>
      <w:lvlJc w:val="left"/>
    </w:lvl>
    <w:lvl w:ilvl="6" w:tplc="F3860E7E">
      <w:numFmt w:val="decimal"/>
      <w:lvlText w:val=""/>
      <w:lvlJc w:val="left"/>
    </w:lvl>
    <w:lvl w:ilvl="7" w:tplc="35C2CC82">
      <w:numFmt w:val="decimal"/>
      <w:lvlText w:val=""/>
      <w:lvlJc w:val="left"/>
    </w:lvl>
    <w:lvl w:ilvl="8" w:tplc="46604D02">
      <w:numFmt w:val="decimal"/>
      <w:lvlText w:val=""/>
      <w:lvlJc w:val="left"/>
    </w:lvl>
  </w:abstractNum>
  <w:abstractNum w:abstractNumId="12" w15:restartNumberingAfterBreak="0">
    <w:nsid w:val="00001A49"/>
    <w:multiLevelType w:val="hybridMultilevel"/>
    <w:tmpl w:val="6FDA64BA"/>
    <w:lvl w:ilvl="0" w:tplc="B5421BB6">
      <w:start w:val="4"/>
      <w:numFmt w:val="decimal"/>
      <w:lvlText w:val="%1."/>
      <w:lvlJc w:val="left"/>
    </w:lvl>
    <w:lvl w:ilvl="1" w:tplc="7D66575E">
      <w:start w:val="1"/>
      <w:numFmt w:val="lowerLetter"/>
      <w:lvlText w:val="%2)"/>
      <w:lvlJc w:val="left"/>
    </w:lvl>
    <w:lvl w:ilvl="2" w:tplc="4A74B0EE">
      <w:numFmt w:val="decimal"/>
      <w:lvlText w:val=""/>
      <w:lvlJc w:val="left"/>
    </w:lvl>
    <w:lvl w:ilvl="3" w:tplc="05D0383E">
      <w:numFmt w:val="decimal"/>
      <w:lvlText w:val=""/>
      <w:lvlJc w:val="left"/>
    </w:lvl>
    <w:lvl w:ilvl="4" w:tplc="1A16FFF2">
      <w:numFmt w:val="decimal"/>
      <w:lvlText w:val=""/>
      <w:lvlJc w:val="left"/>
    </w:lvl>
    <w:lvl w:ilvl="5" w:tplc="A8BCAE48">
      <w:numFmt w:val="decimal"/>
      <w:lvlText w:val=""/>
      <w:lvlJc w:val="left"/>
    </w:lvl>
    <w:lvl w:ilvl="6" w:tplc="709A2A26">
      <w:numFmt w:val="decimal"/>
      <w:lvlText w:val=""/>
      <w:lvlJc w:val="left"/>
    </w:lvl>
    <w:lvl w:ilvl="7" w:tplc="70B0AB1A">
      <w:numFmt w:val="decimal"/>
      <w:lvlText w:val=""/>
      <w:lvlJc w:val="left"/>
    </w:lvl>
    <w:lvl w:ilvl="8" w:tplc="70002DD4">
      <w:numFmt w:val="decimal"/>
      <w:lvlText w:val=""/>
      <w:lvlJc w:val="left"/>
    </w:lvl>
  </w:abstractNum>
  <w:abstractNum w:abstractNumId="13" w15:restartNumberingAfterBreak="0">
    <w:nsid w:val="00001CD0"/>
    <w:multiLevelType w:val="hybridMultilevel"/>
    <w:tmpl w:val="4C92FDAA"/>
    <w:lvl w:ilvl="0" w:tplc="2866364C">
      <w:start w:val="1"/>
      <w:numFmt w:val="decimal"/>
      <w:lvlText w:val="%1"/>
      <w:lvlJc w:val="left"/>
    </w:lvl>
    <w:lvl w:ilvl="1" w:tplc="81D0A1A2">
      <w:start w:val="2"/>
      <w:numFmt w:val="lowerLetter"/>
      <w:lvlText w:val="%2)"/>
      <w:lvlJc w:val="left"/>
    </w:lvl>
    <w:lvl w:ilvl="2" w:tplc="4284371A">
      <w:numFmt w:val="decimal"/>
      <w:lvlText w:val=""/>
      <w:lvlJc w:val="left"/>
    </w:lvl>
    <w:lvl w:ilvl="3" w:tplc="3ED4A1AE">
      <w:numFmt w:val="decimal"/>
      <w:lvlText w:val=""/>
      <w:lvlJc w:val="left"/>
    </w:lvl>
    <w:lvl w:ilvl="4" w:tplc="01A69FDC">
      <w:numFmt w:val="decimal"/>
      <w:lvlText w:val=""/>
      <w:lvlJc w:val="left"/>
    </w:lvl>
    <w:lvl w:ilvl="5" w:tplc="68307DB2">
      <w:numFmt w:val="decimal"/>
      <w:lvlText w:val=""/>
      <w:lvlJc w:val="left"/>
    </w:lvl>
    <w:lvl w:ilvl="6" w:tplc="922E61EE">
      <w:numFmt w:val="decimal"/>
      <w:lvlText w:val=""/>
      <w:lvlJc w:val="left"/>
    </w:lvl>
    <w:lvl w:ilvl="7" w:tplc="4AFE4F14">
      <w:numFmt w:val="decimal"/>
      <w:lvlText w:val=""/>
      <w:lvlJc w:val="left"/>
    </w:lvl>
    <w:lvl w:ilvl="8" w:tplc="14D2FE6E">
      <w:numFmt w:val="decimal"/>
      <w:lvlText w:val=""/>
      <w:lvlJc w:val="left"/>
    </w:lvl>
  </w:abstractNum>
  <w:abstractNum w:abstractNumId="14" w15:restartNumberingAfterBreak="0">
    <w:nsid w:val="000022EE"/>
    <w:multiLevelType w:val="hybridMultilevel"/>
    <w:tmpl w:val="B342A0E0"/>
    <w:lvl w:ilvl="0" w:tplc="5AE8CDBC">
      <w:start w:val="3"/>
      <w:numFmt w:val="lowerLetter"/>
      <w:lvlText w:val="%1)"/>
      <w:lvlJc w:val="left"/>
    </w:lvl>
    <w:lvl w:ilvl="1" w:tplc="34249974">
      <w:numFmt w:val="decimal"/>
      <w:lvlText w:val=""/>
      <w:lvlJc w:val="left"/>
    </w:lvl>
    <w:lvl w:ilvl="2" w:tplc="7F043F5A">
      <w:numFmt w:val="decimal"/>
      <w:lvlText w:val=""/>
      <w:lvlJc w:val="left"/>
    </w:lvl>
    <w:lvl w:ilvl="3" w:tplc="AA4CB174">
      <w:numFmt w:val="decimal"/>
      <w:lvlText w:val=""/>
      <w:lvlJc w:val="left"/>
    </w:lvl>
    <w:lvl w:ilvl="4" w:tplc="22685AB0">
      <w:numFmt w:val="decimal"/>
      <w:lvlText w:val=""/>
      <w:lvlJc w:val="left"/>
    </w:lvl>
    <w:lvl w:ilvl="5" w:tplc="6D107090">
      <w:numFmt w:val="decimal"/>
      <w:lvlText w:val=""/>
      <w:lvlJc w:val="left"/>
    </w:lvl>
    <w:lvl w:ilvl="6" w:tplc="E6222684">
      <w:numFmt w:val="decimal"/>
      <w:lvlText w:val=""/>
      <w:lvlJc w:val="left"/>
    </w:lvl>
    <w:lvl w:ilvl="7" w:tplc="E2F0A07C">
      <w:numFmt w:val="decimal"/>
      <w:lvlText w:val=""/>
      <w:lvlJc w:val="left"/>
    </w:lvl>
    <w:lvl w:ilvl="8" w:tplc="449A274A">
      <w:numFmt w:val="decimal"/>
      <w:lvlText w:val=""/>
      <w:lvlJc w:val="left"/>
    </w:lvl>
  </w:abstractNum>
  <w:abstractNum w:abstractNumId="15" w15:restartNumberingAfterBreak="0">
    <w:nsid w:val="00002350"/>
    <w:multiLevelType w:val="hybridMultilevel"/>
    <w:tmpl w:val="FE5A785A"/>
    <w:lvl w:ilvl="0" w:tplc="A002F8CC">
      <w:start w:val="1"/>
      <w:numFmt w:val="decimal"/>
      <w:lvlText w:val="%1."/>
      <w:lvlJc w:val="left"/>
    </w:lvl>
    <w:lvl w:ilvl="1" w:tplc="5320794C">
      <w:start w:val="1"/>
      <w:numFmt w:val="lowerLetter"/>
      <w:lvlText w:val="%2)"/>
      <w:lvlJc w:val="left"/>
    </w:lvl>
    <w:lvl w:ilvl="2" w:tplc="E5D22950">
      <w:numFmt w:val="decimal"/>
      <w:lvlText w:val=""/>
      <w:lvlJc w:val="left"/>
    </w:lvl>
    <w:lvl w:ilvl="3" w:tplc="2996EA3E">
      <w:numFmt w:val="decimal"/>
      <w:lvlText w:val=""/>
      <w:lvlJc w:val="left"/>
    </w:lvl>
    <w:lvl w:ilvl="4" w:tplc="F4DAE5E0">
      <w:numFmt w:val="decimal"/>
      <w:lvlText w:val=""/>
      <w:lvlJc w:val="left"/>
    </w:lvl>
    <w:lvl w:ilvl="5" w:tplc="51B29120">
      <w:numFmt w:val="decimal"/>
      <w:lvlText w:val=""/>
      <w:lvlJc w:val="left"/>
    </w:lvl>
    <w:lvl w:ilvl="6" w:tplc="EA463000">
      <w:numFmt w:val="decimal"/>
      <w:lvlText w:val=""/>
      <w:lvlJc w:val="left"/>
    </w:lvl>
    <w:lvl w:ilvl="7" w:tplc="EEB64104">
      <w:numFmt w:val="decimal"/>
      <w:lvlText w:val=""/>
      <w:lvlJc w:val="left"/>
    </w:lvl>
    <w:lvl w:ilvl="8" w:tplc="A178F466">
      <w:numFmt w:val="decimal"/>
      <w:lvlText w:val=""/>
      <w:lvlJc w:val="left"/>
    </w:lvl>
  </w:abstractNum>
  <w:abstractNum w:abstractNumId="16" w15:restartNumberingAfterBreak="0">
    <w:nsid w:val="000023C9"/>
    <w:multiLevelType w:val="hybridMultilevel"/>
    <w:tmpl w:val="FB92A984"/>
    <w:lvl w:ilvl="0" w:tplc="B8644680">
      <w:start w:val="1"/>
      <w:numFmt w:val="lowerLetter"/>
      <w:lvlText w:val="%1"/>
      <w:lvlJc w:val="left"/>
    </w:lvl>
    <w:lvl w:ilvl="1" w:tplc="F63E5250">
      <w:start w:val="26"/>
      <w:numFmt w:val="lowerLetter"/>
      <w:lvlText w:val="%2"/>
      <w:lvlJc w:val="left"/>
    </w:lvl>
    <w:lvl w:ilvl="2" w:tplc="4B64B98A">
      <w:numFmt w:val="decimal"/>
      <w:lvlText w:val=""/>
      <w:lvlJc w:val="left"/>
    </w:lvl>
    <w:lvl w:ilvl="3" w:tplc="6D968EE8">
      <w:numFmt w:val="decimal"/>
      <w:lvlText w:val=""/>
      <w:lvlJc w:val="left"/>
    </w:lvl>
    <w:lvl w:ilvl="4" w:tplc="C88C348E">
      <w:numFmt w:val="decimal"/>
      <w:lvlText w:val=""/>
      <w:lvlJc w:val="left"/>
    </w:lvl>
    <w:lvl w:ilvl="5" w:tplc="7E3AFBEE">
      <w:numFmt w:val="decimal"/>
      <w:lvlText w:val=""/>
      <w:lvlJc w:val="left"/>
    </w:lvl>
    <w:lvl w:ilvl="6" w:tplc="84F4E7DE">
      <w:numFmt w:val="decimal"/>
      <w:lvlText w:val=""/>
      <w:lvlJc w:val="left"/>
    </w:lvl>
    <w:lvl w:ilvl="7" w:tplc="C8E4583A">
      <w:numFmt w:val="decimal"/>
      <w:lvlText w:val=""/>
      <w:lvlJc w:val="left"/>
    </w:lvl>
    <w:lvl w:ilvl="8" w:tplc="0B366168">
      <w:numFmt w:val="decimal"/>
      <w:lvlText w:val=""/>
      <w:lvlJc w:val="left"/>
    </w:lvl>
  </w:abstractNum>
  <w:abstractNum w:abstractNumId="17" w15:restartNumberingAfterBreak="0">
    <w:nsid w:val="000026CA"/>
    <w:multiLevelType w:val="hybridMultilevel"/>
    <w:tmpl w:val="4084601A"/>
    <w:lvl w:ilvl="0" w:tplc="517EB808">
      <w:start w:val="1"/>
      <w:numFmt w:val="decimal"/>
      <w:lvlText w:val="%1."/>
      <w:lvlJc w:val="left"/>
    </w:lvl>
    <w:lvl w:ilvl="1" w:tplc="7D6C1FC4">
      <w:start w:val="1"/>
      <w:numFmt w:val="lowerLetter"/>
      <w:lvlText w:val="%2)"/>
      <w:lvlJc w:val="left"/>
    </w:lvl>
    <w:lvl w:ilvl="2" w:tplc="F7B2FC4E">
      <w:numFmt w:val="decimal"/>
      <w:lvlText w:val=""/>
      <w:lvlJc w:val="left"/>
    </w:lvl>
    <w:lvl w:ilvl="3" w:tplc="0708FDB2">
      <w:numFmt w:val="decimal"/>
      <w:lvlText w:val=""/>
      <w:lvlJc w:val="left"/>
    </w:lvl>
    <w:lvl w:ilvl="4" w:tplc="627457BE">
      <w:numFmt w:val="decimal"/>
      <w:lvlText w:val=""/>
      <w:lvlJc w:val="left"/>
    </w:lvl>
    <w:lvl w:ilvl="5" w:tplc="8EF272C2">
      <w:numFmt w:val="decimal"/>
      <w:lvlText w:val=""/>
      <w:lvlJc w:val="left"/>
    </w:lvl>
    <w:lvl w:ilvl="6" w:tplc="EA1A7E20">
      <w:numFmt w:val="decimal"/>
      <w:lvlText w:val=""/>
      <w:lvlJc w:val="left"/>
    </w:lvl>
    <w:lvl w:ilvl="7" w:tplc="2138B1FA">
      <w:numFmt w:val="decimal"/>
      <w:lvlText w:val=""/>
      <w:lvlJc w:val="left"/>
    </w:lvl>
    <w:lvl w:ilvl="8" w:tplc="32AAFEC6">
      <w:numFmt w:val="decimal"/>
      <w:lvlText w:val=""/>
      <w:lvlJc w:val="left"/>
    </w:lvl>
  </w:abstractNum>
  <w:abstractNum w:abstractNumId="18" w15:restartNumberingAfterBreak="0">
    <w:nsid w:val="00002C3B"/>
    <w:multiLevelType w:val="hybridMultilevel"/>
    <w:tmpl w:val="31B2D85E"/>
    <w:lvl w:ilvl="0" w:tplc="4E0EDFE2">
      <w:start w:val="7"/>
      <w:numFmt w:val="lowerLetter"/>
      <w:lvlText w:val="%1)"/>
      <w:lvlJc w:val="left"/>
    </w:lvl>
    <w:lvl w:ilvl="1" w:tplc="7DB29124">
      <w:numFmt w:val="decimal"/>
      <w:lvlText w:val=""/>
      <w:lvlJc w:val="left"/>
    </w:lvl>
    <w:lvl w:ilvl="2" w:tplc="AF607514">
      <w:numFmt w:val="decimal"/>
      <w:lvlText w:val=""/>
      <w:lvlJc w:val="left"/>
    </w:lvl>
    <w:lvl w:ilvl="3" w:tplc="23664B04">
      <w:numFmt w:val="decimal"/>
      <w:lvlText w:val=""/>
      <w:lvlJc w:val="left"/>
    </w:lvl>
    <w:lvl w:ilvl="4" w:tplc="5D6A02B4">
      <w:numFmt w:val="decimal"/>
      <w:lvlText w:val=""/>
      <w:lvlJc w:val="left"/>
    </w:lvl>
    <w:lvl w:ilvl="5" w:tplc="0040F65E">
      <w:numFmt w:val="decimal"/>
      <w:lvlText w:val=""/>
      <w:lvlJc w:val="left"/>
    </w:lvl>
    <w:lvl w:ilvl="6" w:tplc="09706D4C">
      <w:numFmt w:val="decimal"/>
      <w:lvlText w:val=""/>
      <w:lvlJc w:val="left"/>
    </w:lvl>
    <w:lvl w:ilvl="7" w:tplc="59F0BD26">
      <w:numFmt w:val="decimal"/>
      <w:lvlText w:val=""/>
      <w:lvlJc w:val="left"/>
    </w:lvl>
    <w:lvl w:ilvl="8" w:tplc="D91CA40E">
      <w:numFmt w:val="decimal"/>
      <w:lvlText w:val=""/>
      <w:lvlJc w:val="left"/>
    </w:lvl>
  </w:abstractNum>
  <w:abstractNum w:abstractNumId="19" w15:restartNumberingAfterBreak="0">
    <w:nsid w:val="00002E40"/>
    <w:multiLevelType w:val="hybridMultilevel"/>
    <w:tmpl w:val="9D006E50"/>
    <w:lvl w:ilvl="0" w:tplc="7B36329C">
      <w:start w:val="10"/>
      <w:numFmt w:val="decimal"/>
      <w:lvlText w:val="%1."/>
      <w:lvlJc w:val="left"/>
    </w:lvl>
    <w:lvl w:ilvl="1" w:tplc="D3C6E0D8">
      <w:numFmt w:val="decimal"/>
      <w:lvlText w:val=""/>
      <w:lvlJc w:val="left"/>
    </w:lvl>
    <w:lvl w:ilvl="2" w:tplc="4294748C">
      <w:numFmt w:val="decimal"/>
      <w:lvlText w:val=""/>
      <w:lvlJc w:val="left"/>
    </w:lvl>
    <w:lvl w:ilvl="3" w:tplc="918AD902">
      <w:numFmt w:val="decimal"/>
      <w:lvlText w:val=""/>
      <w:lvlJc w:val="left"/>
    </w:lvl>
    <w:lvl w:ilvl="4" w:tplc="CB52A24A">
      <w:numFmt w:val="decimal"/>
      <w:lvlText w:val=""/>
      <w:lvlJc w:val="left"/>
    </w:lvl>
    <w:lvl w:ilvl="5" w:tplc="A2C4E198">
      <w:numFmt w:val="decimal"/>
      <w:lvlText w:val=""/>
      <w:lvlJc w:val="left"/>
    </w:lvl>
    <w:lvl w:ilvl="6" w:tplc="2D2A0F98">
      <w:numFmt w:val="decimal"/>
      <w:lvlText w:val=""/>
      <w:lvlJc w:val="left"/>
    </w:lvl>
    <w:lvl w:ilvl="7" w:tplc="7C86C2A8">
      <w:numFmt w:val="decimal"/>
      <w:lvlText w:val=""/>
      <w:lvlJc w:val="left"/>
    </w:lvl>
    <w:lvl w:ilvl="8" w:tplc="1B0025EA">
      <w:numFmt w:val="decimal"/>
      <w:lvlText w:val=""/>
      <w:lvlJc w:val="left"/>
    </w:lvl>
  </w:abstractNum>
  <w:abstractNum w:abstractNumId="20" w15:restartNumberingAfterBreak="0">
    <w:nsid w:val="00002F14"/>
    <w:multiLevelType w:val="hybridMultilevel"/>
    <w:tmpl w:val="550649D4"/>
    <w:lvl w:ilvl="0" w:tplc="D894246C">
      <w:start w:val="1"/>
      <w:numFmt w:val="decimal"/>
      <w:lvlText w:val="%1."/>
      <w:lvlJc w:val="left"/>
    </w:lvl>
    <w:lvl w:ilvl="1" w:tplc="8F401A98">
      <w:numFmt w:val="decimal"/>
      <w:lvlText w:val=""/>
      <w:lvlJc w:val="left"/>
    </w:lvl>
    <w:lvl w:ilvl="2" w:tplc="A266D530">
      <w:numFmt w:val="decimal"/>
      <w:lvlText w:val=""/>
      <w:lvlJc w:val="left"/>
    </w:lvl>
    <w:lvl w:ilvl="3" w:tplc="3CC84544">
      <w:numFmt w:val="decimal"/>
      <w:lvlText w:val=""/>
      <w:lvlJc w:val="left"/>
    </w:lvl>
    <w:lvl w:ilvl="4" w:tplc="B932321A">
      <w:numFmt w:val="decimal"/>
      <w:lvlText w:val=""/>
      <w:lvlJc w:val="left"/>
    </w:lvl>
    <w:lvl w:ilvl="5" w:tplc="9D44E77E">
      <w:numFmt w:val="decimal"/>
      <w:lvlText w:val=""/>
      <w:lvlJc w:val="left"/>
    </w:lvl>
    <w:lvl w:ilvl="6" w:tplc="4B5ECD22">
      <w:numFmt w:val="decimal"/>
      <w:lvlText w:val=""/>
      <w:lvlJc w:val="left"/>
    </w:lvl>
    <w:lvl w:ilvl="7" w:tplc="0A3CFF7A">
      <w:numFmt w:val="decimal"/>
      <w:lvlText w:val=""/>
      <w:lvlJc w:val="left"/>
    </w:lvl>
    <w:lvl w:ilvl="8" w:tplc="80E43E60">
      <w:numFmt w:val="decimal"/>
      <w:lvlText w:val=""/>
      <w:lvlJc w:val="left"/>
    </w:lvl>
  </w:abstractNum>
  <w:abstractNum w:abstractNumId="21" w15:restartNumberingAfterBreak="0">
    <w:nsid w:val="0000314F"/>
    <w:multiLevelType w:val="hybridMultilevel"/>
    <w:tmpl w:val="84FC1C2E"/>
    <w:lvl w:ilvl="0" w:tplc="7966CFF6">
      <w:start w:val="5"/>
      <w:numFmt w:val="decimal"/>
      <w:lvlText w:val="%1."/>
      <w:lvlJc w:val="left"/>
    </w:lvl>
    <w:lvl w:ilvl="1" w:tplc="9B14D408">
      <w:numFmt w:val="decimal"/>
      <w:lvlText w:val=""/>
      <w:lvlJc w:val="left"/>
    </w:lvl>
    <w:lvl w:ilvl="2" w:tplc="D9AAF3A6">
      <w:numFmt w:val="decimal"/>
      <w:lvlText w:val=""/>
      <w:lvlJc w:val="left"/>
    </w:lvl>
    <w:lvl w:ilvl="3" w:tplc="EB884914">
      <w:numFmt w:val="decimal"/>
      <w:lvlText w:val=""/>
      <w:lvlJc w:val="left"/>
    </w:lvl>
    <w:lvl w:ilvl="4" w:tplc="03289310">
      <w:numFmt w:val="decimal"/>
      <w:lvlText w:val=""/>
      <w:lvlJc w:val="left"/>
    </w:lvl>
    <w:lvl w:ilvl="5" w:tplc="6EE6CC94">
      <w:numFmt w:val="decimal"/>
      <w:lvlText w:val=""/>
      <w:lvlJc w:val="left"/>
    </w:lvl>
    <w:lvl w:ilvl="6" w:tplc="E20A3A70">
      <w:numFmt w:val="decimal"/>
      <w:lvlText w:val=""/>
      <w:lvlJc w:val="left"/>
    </w:lvl>
    <w:lvl w:ilvl="7" w:tplc="48D0E664">
      <w:numFmt w:val="decimal"/>
      <w:lvlText w:val=""/>
      <w:lvlJc w:val="left"/>
    </w:lvl>
    <w:lvl w:ilvl="8" w:tplc="2CF072D0">
      <w:numFmt w:val="decimal"/>
      <w:lvlText w:val=""/>
      <w:lvlJc w:val="left"/>
    </w:lvl>
  </w:abstractNum>
  <w:abstractNum w:abstractNumId="22" w15:restartNumberingAfterBreak="0">
    <w:nsid w:val="000033EA"/>
    <w:multiLevelType w:val="hybridMultilevel"/>
    <w:tmpl w:val="8392204E"/>
    <w:lvl w:ilvl="0" w:tplc="93221D9C">
      <w:start w:val="1"/>
      <w:numFmt w:val="lowerLetter"/>
      <w:lvlText w:val="%1)"/>
      <w:lvlJc w:val="left"/>
    </w:lvl>
    <w:lvl w:ilvl="1" w:tplc="2B76DAAE">
      <w:numFmt w:val="decimal"/>
      <w:lvlText w:val=""/>
      <w:lvlJc w:val="left"/>
    </w:lvl>
    <w:lvl w:ilvl="2" w:tplc="C40CB564">
      <w:numFmt w:val="decimal"/>
      <w:lvlText w:val=""/>
      <w:lvlJc w:val="left"/>
    </w:lvl>
    <w:lvl w:ilvl="3" w:tplc="35EACAF2">
      <w:numFmt w:val="decimal"/>
      <w:lvlText w:val=""/>
      <w:lvlJc w:val="left"/>
    </w:lvl>
    <w:lvl w:ilvl="4" w:tplc="502C200E">
      <w:numFmt w:val="decimal"/>
      <w:lvlText w:val=""/>
      <w:lvlJc w:val="left"/>
    </w:lvl>
    <w:lvl w:ilvl="5" w:tplc="0E4CB808">
      <w:numFmt w:val="decimal"/>
      <w:lvlText w:val=""/>
      <w:lvlJc w:val="left"/>
    </w:lvl>
    <w:lvl w:ilvl="6" w:tplc="BE9CDE28">
      <w:numFmt w:val="decimal"/>
      <w:lvlText w:val=""/>
      <w:lvlJc w:val="left"/>
    </w:lvl>
    <w:lvl w:ilvl="7" w:tplc="35F2F102">
      <w:numFmt w:val="decimal"/>
      <w:lvlText w:val=""/>
      <w:lvlJc w:val="left"/>
    </w:lvl>
    <w:lvl w:ilvl="8" w:tplc="89D8A762">
      <w:numFmt w:val="decimal"/>
      <w:lvlText w:val=""/>
      <w:lvlJc w:val="left"/>
    </w:lvl>
  </w:abstractNum>
  <w:abstractNum w:abstractNumId="23" w15:restartNumberingAfterBreak="0">
    <w:nsid w:val="0000366B"/>
    <w:multiLevelType w:val="hybridMultilevel"/>
    <w:tmpl w:val="78D61FB0"/>
    <w:lvl w:ilvl="0" w:tplc="06C6233C">
      <w:start w:val="3"/>
      <w:numFmt w:val="decimal"/>
      <w:lvlText w:val="%1."/>
      <w:lvlJc w:val="left"/>
    </w:lvl>
    <w:lvl w:ilvl="1" w:tplc="0428E5DC">
      <w:start w:val="1"/>
      <w:numFmt w:val="lowerLetter"/>
      <w:lvlText w:val="%2"/>
      <w:lvlJc w:val="left"/>
    </w:lvl>
    <w:lvl w:ilvl="2" w:tplc="A9409770">
      <w:numFmt w:val="decimal"/>
      <w:lvlText w:val=""/>
      <w:lvlJc w:val="left"/>
    </w:lvl>
    <w:lvl w:ilvl="3" w:tplc="4314CCDE">
      <w:numFmt w:val="decimal"/>
      <w:lvlText w:val=""/>
      <w:lvlJc w:val="left"/>
    </w:lvl>
    <w:lvl w:ilvl="4" w:tplc="20AE1E74">
      <w:numFmt w:val="decimal"/>
      <w:lvlText w:val=""/>
      <w:lvlJc w:val="left"/>
    </w:lvl>
    <w:lvl w:ilvl="5" w:tplc="ABE4D586">
      <w:numFmt w:val="decimal"/>
      <w:lvlText w:val=""/>
      <w:lvlJc w:val="left"/>
    </w:lvl>
    <w:lvl w:ilvl="6" w:tplc="FDFE8FF0">
      <w:numFmt w:val="decimal"/>
      <w:lvlText w:val=""/>
      <w:lvlJc w:val="left"/>
    </w:lvl>
    <w:lvl w:ilvl="7" w:tplc="66A08950">
      <w:numFmt w:val="decimal"/>
      <w:lvlText w:val=""/>
      <w:lvlJc w:val="left"/>
    </w:lvl>
    <w:lvl w:ilvl="8" w:tplc="216ED6D6">
      <w:numFmt w:val="decimal"/>
      <w:lvlText w:val=""/>
      <w:lvlJc w:val="left"/>
    </w:lvl>
  </w:abstractNum>
  <w:abstractNum w:abstractNumId="24" w15:restartNumberingAfterBreak="0">
    <w:nsid w:val="00003699"/>
    <w:multiLevelType w:val="hybridMultilevel"/>
    <w:tmpl w:val="A4F49BEE"/>
    <w:lvl w:ilvl="0" w:tplc="7ADCDD28">
      <w:start w:val="1"/>
      <w:numFmt w:val="decimal"/>
      <w:lvlText w:val="%1."/>
      <w:lvlJc w:val="left"/>
    </w:lvl>
    <w:lvl w:ilvl="1" w:tplc="CA56CBAC">
      <w:numFmt w:val="decimal"/>
      <w:lvlText w:val=""/>
      <w:lvlJc w:val="left"/>
    </w:lvl>
    <w:lvl w:ilvl="2" w:tplc="23D2B88E">
      <w:numFmt w:val="decimal"/>
      <w:lvlText w:val=""/>
      <w:lvlJc w:val="left"/>
    </w:lvl>
    <w:lvl w:ilvl="3" w:tplc="D34CCC1A">
      <w:numFmt w:val="decimal"/>
      <w:lvlText w:val=""/>
      <w:lvlJc w:val="left"/>
    </w:lvl>
    <w:lvl w:ilvl="4" w:tplc="74E03A18">
      <w:numFmt w:val="decimal"/>
      <w:lvlText w:val=""/>
      <w:lvlJc w:val="left"/>
    </w:lvl>
    <w:lvl w:ilvl="5" w:tplc="FFF64DB4">
      <w:numFmt w:val="decimal"/>
      <w:lvlText w:val=""/>
      <w:lvlJc w:val="left"/>
    </w:lvl>
    <w:lvl w:ilvl="6" w:tplc="63704030">
      <w:numFmt w:val="decimal"/>
      <w:lvlText w:val=""/>
      <w:lvlJc w:val="left"/>
    </w:lvl>
    <w:lvl w:ilvl="7" w:tplc="BEE604E4">
      <w:numFmt w:val="decimal"/>
      <w:lvlText w:val=""/>
      <w:lvlJc w:val="left"/>
    </w:lvl>
    <w:lvl w:ilvl="8" w:tplc="13063858">
      <w:numFmt w:val="decimal"/>
      <w:lvlText w:val=""/>
      <w:lvlJc w:val="left"/>
    </w:lvl>
  </w:abstractNum>
  <w:abstractNum w:abstractNumId="25" w15:restartNumberingAfterBreak="0">
    <w:nsid w:val="00003A9E"/>
    <w:multiLevelType w:val="hybridMultilevel"/>
    <w:tmpl w:val="527A8C98"/>
    <w:lvl w:ilvl="0" w:tplc="14C2CEFA">
      <w:start w:val="1"/>
      <w:numFmt w:val="decimal"/>
      <w:lvlText w:val="%1"/>
      <w:lvlJc w:val="left"/>
    </w:lvl>
    <w:lvl w:ilvl="1" w:tplc="F5BE09F0">
      <w:start w:val="1"/>
      <w:numFmt w:val="lowerLetter"/>
      <w:lvlText w:val="%2"/>
      <w:lvlJc w:val="left"/>
    </w:lvl>
    <w:lvl w:ilvl="2" w:tplc="7CF8DBE2">
      <w:start w:val="19"/>
      <w:numFmt w:val="lowerLetter"/>
      <w:lvlText w:val="%3"/>
      <w:lvlJc w:val="left"/>
    </w:lvl>
    <w:lvl w:ilvl="3" w:tplc="22EACA36">
      <w:numFmt w:val="decimal"/>
      <w:lvlText w:val=""/>
      <w:lvlJc w:val="left"/>
    </w:lvl>
    <w:lvl w:ilvl="4" w:tplc="29EEF798">
      <w:numFmt w:val="decimal"/>
      <w:lvlText w:val=""/>
      <w:lvlJc w:val="left"/>
    </w:lvl>
    <w:lvl w:ilvl="5" w:tplc="346A2698">
      <w:numFmt w:val="decimal"/>
      <w:lvlText w:val=""/>
      <w:lvlJc w:val="left"/>
    </w:lvl>
    <w:lvl w:ilvl="6" w:tplc="F8242E5C">
      <w:numFmt w:val="decimal"/>
      <w:lvlText w:val=""/>
      <w:lvlJc w:val="left"/>
    </w:lvl>
    <w:lvl w:ilvl="7" w:tplc="FCFE4478">
      <w:numFmt w:val="decimal"/>
      <w:lvlText w:val=""/>
      <w:lvlJc w:val="left"/>
    </w:lvl>
    <w:lvl w:ilvl="8" w:tplc="03B23D12">
      <w:numFmt w:val="decimal"/>
      <w:lvlText w:val=""/>
      <w:lvlJc w:val="left"/>
    </w:lvl>
  </w:abstractNum>
  <w:abstractNum w:abstractNumId="26" w15:restartNumberingAfterBreak="0">
    <w:nsid w:val="00003BF6"/>
    <w:multiLevelType w:val="hybridMultilevel"/>
    <w:tmpl w:val="58089EAE"/>
    <w:lvl w:ilvl="0" w:tplc="F594ED0A">
      <w:start w:val="1"/>
      <w:numFmt w:val="decimal"/>
      <w:lvlText w:val="%1."/>
      <w:lvlJc w:val="left"/>
    </w:lvl>
    <w:lvl w:ilvl="1" w:tplc="34341D2A">
      <w:start w:val="1"/>
      <w:numFmt w:val="lowerLetter"/>
      <w:lvlText w:val="%2)"/>
      <w:lvlJc w:val="left"/>
    </w:lvl>
    <w:lvl w:ilvl="2" w:tplc="13BEE27C">
      <w:start w:val="22"/>
      <w:numFmt w:val="lowerLetter"/>
      <w:lvlText w:val="%3"/>
      <w:lvlJc w:val="left"/>
    </w:lvl>
    <w:lvl w:ilvl="3" w:tplc="3982B9B4">
      <w:numFmt w:val="decimal"/>
      <w:lvlText w:val=""/>
      <w:lvlJc w:val="left"/>
    </w:lvl>
    <w:lvl w:ilvl="4" w:tplc="C95A2C8C">
      <w:numFmt w:val="decimal"/>
      <w:lvlText w:val=""/>
      <w:lvlJc w:val="left"/>
    </w:lvl>
    <w:lvl w:ilvl="5" w:tplc="7A966996">
      <w:numFmt w:val="decimal"/>
      <w:lvlText w:val=""/>
      <w:lvlJc w:val="left"/>
    </w:lvl>
    <w:lvl w:ilvl="6" w:tplc="303CB930">
      <w:numFmt w:val="decimal"/>
      <w:lvlText w:val=""/>
      <w:lvlJc w:val="left"/>
    </w:lvl>
    <w:lvl w:ilvl="7" w:tplc="FD4A9D7A">
      <w:numFmt w:val="decimal"/>
      <w:lvlText w:val=""/>
      <w:lvlJc w:val="left"/>
    </w:lvl>
    <w:lvl w:ilvl="8" w:tplc="F5661050">
      <w:numFmt w:val="decimal"/>
      <w:lvlText w:val=""/>
      <w:lvlJc w:val="left"/>
    </w:lvl>
  </w:abstractNum>
  <w:abstractNum w:abstractNumId="27" w15:restartNumberingAfterBreak="0">
    <w:nsid w:val="00003CD5"/>
    <w:multiLevelType w:val="hybridMultilevel"/>
    <w:tmpl w:val="0BA6606A"/>
    <w:lvl w:ilvl="0" w:tplc="1592CF8E">
      <w:start w:val="2"/>
      <w:numFmt w:val="decimal"/>
      <w:lvlText w:val="%1."/>
      <w:lvlJc w:val="left"/>
    </w:lvl>
    <w:lvl w:ilvl="1" w:tplc="293E8984">
      <w:numFmt w:val="decimal"/>
      <w:lvlText w:val=""/>
      <w:lvlJc w:val="left"/>
    </w:lvl>
    <w:lvl w:ilvl="2" w:tplc="33F49896">
      <w:numFmt w:val="decimal"/>
      <w:lvlText w:val=""/>
      <w:lvlJc w:val="left"/>
    </w:lvl>
    <w:lvl w:ilvl="3" w:tplc="279044E8">
      <w:numFmt w:val="decimal"/>
      <w:lvlText w:val=""/>
      <w:lvlJc w:val="left"/>
    </w:lvl>
    <w:lvl w:ilvl="4" w:tplc="C5922B9E">
      <w:numFmt w:val="decimal"/>
      <w:lvlText w:val=""/>
      <w:lvlJc w:val="left"/>
    </w:lvl>
    <w:lvl w:ilvl="5" w:tplc="B4720310">
      <w:numFmt w:val="decimal"/>
      <w:lvlText w:val=""/>
      <w:lvlJc w:val="left"/>
    </w:lvl>
    <w:lvl w:ilvl="6" w:tplc="FB6E45C2">
      <w:numFmt w:val="decimal"/>
      <w:lvlText w:val=""/>
      <w:lvlJc w:val="left"/>
    </w:lvl>
    <w:lvl w:ilvl="7" w:tplc="9F5071B6">
      <w:numFmt w:val="decimal"/>
      <w:lvlText w:val=""/>
      <w:lvlJc w:val="left"/>
    </w:lvl>
    <w:lvl w:ilvl="8" w:tplc="F0BACD68">
      <w:numFmt w:val="decimal"/>
      <w:lvlText w:val=""/>
      <w:lvlJc w:val="left"/>
    </w:lvl>
  </w:abstractNum>
  <w:abstractNum w:abstractNumId="28" w15:restartNumberingAfterBreak="0">
    <w:nsid w:val="00003CD6"/>
    <w:multiLevelType w:val="hybridMultilevel"/>
    <w:tmpl w:val="A772520C"/>
    <w:lvl w:ilvl="0" w:tplc="23861FF2">
      <w:start w:val="1"/>
      <w:numFmt w:val="decimal"/>
      <w:lvlText w:val="%1."/>
      <w:lvlJc w:val="left"/>
    </w:lvl>
    <w:lvl w:ilvl="1" w:tplc="E88AB788">
      <w:numFmt w:val="decimal"/>
      <w:lvlText w:val=""/>
      <w:lvlJc w:val="left"/>
    </w:lvl>
    <w:lvl w:ilvl="2" w:tplc="5284FBF6">
      <w:numFmt w:val="decimal"/>
      <w:lvlText w:val=""/>
      <w:lvlJc w:val="left"/>
    </w:lvl>
    <w:lvl w:ilvl="3" w:tplc="D1949E02">
      <w:numFmt w:val="decimal"/>
      <w:lvlText w:val=""/>
      <w:lvlJc w:val="left"/>
    </w:lvl>
    <w:lvl w:ilvl="4" w:tplc="500E8A5E">
      <w:numFmt w:val="decimal"/>
      <w:lvlText w:val=""/>
      <w:lvlJc w:val="left"/>
    </w:lvl>
    <w:lvl w:ilvl="5" w:tplc="DCBEEBC2">
      <w:numFmt w:val="decimal"/>
      <w:lvlText w:val=""/>
      <w:lvlJc w:val="left"/>
    </w:lvl>
    <w:lvl w:ilvl="6" w:tplc="0180023E">
      <w:numFmt w:val="decimal"/>
      <w:lvlText w:val=""/>
      <w:lvlJc w:val="left"/>
    </w:lvl>
    <w:lvl w:ilvl="7" w:tplc="708C1B9E">
      <w:numFmt w:val="decimal"/>
      <w:lvlText w:val=""/>
      <w:lvlJc w:val="left"/>
    </w:lvl>
    <w:lvl w:ilvl="8" w:tplc="D0B0902E">
      <w:numFmt w:val="decimal"/>
      <w:lvlText w:val=""/>
      <w:lvlJc w:val="left"/>
    </w:lvl>
  </w:abstractNum>
  <w:abstractNum w:abstractNumId="29" w15:restartNumberingAfterBreak="0">
    <w:nsid w:val="00003E12"/>
    <w:multiLevelType w:val="hybridMultilevel"/>
    <w:tmpl w:val="608A0830"/>
    <w:lvl w:ilvl="0" w:tplc="5D248896">
      <w:start w:val="1"/>
      <w:numFmt w:val="decimal"/>
      <w:lvlText w:val="%1"/>
      <w:lvlJc w:val="left"/>
    </w:lvl>
    <w:lvl w:ilvl="1" w:tplc="58BA4012">
      <w:start w:val="2"/>
      <w:numFmt w:val="lowerLetter"/>
      <w:lvlText w:val="%2)"/>
      <w:lvlJc w:val="left"/>
    </w:lvl>
    <w:lvl w:ilvl="2" w:tplc="5192B7A2">
      <w:numFmt w:val="decimal"/>
      <w:lvlText w:val=""/>
      <w:lvlJc w:val="left"/>
    </w:lvl>
    <w:lvl w:ilvl="3" w:tplc="68563B74">
      <w:numFmt w:val="decimal"/>
      <w:lvlText w:val=""/>
      <w:lvlJc w:val="left"/>
    </w:lvl>
    <w:lvl w:ilvl="4" w:tplc="25684AA2">
      <w:numFmt w:val="decimal"/>
      <w:lvlText w:val=""/>
      <w:lvlJc w:val="left"/>
    </w:lvl>
    <w:lvl w:ilvl="5" w:tplc="BDBC7342">
      <w:numFmt w:val="decimal"/>
      <w:lvlText w:val=""/>
      <w:lvlJc w:val="left"/>
    </w:lvl>
    <w:lvl w:ilvl="6" w:tplc="4112A7E8">
      <w:numFmt w:val="decimal"/>
      <w:lvlText w:val=""/>
      <w:lvlJc w:val="left"/>
    </w:lvl>
    <w:lvl w:ilvl="7" w:tplc="F4F88910">
      <w:numFmt w:val="decimal"/>
      <w:lvlText w:val=""/>
      <w:lvlJc w:val="left"/>
    </w:lvl>
    <w:lvl w:ilvl="8" w:tplc="B9DE21A0">
      <w:numFmt w:val="decimal"/>
      <w:lvlText w:val=""/>
      <w:lvlJc w:val="left"/>
    </w:lvl>
  </w:abstractNum>
  <w:abstractNum w:abstractNumId="30" w15:restartNumberingAfterBreak="0">
    <w:nsid w:val="00003EF6"/>
    <w:multiLevelType w:val="hybridMultilevel"/>
    <w:tmpl w:val="DD1E7F22"/>
    <w:lvl w:ilvl="0" w:tplc="9DB25132">
      <w:start w:val="6"/>
      <w:numFmt w:val="decimal"/>
      <w:lvlText w:val="%1."/>
      <w:lvlJc w:val="left"/>
    </w:lvl>
    <w:lvl w:ilvl="1" w:tplc="5C4EA3F2">
      <w:numFmt w:val="decimal"/>
      <w:lvlText w:val=""/>
      <w:lvlJc w:val="left"/>
    </w:lvl>
    <w:lvl w:ilvl="2" w:tplc="F88E2142">
      <w:numFmt w:val="decimal"/>
      <w:lvlText w:val=""/>
      <w:lvlJc w:val="left"/>
    </w:lvl>
    <w:lvl w:ilvl="3" w:tplc="53381FB2">
      <w:numFmt w:val="decimal"/>
      <w:lvlText w:val=""/>
      <w:lvlJc w:val="left"/>
    </w:lvl>
    <w:lvl w:ilvl="4" w:tplc="61A8C530">
      <w:numFmt w:val="decimal"/>
      <w:lvlText w:val=""/>
      <w:lvlJc w:val="left"/>
    </w:lvl>
    <w:lvl w:ilvl="5" w:tplc="4906DD3A">
      <w:numFmt w:val="decimal"/>
      <w:lvlText w:val=""/>
      <w:lvlJc w:val="left"/>
    </w:lvl>
    <w:lvl w:ilvl="6" w:tplc="A7E230F4">
      <w:numFmt w:val="decimal"/>
      <w:lvlText w:val=""/>
      <w:lvlJc w:val="left"/>
    </w:lvl>
    <w:lvl w:ilvl="7" w:tplc="7A1888D6">
      <w:numFmt w:val="decimal"/>
      <w:lvlText w:val=""/>
      <w:lvlJc w:val="left"/>
    </w:lvl>
    <w:lvl w:ilvl="8" w:tplc="F0744F16">
      <w:numFmt w:val="decimal"/>
      <w:lvlText w:val=""/>
      <w:lvlJc w:val="left"/>
    </w:lvl>
  </w:abstractNum>
  <w:abstractNum w:abstractNumId="31" w15:restartNumberingAfterBreak="0">
    <w:nsid w:val="00004080"/>
    <w:multiLevelType w:val="hybridMultilevel"/>
    <w:tmpl w:val="C6CC0636"/>
    <w:lvl w:ilvl="0" w:tplc="BFBC1CE8">
      <w:start w:val="1"/>
      <w:numFmt w:val="decimal"/>
      <w:lvlText w:val="%1"/>
      <w:lvlJc w:val="left"/>
    </w:lvl>
    <w:lvl w:ilvl="1" w:tplc="7368E6FE">
      <w:start w:val="1"/>
      <w:numFmt w:val="lowerLetter"/>
      <w:lvlText w:val="%2)"/>
      <w:lvlJc w:val="left"/>
    </w:lvl>
    <w:lvl w:ilvl="2" w:tplc="3E76BA6C">
      <w:numFmt w:val="decimal"/>
      <w:lvlText w:val=""/>
      <w:lvlJc w:val="left"/>
    </w:lvl>
    <w:lvl w:ilvl="3" w:tplc="6D1EA1B0">
      <w:numFmt w:val="decimal"/>
      <w:lvlText w:val=""/>
      <w:lvlJc w:val="left"/>
    </w:lvl>
    <w:lvl w:ilvl="4" w:tplc="4C909CA6">
      <w:numFmt w:val="decimal"/>
      <w:lvlText w:val=""/>
      <w:lvlJc w:val="left"/>
    </w:lvl>
    <w:lvl w:ilvl="5" w:tplc="FD08C00E">
      <w:numFmt w:val="decimal"/>
      <w:lvlText w:val=""/>
      <w:lvlJc w:val="left"/>
    </w:lvl>
    <w:lvl w:ilvl="6" w:tplc="53BA5F4A">
      <w:numFmt w:val="decimal"/>
      <w:lvlText w:val=""/>
      <w:lvlJc w:val="left"/>
    </w:lvl>
    <w:lvl w:ilvl="7" w:tplc="171C1030">
      <w:numFmt w:val="decimal"/>
      <w:lvlText w:val=""/>
      <w:lvlJc w:val="left"/>
    </w:lvl>
    <w:lvl w:ilvl="8" w:tplc="57DACFAE">
      <w:numFmt w:val="decimal"/>
      <w:lvlText w:val=""/>
      <w:lvlJc w:val="left"/>
    </w:lvl>
  </w:abstractNum>
  <w:abstractNum w:abstractNumId="32" w15:restartNumberingAfterBreak="0">
    <w:nsid w:val="0000409D"/>
    <w:multiLevelType w:val="hybridMultilevel"/>
    <w:tmpl w:val="1DC68940"/>
    <w:lvl w:ilvl="0" w:tplc="E794A8AC">
      <w:start w:val="2"/>
      <w:numFmt w:val="decimal"/>
      <w:lvlText w:val="%1."/>
      <w:lvlJc w:val="left"/>
    </w:lvl>
    <w:lvl w:ilvl="1" w:tplc="749046D8">
      <w:start w:val="22"/>
      <w:numFmt w:val="lowerLetter"/>
      <w:lvlText w:val="%2"/>
      <w:lvlJc w:val="left"/>
    </w:lvl>
    <w:lvl w:ilvl="2" w:tplc="23C46ED4">
      <w:numFmt w:val="decimal"/>
      <w:lvlText w:val=""/>
      <w:lvlJc w:val="left"/>
    </w:lvl>
    <w:lvl w:ilvl="3" w:tplc="574ECF5C">
      <w:numFmt w:val="decimal"/>
      <w:lvlText w:val=""/>
      <w:lvlJc w:val="left"/>
    </w:lvl>
    <w:lvl w:ilvl="4" w:tplc="730E4C92">
      <w:numFmt w:val="decimal"/>
      <w:lvlText w:val=""/>
      <w:lvlJc w:val="left"/>
    </w:lvl>
    <w:lvl w:ilvl="5" w:tplc="D3367074">
      <w:numFmt w:val="decimal"/>
      <w:lvlText w:val=""/>
      <w:lvlJc w:val="left"/>
    </w:lvl>
    <w:lvl w:ilvl="6" w:tplc="9E0CDB0C">
      <w:numFmt w:val="decimal"/>
      <w:lvlText w:val=""/>
      <w:lvlJc w:val="left"/>
    </w:lvl>
    <w:lvl w:ilvl="7" w:tplc="123CDDF0">
      <w:numFmt w:val="decimal"/>
      <w:lvlText w:val=""/>
      <w:lvlJc w:val="left"/>
    </w:lvl>
    <w:lvl w:ilvl="8" w:tplc="DAE65602">
      <w:numFmt w:val="decimal"/>
      <w:lvlText w:val=""/>
      <w:lvlJc w:val="left"/>
    </w:lvl>
  </w:abstractNum>
  <w:abstractNum w:abstractNumId="33" w15:restartNumberingAfterBreak="0">
    <w:nsid w:val="00004230"/>
    <w:multiLevelType w:val="hybridMultilevel"/>
    <w:tmpl w:val="6706C36C"/>
    <w:lvl w:ilvl="0" w:tplc="AA1A2E9C">
      <w:start w:val="5"/>
      <w:numFmt w:val="lowerLetter"/>
      <w:lvlText w:val="%1)"/>
      <w:lvlJc w:val="left"/>
    </w:lvl>
    <w:lvl w:ilvl="1" w:tplc="642E97C4">
      <w:numFmt w:val="decimal"/>
      <w:lvlText w:val=""/>
      <w:lvlJc w:val="left"/>
    </w:lvl>
    <w:lvl w:ilvl="2" w:tplc="C56C4EFC">
      <w:numFmt w:val="decimal"/>
      <w:lvlText w:val=""/>
      <w:lvlJc w:val="left"/>
    </w:lvl>
    <w:lvl w:ilvl="3" w:tplc="A7D67048">
      <w:numFmt w:val="decimal"/>
      <w:lvlText w:val=""/>
      <w:lvlJc w:val="left"/>
    </w:lvl>
    <w:lvl w:ilvl="4" w:tplc="EA3EEA62">
      <w:numFmt w:val="decimal"/>
      <w:lvlText w:val=""/>
      <w:lvlJc w:val="left"/>
    </w:lvl>
    <w:lvl w:ilvl="5" w:tplc="69766046">
      <w:numFmt w:val="decimal"/>
      <w:lvlText w:val=""/>
      <w:lvlJc w:val="left"/>
    </w:lvl>
    <w:lvl w:ilvl="6" w:tplc="E918EFEC">
      <w:numFmt w:val="decimal"/>
      <w:lvlText w:val=""/>
      <w:lvlJc w:val="left"/>
    </w:lvl>
    <w:lvl w:ilvl="7" w:tplc="CE0A06EE">
      <w:numFmt w:val="decimal"/>
      <w:lvlText w:val=""/>
      <w:lvlJc w:val="left"/>
    </w:lvl>
    <w:lvl w:ilvl="8" w:tplc="43C68194">
      <w:numFmt w:val="decimal"/>
      <w:lvlText w:val=""/>
      <w:lvlJc w:val="left"/>
    </w:lvl>
  </w:abstractNum>
  <w:abstractNum w:abstractNumId="34" w15:restartNumberingAfterBreak="0">
    <w:nsid w:val="000048CC"/>
    <w:multiLevelType w:val="hybridMultilevel"/>
    <w:tmpl w:val="491405CA"/>
    <w:lvl w:ilvl="0" w:tplc="628C331E">
      <w:start w:val="5"/>
      <w:numFmt w:val="lowerLetter"/>
      <w:lvlText w:val="%1)"/>
      <w:lvlJc w:val="left"/>
    </w:lvl>
    <w:lvl w:ilvl="1" w:tplc="707845A4">
      <w:start w:val="1"/>
      <w:numFmt w:val="lowerLetter"/>
      <w:lvlText w:val="%2"/>
      <w:lvlJc w:val="left"/>
    </w:lvl>
    <w:lvl w:ilvl="2" w:tplc="072C857E">
      <w:numFmt w:val="decimal"/>
      <w:lvlText w:val=""/>
      <w:lvlJc w:val="left"/>
    </w:lvl>
    <w:lvl w:ilvl="3" w:tplc="A7D2A736">
      <w:numFmt w:val="decimal"/>
      <w:lvlText w:val=""/>
      <w:lvlJc w:val="left"/>
    </w:lvl>
    <w:lvl w:ilvl="4" w:tplc="46D0E9E0">
      <w:numFmt w:val="decimal"/>
      <w:lvlText w:val=""/>
      <w:lvlJc w:val="left"/>
    </w:lvl>
    <w:lvl w:ilvl="5" w:tplc="CA5E2DB4">
      <w:numFmt w:val="decimal"/>
      <w:lvlText w:val=""/>
      <w:lvlJc w:val="left"/>
    </w:lvl>
    <w:lvl w:ilvl="6" w:tplc="C0D2B7E2">
      <w:numFmt w:val="decimal"/>
      <w:lvlText w:val=""/>
      <w:lvlJc w:val="left"/>
    </w:lvl>
    <w:lvl w:ilvl="7" w:tplc="0E6CA686">
      <w:numFmt w:val="decimal"/>
      <w:lvlText w:val=""/>
      <w:lvlJc w:val="left"/>
    </w:lvl>
    <w:lvl w:ilvl="8" w:tplc="04D6FF58">
      <w:numFmt w:val="decimal"/>
      <w:lvlText w:val=""/>
      <w:lvlJc w:val="left"/>
    </w:lvl>
  </w:abstractNum>
  <w:abstractNum w:abstractNumId="35" w15:restartNumberingAfterBreak="0">
    <w:nsid w:val="00004944"/>
    <w:multiLevelType w:val="hybridMultilevel"/>
    <w:tmpl w:val="7364652C"/>
    <w:lvl w:ilvl="0" w:tplc="A370B00A">
      <w:start w:val="4"/>
      <w:numFmt w:val="decimal"/>
      <w:lvlText w:val="%1."/>
      <w:lvlJc w:val="left"/>
    </w:lvl>
    <w:lvl w:ilvl="1" w:tplc="138E8C66">
      <w:start w:val="1"/>
      <w:numFmt w:val="lowerLetter"/>
      <w:lvlText w:val="%2"/>
      <w:lvlJc w:val="left"/>
    </w:lvl>
    <w:lvl w:ilvl="2" w:tplc="96DC21D2">
      <w:numFmt w:val="decimal"/>
      <w:lvlText w:val=""/>
      <w:lvlJc w:val="left"/>
    </w:lvl>
    <w:lvl w:ilvl="3" w:tplc="FA88DE80">
      <w:numFmt w:val="decimal"/>
      <w:lvlText w:val=""/>
      <w:lvlJc w:val="left"/>
    </w:lvl>
    <w:lvl w:ilvl="4" w:tplc="7F78B114">
      <w:numFmt w:val="decimal"/>
      <w:lvlText w:val=""/>
      <w:lvlJc w:val="left"/>
    </w:lvl>
    <w:lvl w:ilvl="5" w:tplc="C52E090A">
      <w:numFmt w:val="decimal"/>
      <w:lvlText w:val=""/>
      <w:lvlJc w:val="left"/>
    </w:lvl>
    <w:lvl w:ilvl="6" w:tplc="1BA017D6">
      <w:numFmt w:val="decimal"/>
      <w:lvlText w:val=""/>
      <w:lvlJc w:val="left"/>
    </w:lvl>
    <w:lvl w:ilvl="7" w:tplc="EF16C91E">
      <w:numFmt w:val="decimal"/>
      <w:lvlText w:val=""/>
      <w:lvlJc w:val="left"/>
    </w:lvl>
    <w:lvl w:ilvl="8" w:tplc="116C9D14">
      <w:numFmt w:val="decimal"/>
      <w:lvlText w:val=""/>
      <w:lvlJc w:val="left"/>
    </w:lvl>
  </w:abstractNum>
  <w:abstractNum w:abstractNumId="36" w15:restartNumberingAfterBreak="0">
    <w:nsid w:val="00004A80"/>
    <w:multiLevelType w:val="hybridMultilevel"/>
    <w:tmpl w:val="DA9E6DC8"/>
    <w:lvl w:ilvl="0" w:tplc="2096898E">
      <w:start w:val="3"/>
      <w:numFmt w:val="decimal"/>
      <w:lvlText w:val="%1."/>
      <w:lvlJc w:val="left"/>
    </w:lvl>
    <w:lvl w:ilvl="1" w:tplc="7D5A5072">
      <w:numFmt w:val="decimal"/>
      <w:lvlText w:val=""/>
      <w:lvlJc w:val="left"/>
    </w:lvl>
    <w:lvl w:ilvl="2" w:tplc="8FA66FA2">
      <w:numFmt w:val="decimal"/>
      <w:lvlText w:val=""/>
      <w:lvlJc w:val="left"/>
    </w:lvl>
    <w:lvl w:ilvl="3" w:tplc="2F92721C">
      <w:numFmt w:val="decimal"/>
      <w:lvlText w:val=""/>
      <w:lvlJc w:val="left"/>
    </w:lvl>
    <w:lvl w:ilvl="4" w:tplc="0EAAD9D6">
      <w:numFmt w:val="decimal"/>
      <w:lvlText w:val=""/>
      <w:lvlJc w:val="left"/>
    </w:lvl>
    <w:lvl w:ilvl="5" w:tplc="7A68586C">
      <w:numFmt w:val="decimal"/>
      <w:lvlText w:val=""/>
      <w:lvlJc w:val="left"/>
    </w:lvl>
    <w:lvl w:ilvl="6" w:tplc="85B61F6E">
      <w:numFmt w:val="decimal"/>
      <w:lvlText w:val=""/>
      <w:lvlJc w:val="left"/>
    </w:lvl>
    <w:lvl w:ilvl="7" w:tplc="2A5A2F82">
      <w:numFmt w:val="decimal"/>
      <w:lvlText w:val=""/>
      <w:lvlJc w:val="left"/>
    </w:lvl>
    <w:lvl w:ilvl="8" w:tplc="099AD7E6">
      <w:numFmt w:val="decimal"/>
      <w:lvlText w:val=""/>
      <w:lvlJc w:val="left"/>
    </w:lvl>
  </w:abstractNum>
  <w:abstractNum w:abstractNumId="37" w15:restartNumberingAfterBreak="0">
    <w:nsid w:val="00004B40"/>
    <w:multiLevelType w:val="hybridMultilevel"/>
    <w:tmpl w:val="A14EC58E"/>
    <w:lvl w:ilvl="0" w:tplc="5126B24E">
      <w:start w:val="14"/>
      <w:numFmt w:val="lowerLetter"/>
      <w:lvlText w:val="%1)"/>
      <w:lvlJc w:val="left"/>
    </w:lvl>
    <w:lvl w:ilvl="1" w:tplc="012E989E">
      <w:numFmt w:val="decimal"/>
      <w:lvlText w:val=""/>
      <w:lvlJc w:val="left"/>
    </w:lvl>
    <w:lvl w:ilvl="2" w:tplc="57D4F05C">
      <w:numFmt w:val="decimal"/>
      <w:lvlText w:val=""/>
      <w:lvlJc w:val="left"/>
    </w:lvl>
    <w:lvl w:ilvl="3" w:tplc="7B9A405A">
      <w:numFmt w:val="decimal"/>
      <w:lvlText w:val=""/>
      <w:lvlJc w:val="left"/>
    </w:lvl>
    <w:lvl w:ilvl="4" w:tplc="373A01F4">
      <w:numFmt w:val="decimal"/>
      <w:lvlText w:val=""/>
      <w:lvlJc w:val="left"/>
    </w:lvl>
    <w:lvl w:ilvl="5" w:tplc="260AA730">
      <w:numFmt w:val="decimal"/>
      <w:lvlText w:val=""/>
      <w:lvlJc w:val="left"/>
    </w:lvl>
    <w:lvl w:ilvl="6" w:tplc="72407F4E">
      <w:numFmt w:val="decimal"/>
      <w:lvlText w:val=""/>
      <w:lvlJc w:val="left"/>
    </w:lvl>
    <w:lvl w:ilvl="7" w:tplc="43F6CAB2">
      <w:numFmt w:val="decimal"/>
      <w:lvlText w:val=""/>
      <w:lvlJc w:val="left"/>
    </w:lvl>
    <w:lvl w:ilvl="8" w:tplc="B928B90C">
      <w:numFmt w:val="decimal"/>
      <w:lvlText w:val=""/>
      <w:lvlJc w:val="left"/>
    </w:lvl>
  </w:abstractNum>
  <w:abstractNum w:abstractNumId="38" w15:restartNumberingAfterBreak="0">
    <w:nsid w:val="00004CAD"/>
    <w:multiLevelType w:val="hybridMultilevel"/>
    <w:tmpl w:val="34900324"/>
    <w:lvl w:ilvl="0" w:tplc="DB388AE6">
      <w:start w:val="3"/>
      <w:numFmt w:val="decimal"/>
      <w:lvlText w:val="%1."/>
      <w:lvlJc w:val="left"/>
    </w:lvl>
    <w:lvl w:ilvl="1" w:tplc="3A74F25C">
      <w:start w:val="1"/>
      <w:numFmt w:val="lowerLetter"/>
      <w:lvlText w:val="%2"/>
      <w:lvlJc w:val="left"/>
    </w:lvl>
    <w:lvl w:ilvl="2" w:tplc="66EA8EFA">
      <w:numFmt w:val="decimal"/>
      <w:lvlText w:val=""/>
      <w:lvlJc w:val="left"/>
    </w:lvl>
    <w:lvl w:ilvl="3" w:tplc="8318B060">
      <w:numFmt w:val="decimal"/>
      <w:lvlText w:val=""/>
      <w:lvlJc w:val="left"/>
    </w:lvl>
    <w:lvl w:ilvl="4" w:tplc="FAE60FA2">
      <w:numFmt w:val="decimal"/>
      <w:lvlText w:val=""/>
      <w:lvlJc w:val="left"/>
    </w:lvl>
    <w:lvl w:ilvl="5" w:tplc="190436C4">
      <w:numFmt w:val="decimal"/>
      <w:lvlText w:val=""/>
      <w:lvlJc w:val="left"/>
    </w:lvl>
    <w:lvl w:ilvl="6" w:tplc="8DFC6FF6">
      <w:numFmt w:val="decimal"/>
      <w:lvlText w:val=""/>
      <w:lvlJc w:val="left"/>
    </w:lvl>
    <w:lvl w:ilvl="7" w:tplc="94F2B74C">
      <w:numFmt w:val="decimal"/>
      <w:lvlText w:val=""/>
      <w:lvlJc w:val="left"/>
    </w:lvl>
    <w:lvl w:ilvl="8" w:tplc="963CE958">
      <w:numFmt w:val="decimal"/>
      <w:lvlText w:val=""/>
      <w:lvlJc w:val="left"/>
    </w:lvl>
  </w:abstractNum>
  <w:abstractNum w:abstractNumId="39" w15:restartNumberingAfterBreak="0">
    <w:nsid w:val="00004DF2"/>
    <w:multiLevelType w:val="hybridMultilevel"/>
    <w:tmpl w:val="089CA434"/>
    <w:lvl w:ilvl="0" w:tplc="076AD706">
      <w:start w:val="1"/>
      <w:numFmt w:val="decimal"/>
      <w:lvlText w:val="%1"/>
      <w:lvlJc w:val="left"/>
    </w:lvl>
    <w:lvl w:ilvl="1" w:tplc="AC9085A6">
      <w:start w:val="3"/>
      <w:numFmt w:val="lowerLetter"/>
      <w:lvlText w:val="%2)"/>
      <w:lvlJc w:val="left"/>
    </w:lvl>
    <w:lvl w:ilvl="2" w:tplc="CB0C2E08">
      <w:numFmt w:val="decimal"/>
      <w:lvlText w:val=""/>
      <w:lvlJc w:val="left"/>
    </w:lvl>
    <w:lvl w:ilvl="3" w:tplc="54CCABC8">
      <w:numFmt w:val="decimal"/>
      <w:lvlText w:val=""/>
      <w:lvlJc w:val="left"/>
    </w:lvl>
    <w:lvl w:ilvl="4" w:tplc="C9462A58">
      <w:numFmt w:val="decimal"/>
      <w:lvlText w:val=""/>
      <w:lvlJc w:val="left"/>
    </w:lvl>
    <w:lvl w:ilvl="5" w:tplc="C9F2CFA4">
      <w:numFmt w:val="decimal"/>
      <w:lvlText w:val=""/>
      <w:lvlJc w:val="left"/>
    </w:lvl>
    <w:lvl w:ilvl="6" w:tplc="4A0AD902">
      <w:numFmt w:val="decimal"/>
      <w:lvlText w:val=""/>
      <w:lvlJc w:val="left"/>
    </w:lvl>
    <w:lvl w:ilvl="7" w:tplc="B4F21D7A">
      <w:numFmt w:val="decimal"/>
      <w:lvlText w:val=""/>
      <w:lvlJc w:val="left"/>
    </w:lvl>
    <w:lvl w:ilvl="8" w:tplc="3B06C05E">
      <w:numFmt w:val="decimal"/>
      <w:lvlText w:val=""/>
      <w:lvlJc w:val="left"/>
    </w:lvl>
  </w:abstractNum>
  <w:abstractNum w:abstractNumId="40" w15:restartNumberingAfterBreak="0">
    <w:nsid w:val="00005422"/>
    <w:multiLevelType w:val="hybridMultilevel"/>
    <w:tmpl w:val="A71A1ED4"/>
    <w:lvl w:ilvl="0" w:tplc="3124B054">
      <w:start w:val="1"/>
      <w:numFmt w:val="decimal"/>
      <w:lvlText w:val="%1."/>
      <w:lvlJc w:val="left"/>
    </w:lvl>
    <w:lvl w:ilvl="1" w:tplc="38E062AA">
      <w:start w:val="1"/>
      <w:numFmt w:val="lowerLetter"/>
      <w:lvlText w:val="%2)"/>
      <w:lvlJc w:val="left"/>
    </w:lvl>
    <w:lvl w:ilvl="2" w:tplc="8E968A42">
      <w:numFmt w:val="decimal"/>
      <w:lvlText w:val=""/>
      <w:lvlJc w:val="left"/>
    </w:lvl>
    <w:lvl w:ilvl="3" w:tplc="898C4E28">
      <w:numFmt w:val="decimal"/>
      <w:lvlText w:val=""/>
      <w:lvlJc w:val="left"/>
    </w:lvl>
    <w:lvl w:ilvl="4" w:tplc="D062CE82">
      <w:numFmt w:val="decimal"/>
      <w:lvlText w:val=""/>
      <w:lvlJc w:val="left"/>
    </w:lvl>
    <w:lvl w:ilvl="5" w:tplc="CE96E62E">
      <w:numFmt w:val="decimal"/>
      <w:lvlText w:val=""/>
      <w:lvlJc w:val="left"/>
    </w:lvl>
    <w:lvl w:ilvl="6" w:tplc="14EC24CA">
      <w:numFmt w:val="decimal"/>
      <w:lvlText w:val=""/>
      <w:lvlJc w:val="left"/>
    </w:lvl>
    <w:lvl w:ilvl="7" w:tplc="E0B4145A">
      <w:numFmt w:val="decimal"/>
      <w:lvlText w:val=""/>
      <w:lvlJc w:val="left"/>
    </w:lvl>
    <w:lvl w:ilvl="8" w:tplc="344E0060">
      <w:numFmt w:val="decimal"/>
      <w:lvlText w:val=""/>
      <w:lvlJc w:val="left"/>
    </w:lvl>
  </w:abstractNum>
  <w:abstractNum w:abstractNumId="41" w15:restartNumberingAfterBreak="0">
    <w:nsid w:val="00005753"/>
    <w:multiLevelType w:val="hybridMultilevel"/>
    <w:tmpl w:val="7A7693FC"/>
    <w:lvl w:ilvl="0" w:tplc="A4E211E2">
      <w:start w:val="7"/>
      <w:numFmt w:val="decimal"/>
      <w:lvlText w:val="%1."/>
      <w:lvlJc w:val="left"/>
    </w:lvl>
    <w:lvl w:ilvl="1" w:tplc="8F401252">
      <w:start w:val="1"/>
      <w:numFmt w:val="lowerLetter"/>
      <w:lvlText w:val="%2)"/>
      <w:lvlJc w:val="left"/>
    </w:lvl>
    <w:lvl w:ilvl="2" w:tplc="2C783C6E">
      <w:numFmt w:val="decimal"/>
      <w:lvlText w:val=""/>
      <w:lvlJc w:val="left"/>
    </w:lvl>
    <w:lvl w:ilvl="3" w:tplc="D65C3C0E">
      <w:numFmt w:val="decimal"/>
      <w:lvlText w:val=""/>
      <w:lvlJc w:val="left"/>
    </w:lvl>
    <w:lvl w:ilvl="4" w:tplc="3D205B04">
      <w:numFmt w:val="decimal"/>
      <w:lvlText w:val=""/>
      <w:lvlJc w:val="left"/>
    </w:lvl>
    <w:lvl w:ilvl="5" w:tplc="4280B3F0">
      <w:numFmt w:val="decimal"/>
      <w:lvlText w:val=""/>
      <w:lvlJc w:val="left"/>
    </w:lvl>
    <w:lvl w:ilvl="6" w:tplc="96DE569A">
      <w:numFmt w:val="decimal"/>
      <w:lvlText w:val=""/>
      <w:lvlJc w:val="left"/>
    </w:lvl>
    <w:lvl w:ilvl="7" w:tplc="CC86CBB4">
      <w:numFmt w:val="decimal"/>
      <w:lvlText w:val=""/>
      <w:lvlJc w:val="left"/>
    </w:lvl>
    <w:lvl w:ilvl="8" w:tplc="74401D30">
      <w:numFmt w:val="decimal"/>
      <w:lvlText w:val=""/>
      <w:lvlJc w:val="left"/>
    </w:lvl>
  </w:abstractNum>
  <w:abstractNum w:abstractNumId="42" w15:restartNumberingAfterBreak="0">
    <w:nsid w:val="00005772"/>
    <w:multiLevelType w:val="hybridMultilevel"/>
    <w:tmpl w:val="54908978"/>
    <w:lvl w:ilvl="0" w:tplc="683EA946">
      <w:start w:val="2"/>
      <w:numFmt w:val="decimal"/>
      <w:lvlText w:val="%1."/>
      <w:lvlJc w:val="left"/>
    </w:lvl>
    <w:lvl w:ilvl="1" w:tplc="8798348A">
      <w:start w:val="1"/>
      <w:numFmt w:val="lowerLetter"/>
      <w:lvlText w:val="%2)"/>
      <w:lvlJc w:val="left"/>
    </w:lvl>
    <w:lvl w:ilvl="2" w:tplc="DAEC3D6E">
      <w:numFmt w:val="decimal"/>
      <w:lvlText w:val=""/>
      <w:lvlJc w:val="left"/>
    </w:lvl>
    <w:lvl w:ilvl="3" w:tplc="FEDCE8BE">
      <w:numFmt w:val="decimal"/>
      <w:lvlText w:val=""/>
      <w:lvlJc w:val="left"/>
    </w:lvl>
    <w:lvl w:ilvl="4" w:tplc="553AEE98">
      <w:numFmt w:val="decimal"/>
      <w:lvlText w:val=""/>
      <w:lvlJc w:val="left"/>
    </w:lvl>
    <w:lvl w:ilvl="5" w:tplc="F0C2DFD6">
      <w:numFmt w:val="decimal"/>
      <w:lvlText w:val=""/>
      <w:lvlJc w:val="left"/>
    </w:lvl>
    <w:lvl w:ilvl="6" w:tplc="B13CE6E6">
      <w:numFmt w:val="decimal"/>
      <w:lvlText w:val=""/>
      <w:lvlJc w:val="left"/>
    </w:lvl>
    <w:lvl w:ilvl="7" w:tplc="A8E4BA4C">
      <w:numFmt w:val="decimal"/>
      <w:lvlText w:val=""/>
      <w:lvlJc w:val="left"/>
    </w:lvl>
    <w:lvl w:ilvl="8" w:tplc="7B9C71D4">
      <w:numFmt w:val="decimal"/>
      <w:lvlText w:val=""/>
      <w:lvlJc w:val="left"/>
    </w:lvl>
  </w:abstractNum>
  <w:abstractNum w:abstractNumId="43" w15:restartNumberingAfterBreak="0">
    <w:nsid w:val="00005878"/>
    <w:multiLevelType w:val="hybridMultilevel"/>
    <w:tmpl w:val="936033F8"/>
    <w:lvl w:ilvl="0" w:tplc="3C38A5D6">
      <w:start w:val="27"/>
      <w:numFmt w:val="lowerLetter"/>
      <w:lvlText w:val="%1)"/>
      <w:lvlJc w:val="left"/>
    </w:lvl>
    <w:lvl w:ilvl="1" w:tplc="802C8082">
      <w:numFmt w:val="decimal"/>
      <w:lvlText w:val=""/>
      <w:lvlJc w:val="left"/>
    </w:lvl>
    <w:lvl w:ilvl="2" w:tplc="628635E6">
      <w:numFmt w:val="decimal"/>
      <w:lvlText w:val=""/>
      <w:lvlJc w:val="left"/>
    </w:lvl>
    <w:lvl w:ilvl="3" w:tplc="10D64E46">
      <w:numFmt w:val="decimal"/>
      <w:lvlText w:val=""/>
      <w:lvlJc w:val="left"/>
    </w:lvl>
    <w:lvl w:ilvl="4" w:tplc="626EAA50">
      <w:numFmt w:val="decimal"/>
      <w:lvlText w:val=""/>
      <w:lvlJc w:val="left"/>
    </w:lvl>
    <w:lvl w:ilvl="5" w:tplc="4CC46014">
      <w:numFmt w:val="decimal"/>
      <w:lvlText w:val=""/>
      <w:lvlJc w:val="left"/>
    </w:lvl>
    <w:lvl w:ilvl="6" w:tplc="39D280D6">
      <w:numFmt w:val="decimal"/>
      <w:lvlText w:val=""/>
      <w:lvlJc w:val="left"/>
    </w:lvl>
    <w:lvl w:ilvl="7" w:tplc="FE06AE6E">
      <w:numFmt w:val="decimal"/>
      <w:lvlText w:val=""/>
      <w:lvlJc w:val="left"/>
    </w:lvl>
    <w:lvl w:ilvl="8" w:tplc="3E28094A">
      <w:numFmt w:val="decimal"/>
      <w:lvlText w:val=""/>
      <w:lvlJc w:val="left"/>
    </w:lvl>
  </w:abstractNum>
  <w:abstractNum w:abstractNumId="44" w15:restartNumberingAfterBreak="0">
    <w:nsid w:val="000058B0"/>
    <w:multiLevelType w:val="hybridMultilevel"/>
    <w:tmpl w:val="EB2A6F0A"/>
    <w:lvl w:ilvl="0" w:tplc="42040F52">
      <w:start w:val="1"/>
      <w:numFmt w:val="lowerLetter"/>
      <w:lvlText w:val="%1)"/>
      <w:lvlJc w:val="left"/>
    </w:lvl>
    <w:lvl w:ilvl="1" w:tplc="2FF064D4">
      <w:numFmt w:val="decimal"/>
      <w:lvlText w:val=""/>
      <w:lvlJc w:val="left"/>
    </w:lvl>
    <w:lvl w:ilvl="2" w:tplc="B7B63CA2">
      <w:numFmt w:val="decimal"/>
      <w:lvlText w:val=""/>
      <w:lvlJc w:val="left"/>
    </w:lvl>
    <w:lvl w:ilvl="3" w:tplc="7CD0AF16">
      <w:numFmt w:val="decimal"/>
      <w:lvlText w:val=""/>
      <w:lvlJc w:val="left"/>
    </w:lvl>
    <w:lvl w:ilvl="4" w:tplc="60982E3A">
      <w:numFmt w:val="decimal"/>
      <w:lvlText w:val=""/>
      <w:lvlJc w:val="left"/>
    </w:lvl>
    <w:lvl w:ilvl="5" w:tplc="C55E5DD4">
      <w:numFmt w:val="decimal"/>
      <w:lvlText w:val=""/>
      <w:lvlJc w:val="left"/>
    </w:lvl>
    <w:lvl w:ilvl="6" w:tplc="0EE00D70">
      <w:numFmt w:val="decimal"/>
      <w:lvlText w:val=""/>
      <w:lvlJc w:val="left"/>
    </w:lvl>
    <w:lvl w:ilvl="7" w:tplc="F0267E4C">
      <w:numFmt w:val="decimal"/>
      <w:lvlText w:val=""/>
      <w:lvlJc w:val="left"/>
    </w:lvl>
    <w:lvl w:ilvl="8" w:tplc="AAD43C00">
      <w:numFmt w:val="decimal"/>
      <w:lvlText w:val=""/>
      <w:lvlJc w:val="left"/>
    </w:lvl>
  </w:abstractNum>
  <w:abstractNum w:abstractNumId="45" w15:restartNumberingAfterBreak="0">
    <w:nsid w:val="00005991"/>
    <w:multiLevelType w:val="hybridMultilevel"/>
    <w:tmpl w:val="EC2AAAB4"/>
    <w:lvl w:ilvl="0" w:tplc="5A46B05E">
      <w:start w:val="1"/>
      <w:numFmt w:val="decimal"/>
      <w:lvlText w:val="%1"/>
      <w:lvlJc w:val="left"/>
    </w:lvl>
    <w:lvl w:ilvl="1" w:tplc="92F2E240">
      <w:start w:val="1"/>
      <w:numFmt w:val="lowerLetter"/>
      <w:lvlText w:val="%2"/>
      <w:lvlJc w:val="left"/>
    </w:lvl>
    <w:lvl w:ilvl="2" w:tplc="3D80A804">
      <w:numFmt w:val="decimal"/>
      <w:lvlText w:val=""/>
      <w:lvlJc w:val="left"/>
    </w:lvl>
    <w:lvl w:ilvl="3" w:tplc="350803C0">
      <w:numFmt w:val="decimal"/>
      <w:lvlText w:val=""/>
      <w:lvlJc w:val="left"/>
    </w:lvl>
    <w:lvl w:ilvl="4" w:tplc="5A968840">
      <w:numFmt w:val="decimal"/>
      <w:lvlText w:val=""/>
      <w:lvlJc w:val="left"/>
    </w:lvl>
    <w:lvl w:ilvl="5" w:tplc="99362872">
      <w:numFmt w:val="decimal"/>
      <w:lvlText w:val=""/>
      <w:lvlJc w:val="left"/>
    </w:lvl>
    <w:lvl w:ilvl="6" w:tplc="F0101F56">
      <w:numFmt w:val="decimal"/>
      <w:lvlText w:val=""/>
      <w:lvlJc w:val="left"/>
    </w:lvl>
    <w:lvl w:ilvl="7" w:tplc="91FE21A2">
      <w:numFmt w:val="decimal"/>
      <w:lvlText w:val=""/>
      <w:lvlJc w:val="left"/>
    </w:lvl>
    <w:lvl w:ilvl="8" w:tplc="ACC45C36">
      <w:numFmt w:val="decimal"/>
      <w:lvlText w:val=""/>
      <w:lvlJc w:val="left"/>
    </w:lvl>
  </w:abstractNum>
  <w:abstractNum w:abstractNumId="46" w15:restartNumberingAfterBreak="0">
    <w:nsid w:val="00005C67"/>
    <w:multiLevelType w:val="hybridMultilevel"/>
    <w:tmpl w:val="6D3AE8D4"/>
    <w:lvl w:ilvl="0" w:tplc="B4FA5388">
      <w:start w:val="2"/>
      <w:numFmt w:val="decimal"/>
      <w:lvlText w:val="%1."/>
      <w:lvlJc w:val="left"/>
    </w:lvl>
    <w:lvl w:ilvl="1" w:tplc="D81AEFAC">
      <w:numFmt w:val="decimal"/>
      <w:lvlText w:val=""/>
      <w:lvlJc w:val="left"/>
    </w:lvl>
    <w:lvl w:ilvl="2" w:tplc="5A087FA6">
      <w:numFmt w:val="decimal"/>
      <w:lvlText w:val=""/>
      <w:lvlJc w:val="left"/>
    </w:lvl>
    <w:lvl w:ilvl="3" w:tplc="983CB562">
      <w:numFmt w:val="decimal"/>
      <w:lvlText w:val=""/>
      <w:lvlJc w:val="left"/>
    </w:lvl>
    <w:lvl w:ilvl="4" w:tplc="030AE590">
      <w:numFmt w:val="decimal"/>
      <w:lvlText w:val=""/>
      <w:lvlJc w:val="left"/>
    </w:lvl>
    <w:lvl w:ilvl="5" w:tplc="7946E750">
      <w:numFmt w:val="decimal"/>
      <w:lvlText w:val=""/>
      <w:lvlJc w:val="left"/>
    </w:lvl>
    <w:lvl w:ilvl="6" w:tplc="84A8A0B0">
      <w:numFmt w:val="decimal"/>
      <w:lvlText w:val=""/>
      <w:lvlJc w:val="left"/>
    </w:lvl>
    <w:lvl w:ilvl="7" w:tplc="02CED9AE">
      <w:numFmt w:val="decimal"/>
      <w:lvlText w:val=""/>
      <w:lvlJc w:val="left"/>
    </w:lvl>
    <w:lvl w:ilvl="8" w:tplc="60C27ED8">
      <w:numFmt w:val="decimal"/>
      <w:lvlText w:val=""/>
      <w:lvlJc w:val="left"/>
    </w:lvl>
  </w:abstractNum>
  <w:abstractNum w:abstractNumId="47" w15:restartNumberingAfterBreak="0">
    <w:nsid w:val="00005CFD"/>
    <w:multiLevelType w:val="hybridMultilevel"/>
    <w:tmpl w:val="A8F2DA4A"/>
    <w:lvl w:ilvl="0" w:tplc="C518B73E">
      <w:start w:val="1"/>
      <w:numFmt w:val="decimal"/>
      <w:lvlText w:val="%1."/>
      <w:lvlJc w:val="left"/>
    </w:lvl>
    <w:lvl w:ilvl="1" w:tplc="3A1CCC52">
      <w:numFmt w:val="decimal"/>
      <w:lvlText w:val=""/>
      <w:lvlJc w:val="left"/>
    </w:lvl>
    <w:lvl w:ilvl="2" w:tplc="190EA8CC">
      <w:numFmt w:val="decimal"/>
      <w:lvlText w:val=""/>
      <w:lvlJc w:val="left"/>
    </w:lvl>
    <w:lvl w:ilvl="3" w:tplc="1EBA1ACC">
      <w:numFmt w:val="decimal"/>
      <w:lvlText w:val=""/>
      <w:lvlJc w:val="left"/>
    </w:lvl>
    <w:lvl w:ilvl="4" w:tplc="633A43CE">
      <w:numFmt w:val="decimal"/>
      <w:lvlText w:val=""/>
      <w:lvlJc w:val="left"/>
    </w:lvl>
    <w:lvl w:ilvl="5" w:tplc="907686E8">
      <w:numFmt w:val="decimal"/>
      <w:lvlText w:val=""/>
      <w:lvlJc w:val="left"/>
    </w:lvl>
    <w:lvl w:ilvl="6" w:tplc="FE06F7AC">
      <w:numFmt w:val="decimal"/>
      <w:lvlText w:val=""/>
      <w:lvlJc w:val="left"/>
    </w:lvl>
    <w:lvl w:ilvl="7" w:tplc="05921832">
      <w:numFmt w:val="decimal"/>
      <w:lvlText w:val=""/>
      <w:lvlJc w:val="left"/>
    </w:lvl>
    <w:lvl w:ilvl="8" w:tplc="8AB6CAC4">
      <w:numFmt w:val="decimal"/>
      <w:lvlText w:val=""/>
      <w:lvlJc w:val="left"/>
    </w:lvl>
  </w:abstractNum>
  <w:abstractNum w:abstractNumId="48" w15:restartNumberingAfterBreak="0">
    <w:nsid w:val="00005DB2"/>
    <w:multiLevelType w:val="hybridMultilevel"/>
    <w:tmpl w:val="0422DFF2"/>
    <w:lvl w:ilvl="0" w:tplc="CB52A5FE">
      <w:start w:val="3"/>
      <w:numFmt w:val="decimal"/>
      <w:lvlText w:val="%1."/>
      <w:lvlJc w:val="left"/>
    </w:lvl>
    <w:lvl w:ilvl="1" w:tplc="82BABF7C">
      <w:start w:val="1"/>
      <w:numFmt w:val="lowerLetter"/>
      <w:lvlText w:val="%2"/>
      <w:lvlJc w:val="left"/>
    </w:lvl>
    <w:lvl w:ilvl="2" w:tplc="7AB01D70">
      <w:numFmt w:val="decimal"/>
      <w:lvlText w:val=""/>
      <w:lvlJc w:val="left"/>
    </w:lvl>
    <w:lvl w:ilvl="3" w:tplc="BE4AAFB6">
      <w:numFmt w:val="decimal"/>
      <w:lvlText w:val=""/>
      <w:lvlJc w:val="left"/>
    </w:lvl>
    <w:lvl w:ilvl="4" w:tplc="8A9E3EEC">
      <w:numFmt w:val="decimal"/>
      <w:lvlText w:val=""/>
      <w:lvlJc w:val="left"/>
    </w:lvl>
    <w:lvl w:ilvl="5" w:tplc="47DE935C">
      <w:numFmt w:val="decimal"/>
      <w:lvlText w:val=""/>
      <w:lvlJc w:val="left"/>
    </w:lvl>
    <w:lvl w:ilvl="6" w:tplc="D408D57C">
      <w:numFmt w:val="decimal"/>
      <w:lvlText w:val=""/>
      <w:lvlJc w:val="left"/>
    </w:lvl>
    <w:lvl w:ilvl="7" w:tplc="6E36AE74">
      <w:numFmt w:val="decimal"/>
      <w:lvlText w:val=""/>
      <w:lvlJc w:val="left"/>
    </w:lvl>
    <w:lvl w:ilvl="8" w:tplc="0D2EF26A">
      <w:numFmt w:val="decimal"/>
      <w:lvlText w:val=""/>
      <w:lvlJc w:val="left"/>
    </w:lvl>
  </w:abstractNum>
  <w:abstractNum w:abstractNumId="49" w15:restartNumberingAfterBreak="0">
    <w:nsid w:val="00005E14"/>
    <w:multiLevelType w:val="hybridMultilevel"/>
    <w:tmpl w:val="3402C0DC"/>
    <w:lvl w:ilvl="0" w:tplc="400A1440">
      <w:start w:val="1"/>
      <w:numFmt w:val="decimal"/>
      <w:lvlText w:val="%1."/>
      <w:lvlJc w:val="left"/>
    </w:lvl>
    <w:lvl w:ilvl="1" w:tplc="6218A6DC">
      <w:start w:val="1"/>
      <w:numFmt w:val="lowerLetter"/>
      <w:lvlText w:val="%2)"/>
      <w:lvlJc w:val="left"/>
    </w:lvl>
    <w:lvl w:ilvl="2" w:tplc="E9C4AE8C">
      <w:numFmt w:val="decimal"/>
      <w:lvlText w:val=""/>
      <w:lvlJc w:val="left"/>
    </w:lvl>
    <w:lvl w:ilvl="3" w:tplc="B8CA9B72">
      <w:numFmt w:val="decimal"/>
      <w:lvlText w:val=""/>
      <w:lvlJc w:val="left"/>
    </w:lvl>
    <w:lvl w:ilvl="4" w:tplc="CDD64286">
      <w:numFmt w:val="decimal"/>
      <w:lvlText w:val=""/>
      <w:lvlJc w:val="left"/>
    </w:lvl>
    <w:lvl w:ilvl="5" w:tplc="9BA6B128">
      <w:numFmt w:val="decimal"/>
      <w:lvlText w:val=""/>
      <w:lvlJc w:val="left"/>
    </w:lvl>
    <w:lvl w:ilvl="6" w:tplc="C04C9932">
      <w:numFmt w:val="decimal"/>
      <w:lvlText w:val=""/>
      <w:lvlJc w:val="left"/>
    </w:lvl>
    <w:lvl w:ilvl="7" w:tplc="94284E2E">
      <w:numFmt w:val="decimal"/>
      <w:lvlText w:val=""/>
      <w:lvlJc w:val="left"/>
    </w:lvl>
    <w:lvl w:ilvl="8" w:tplc="C1267A6C">
      <w:numFmt w:val="decimal"/>
      <w:lvlText w:val=""/>
      <w:lvlJc w:val="left"/>
    </w:lvl>
  </w:abstractNum>
  <w:abstractNum w:abstractNumId="50" w15:restartNumberingAfterBreak="0">
    <w:nsid w:val="00005F32"/>
    <w:multiLevelType w:val="hybridMultilevel"/>
    <w:tmpl w:val="7010B51A"/>
    <w:lvl w:ilvl="0" w:tplc="150859E2">
      <w:start w:val="6"/>
      <w:numFmt w:val="decimal"/>
      <w:lvlText w:val="%1."/>
      <w:lvlJc w:val="left"/>
    </w:lvl>
    <w:lvl w:ilvl="1" w:tplc="B5843780">
      <w:start w:val="1"/>
      <w:numFmt w:val="lowerLetter"/>
      <w:lvlText w:val="%2)"/>
      <w:lvlJc w:val="left"/>
    </w:lvl>
    <w:lvl w:ilvl="2" w:tplc="7340BAC8">
      <w:numFmt w:val="decimal"/>
      <w:lvlText w:val=""/>
      <w:lvlJc w:val="left"/>
    </w:lvl>
    <w:lvl w:ilvl="3" w:tplc="33744E2C">
      <w:numFmt w:val="decimal"/>
      <w:lvlText w:val=""/>
      <w:lvlJc w:val="left"/>
    </w:lvl>
    <w:lvl w:ilvl="4" w:tplc="51B88524">
      <w:numFmt w:val="decimal"/>
      <w:lvlText w:val=""/>
      <w:lvlJc w:val="left"/>
    </w:lvl>
    <w:lvl w:ilvl="5" w:tplc="58EE256C">
      <w:numFmt w:val="decimal"/>
      <w:lvlText w:val=""/>
      <w:lvlJc w:val="left"/>
    </w:lvl>
    <w:lvl w:ilvl="6" w:tplc="1BB09B90">
      <w:numFmt w:val="decimal"/>
      <w:lvlText w:val=""/>
      <w:lvlJc w:val="left"/>
    </w:lvl>
    <w:lvl w:ilvl="7" w:tplc="810AF742">
      <w:numFmt w:val="decimal"/>
      <w:lvlText w:val=""/>
      <w:lvlJc w:val="left"/>
    </w:lvl>
    <w:lvl w:ilvl="8" w:tplc="2B5A8E6C">
      <w:numFmt w:val="decimal"/>
      <w:lvlText w:val=""/>
      <w:lvlJc w:val="left"/>
    </w:lvl>
  </w:abstractNum>
  <w:abstractNum w:abstractNumId="51" w15:restartNumberingAfterBreak="0">
    <w:nsid w:val="00005F49"/>
    <w:multiLevelType w:val="hybridMultilevel"/>
    <w:tmpl w:val="A0FA2244"/>
    <w:lvl w:ilvl="0" w:tplc="F35A8604">
      <w:start w:val="2"/>
      <w:numFmt w:val="decimal"/>
      <w:lvlText w:val="%1."/>
      <w:lvlJc w:val="left"/>
    </w:lvl>
    <w:lvl w:ilvl="1" w:tplc="F210088E">
      <w:start w:val="1"/>
      <w:numFmt w:val="lowerLetter"/>
      <w:lvlText w:val="%2)"/>
      <w:lvlJc w:val="left"/>
    </w:lvl>
    <w:lvl w:ilvl="2" w:tplc="AB2C666A">
      <w:start w:val="1"/>
      <w:numFmt w:val="lowerLetter"/>
      <w:lvlText w:val="%3"/>
      <w:lvlJc w:val="left"/>
    </w:lvl>
    <w:lvl w:ilvl="3" w:tplc="90904C0E">
      <w:numFmt w:val="decimal"/>
      <w:lvlText w:val=""/>
      <w:lvlJc w:val="left"/>
    </w:lvl>
    <w:lvl w:ilvl="4" w:tplc="28607836">
      <w:numFmt w:val="decimal"/>
      <w:lvlText w:val=""/>
      <w:lvlJc w:val="left"/>
    </w:lvl>
    <w:lvl w:ilvl="5" w:tplc="17FA394A">
      <w:numFmt w:val="decimal"/>
      <w:lvlText w:val=""/>
      <w:lvlJc w:val="left"/>
    </w:lvl>
    <w:lvl w:ilvl="6" w:tplc="48E61530">
      <w:numFmt w:val="decimal"/>
      <w:lvlText w:val=""/>
      <w:lvlJc w:val="left"/>
    </w:lvl>
    <w:lvl w:ilvl="7" w:tplc="47C48850">
      <w:numFmt w:val="decimal"/>
      <w:lvlText w:val=""/>
      <w:lvlJc w:val="left"/>
    </w:lvl>
    <w:lvl w:ilvl="8" w:tplc="0CEAAB50">
      <w:numFmt w:val="decimal"/>
      <w:lvlText w:val=""/>
      <w:lvlJc w:val="left"/>
    </w:lvl>
  </w:abstractNum>
  <w:abstractNum w:abstractNumId="52" w15:restartNumberingAfterBreak="0">
    <w:nsid w:val="00006032"/>
    <w:multiLevelType w:val="hybridMultilevel"/>
    <w:tmpl w:val="29D4F6CE"/>
    <w:lvl w:ilvl="0" w:tplc="C9D20928">
      <w:start w:val="1"/>
      <w:numFmt w:val="decimal"/>
      <w:lvlText w:val="%1."/>
      <w:lvlJc w:val="left"/>
    </w:lvl>
    <w:lvl w:ilvl="1" w:tplc="8DEE4DB4">
      <w:start w:val="1"/>
      <w:numFmt w:val="lowerLetter"/>
      <w:lvlText w:val="%2)"/>
      <w:lvlJc w:val="left"/>
    </w:lvl>
    <w:lvl w:ilvl="2" w:tplc="49689086">
      <w:numFmt w:val="decimal"/>
      <w:lvlText w:val=""/>
      <w:lvlJc w:val="left"/>
    </w:lvl>
    <w:lvl w:ilvl="3" w:tplc="09182120">
      <w:numFmt w:val="decimal"/>
      <w:lvlText w:val=""/>
      <w:lvlJc w:val="left"/>
    </w:lvl>
    <w:lvl w:ilvl="4" w:tplc="42981B14">
      <w:numFmt w:val="decimal"/>
      <w:lvlText w:val=""/>
      <w:lvlJc w:val="left"/>
    </w:lvl>
    <w:lvl w:ilvl="5" w:tplc="27D2FABC">
      <w:numFmt w:val="decimal"/>
      <w:lvlText w:val=""/>
      <w:lvlJc w:val="left"/>
    </w:lvl>
    <w:lvl w:ilvl="6" w:tplc="A1688B0E">
      <w:numFmt w:val="decimal"/>
      <w:lvlText w:val=""/>
      <w:lvlJc w:val="left"/>
    </w:lvl>
    <w:lvl w:ilvl="7" w:tplc="29389CF4">
      <w:numFmt w:val="decimal"/>
      <w:lvlText w:val=""/>
      <w:lvlJc w:val="left"/>
    </w:lvl>
    <w:lvl w:ilvl="8" w:tplc="D4AC5318">
      <w:numFmt w:val="decimal"/>
      <w:lvlText w:val=""/>
      <w:lvlJc w:val="left"/>
    </w:lvl>
  </w:abstractNum>
  <w:abstractNum w:abstractNumId="53" w15:restartNumberingAfterBreak="0">
    <w:nsid w:val="000060BF"/>
    <w:multiLevelType w:val="hybridMultilevel"/>
    <w:tmpl w:val="0C3A6DC4"/>
    <w:lvl w:ilvl="0" w:tplc="7946DC4C">
      <w:start w:val="1"/>
      <w:numFmt w:val="decimal"/>
      <w:lvlText w:val="%1."/>
      <w:lvlJc w:val="left"/>
    </w:lvl>
    <w:lvl w:ilvl="1" w:tplc="0F9658A0">
      <w:numFmt w:val="decimal"/>
      <w:lvlText w:val=""/>
      <w:lvlJc w:val="left"/>
    </w:lvl>
    <w:lvl w:ilvl="2" w:tplc="65F8313E">
      <w:numFmt w:val="decimal"/>
      <w:lvlText w:val=""/>
      <w:lvlJc w:val="left"/>
    </w:lvl>
    <w:lvl w:ilvl="3" w:tplc="5EF4480C">
      <w:numFmt w:val="decimal"/>
      <w:lvlText w:val=""/>
      <w:lvlJc w:val="left"/>
    </w:lvl>
    <w:lvl w:ilvl="4" w:tplc="71845C26">
      <w:numFmt w:val="decimal"/>
      <w:lvlText w:val=""/>
      <w:lvlJc w:val="left"/>
    </w:lvl>
    <w:lvl w:ilvl="5" w:tplc="B2BC647C">
      <w:numFmt w:val="decimal"/>
      <w:lvlText w:val=""/>
      <w:lvlJc w:val="left"/>
    </w:lvl>
    <w:lvl w:ilvl="6" w:tplc="4F1A299A">
      <w:numFmt w:val="decimal"/>
      <w:lvlText w:val=""/>
      <w:lvlJc w:val="left"/>
    </w:lvl>
    <w:lvl w:ilvl="7" w:tplc="448C171E">
      <w:numFmt w:val="decimal"/>
      <w:lvlText w:val=""/>
      <w:lvlJc w:val="left"/>
    </w:lvl>
    <w:lvl w:ilvl="8" w:tplc="1D14CC12">
      <w:numFmt w:val="decimal"/>
      <w:lvlText w:val=""/>
      <w:lvlJc w:val="left"/>
    </w:lvl>
  </w:abstractNum>
  <w:abstractNum w:abstractNumId="54" w15:restartNumberingAfterBreak="0">
    <w:nsid w:val="000066C4"/>
    <w:multiLevelType w:val="hybridMultilevel"/>
    <w:tmpl w:val="79BEF79E"/>
    <w:lvl w:ilvl="0" w:tplc="2BFE0946">
      <w:start w:val="1"/>
      <w:numFmt w:val="decimal"/>
      <w:lvlText w:val="%1."/>
      <w:lvlJc w:val="left"/>
    </w:lvl>
    <w:lvl w:ilvl="1" w:tplc="2CA0785C">
      <w:start w:val="1"/>
      <w:numFmt w:val="lowerLetter"/>
      <w:lvlText w:val="%2)"/>
      <w:lvlJc w:val="left"/>
    </w:lvl>
    <w:lvl w:ilvl="2" w:tplc="EB048790">
      <w:numFmt w:val="decimal"/>
      <w:lvlText w:val=""/>
      <w:lvlJc w:val="left"/>
    </w:lvl>
    <w:lvl w:ilvl="3" w:tplc="10C26654">
      <w:numFmt w:val="decimal"/>
      <w:lvlText w:val=""/>
      <w:lvlJc w:val="left"/>
    </w:lvl>
    <w:lvl w:ilvl="4" w:tplc="109453FA">
      <w:numFmt w:val="decimal"/>
      <w:lvlText w:val=""/>
      <w:lvlJc w:val="left"/>
    </w:lvl>
    <w:lvl w:ilvl="5" w:tplc="08EC9EBA">
      <w:numFmt w:val="decimal"/>
      <w:lvlText w:val=""/>
      <w:lvlJc w:val="left"/>
    </w:lvl>
    <w:lvl w:ilvl="6" w:tplc="AF827FE8">
      <w:numFmt w:val="decimal"/>
      <w:lvlText w:val=""/>
      <w:lvlJc w:val="left"/>
    </w:lvl>
    <w:lvl w:ilvl="7" w:tplc="6D721DC8">
      <w:numFmt w:val="decimal"/>
      <w:lvlText w:val=""/>
      <w:lvlJc w:val="left"/>
    </w:lvl>
    <w:lvl w:ilvl="8" w:tplc="F702C58E">
      <w:numFmt w:val="decimal"/>
      <w:lvlText w:val=""/>
      <w:lvlJc w:val="left"/>
    </w:lvl>
  </w:abstractNum>
  <w:abstractNum w:abstractNumId="55" w15:restartNumberingAfterBreak="0">
    <w:nsid w:val="00006899"/>
    <w:multiLevelType w:val="hybridMultilevel"/>
    <w:tmpl w:val="D8329C96"/>
    <w:lvl w:ilvl="0" w:tplc="CB9477CC">
      <w:start w:val="4"/>
      <w:numFmt w:val="decimal"/>
      <w:lvlText w:val="%1."/>
      <w:lvlJc w:val="left"/>
    </w:lvl>
    <w:lvl w:ilvl="1" w:tplc="39E472F6">
      <w:numFmt w:val="decimal"/>
      <w:lvlText w:val=""/>
      <w:lvlJc w:val="left"/>
    </w:lvl>
    <w:lvl w:ilvl="2" w:tplc="A608242E">
      <w:numFmt w:val="decimal"/>
      <w:lvlText w:val=""/>
      <w:lvlJc w:val="left"/>
    </w:lvl>
    <w:lvl w:ilvl="3" w:tplc="6B5C1D38">
      <w:numFmt w:val="decimal"/>
      <w:lvlText w:val=""/>
      <w:lvlJc w:val="left"/>
    </w:lvl>
    <w:lvl w:ilvl="4" w:tplc="48F0A474">
      <w:numFmt w:val="decimal"/>
      <w:lvlText w:val=""/>
      <w:lvlJc w:val="left"/>
    </w:lvl>
    <w:lvl w:ilvl="5" w:tplc="8E7815C4">
      <w:numFmt w:val="decimal"/>
      <w:lvlText w:val=""/>
      <w:lvlJc w:val="left"/>
    </w:lvl>
    <w:lvl w:ilvl="6" w:tplc="4328A4C2">
      <w:numFmt w:val="decimal"/>
      <w:lvlText w:val=""/>
      <w:lvlJc w:val="left"/>
    </w:lvl>
    <w:lvl w:ilvl="7" w:tplc="18D2B95E">
      <w:numFmt w:val="decimal"/>
      <w:lvlText w:val=""/>
      <w:lvlJc w:val="left"/>
    </w:lvl>
    <w:lvl w:ilvl="8" w:tplc="E886221C">
      <w:numFmt w:val="decimal"/>
      <w:lvlText w:val=""/>
      <w:lvlJc w:val="left"/>
    </w:lvl>
  </w:abstractNum>
  <w:abstractNum w:abstractNumId="56" w15:restartNumberingAfterBreak="0">
    <w:nsid w:val="0000692C"/>
    <w:multiLevelType w:val="hybridMultilevel"/>
    <w:tmpl w:val="515A7ED4"/>
    <w:lvl w:ilvl="0" w:tplc="23C486BC">
      <w:start w:val="1"/>
      <w:numFmt w:val="decimal"/>
      <w:lvlText w:val="%1."/>
      <w:lvlJc w:val="left"/>
    </w:lvl>
    <w:lvl w:ilvl="1" w:tplc="42B0D420">
      <w:numFmt w:val="decimal"/>
      <w:lvlText w:val=""/>
      <w:lvlJc w:val="left"/>
    </w:lvl>
    <w:lvl w:ilvl="2" w:tplc="5A107774">
      <w:numFmt w:val="decimal"/>
      <w:lvlText w:val=""/>
      <w:lvlJc w:val="left"/>
    </w:lvl>
    <w:lvl w:ilvl="3" w:tplc="FE1E53B2">
      <w:numFmt w:val="decimal"/>
      <w:lvlText w:val=""/>
      <w:lvlJc w:val="left"/>
    </w:lvl>
    <w:lvl w:ilvl="4" w:tplc="5E8EE552">
      <w:numFmt w:val="decimal"/>
      <w:lvlText w:val=""/>
      <w:lvlJc w:val="left"/>
    </w:lvl>
    <w:lvl w:ilvl="5" w:tplc="1D00CFEA">
      <w:numFmt w:val="decimal"/>
      <w:lvlText w:val=""/>
      <w:lvlJc w:val="left"/>
    </w:lvl>
    <w:lvl w:ilvl="6" w:tplc="D33ADC1E">
      <w:numFmt w:val="decimal"/>
      <w:lvlText w:val=""/>
      <w:lvlJc w:val="left"/>
    </w:lvl>
    <w:lvl w:ilvl="7" w:tplc="2B886F5E">
      <w:numFmt w:val="decimal"/>
      <w:lvlText w:val=""/>
      <w:lvlJc w:val="left"/>
    </w:lvl>
    <w:lvl w:ilvl="8" w:tplc="F46C9B50">
      <w:numFmt w:val="decimal"/>
      <w:lvlText w:val=""/>
      <w:lvlJc w:val="left"/>
    </w:lvl>
  </w:abstractNum>
  <w:abstractNum w:abstractNumId="57" w15:restartNumberingAfterBreak="0">
    <w:nsid w:val="00006B36"/>
    <w:multiLevelType w:val="hybridMultilevel"/>
    <w:tmpl w:val="D51C0EDA"/>
    <w:lvl w:ilvl="0" w:tplc="212C0AE0">
      <w:start w:val="29"/>
      <w:numFmt w:val="lowerLetter"/>
      <w:lvlText w:val="%1)"/>
      <w:lvlJc w:val="left"/>
    </w:lvl>
    <w:lvl w:ilvl="1" w:tplc="AA24AC4C">
      <w:numFmt w:val="decimal"/>
      <w:lvlText w:val=""/>
      <w:lvlJc w:val="left"/>
    </w:lvl>
    <w:lvl w:ilvl="2" w:tplc="8A4C1894">
      <w:numFmt w:val="decimal"/>
      <w:lvlText w:val=""/>
      <w:lvlJc w:val="left"/>
    </w:lvl>
    <w:lvl w:ilvl="3" w:tplc="683E9E08">
      <w:numFmt w:val="decimal"/>
      <w:lvlText w:val=""/>
      <w:lvlJc w:val="left"/>
    </w:lvl>
    <w:lvl w:ilvl="4" w:tplc="4A9E1BE8">
      <w:numFmt w:val="decimal"/>
      <w:lvlText w:val=""/>
      <w:lvlJc w:val="left"/>
    </w:lvl>
    <w:lvl w:ilvl="5" w:tplc="13E24C0A">
      <w:numFmt w:val="decimal"/>
      <w:lvlText w:val=""/>
      <w:lvlJc w:val="left"/>
    </w:lvl>
    <w:lvl w:ilvl="6" w:tplc="747C5560">
      <w:numFmt w:val="decimal"/>
      <w:lvlText w:val=""/>
      <w:lvlJc w:val="left"/>
    </w:lvl>
    <w:lvl w:ilvl="7" w:tplc="A6EE8140">
      <w:numFmt w:val="decimal"/>
      <w:lvlText w:val=""/>
      <w:lvlJc w:val="left"/>
    </w:lvl>
    <w:lvl w:ilvl="8" w:tplc="DA580922">
      <w:numFmt w:val="decimal"/>
      <w:lvlText w:val=""/>
      <w:lvlJc w:val="left"/>
    </w:lvl>
  </w:abstractNum>
  <w:abstractNum w:abstractNumId="58" w15:restartNumberingAfterBreak="0">
    <w:nsid w:val="00007049"/>
    <w:multiLevelType w:val="hybridMultilevel"/>
    <w:tmpl w:val="11A2EB46"/>
    <w:lvl w:ilvl="0" w:tplc="59DA79EC">
      <w:start w:val="2"/>
      <w:numFmt w:val="decimal"/>
      <w:lvlText w:val="%1."/>
      <w:lvlJc w:val="left"/>
    </w:lvl>
    <w:lvl w:ilvl="1" w:tplc="C5B075F0">
      <w:numFmt w:val="decimal"/>
      <w:lvlText w:val=""/>
      <w:lvlJc w:val="left"/>
    </w:lvl>
    <w:lvl w:ilvl="2" w:tplc="E2DEFC90">
      <w:numFmt w:val="decimal"/>
      <w:lvlText w:val=""/>
      <w:lvlJc w:val="left"/>
    </w:lvl>
    <w:lvl w:ilvl="3" w:tplc="D9227B6C">
      <w:numFmt w:val="decimal"/>
      <w:lvlText w:val=""/>
      <w:lvlJc w:val="left"/>
    </w:lvl>
    <w:lvl w:ilvl="4" w:tplc="769250E4">
      <w:numFmt w:val="decimal"/>
      <w:lvlText w:val=""/>
      <w:lvlJc w:val="left"/>
    </w:lvl>
    <w:lvl w:ilvl="5" w:tplc="B4B8A984">
      <w:numFmt w:val="decimal"/>
      <w:lvlText w:val=""/>
      <w:lvlJc w:val="left"/>
    </w:lvl>
    <w:lvl w:ilvl="6" w:tplc="B7606808">
      <w:numFmt w:val="decimal"/>
      <w:lvlText w:val=""/>
      <w:lvlJc w:val="left"/>
    </w:lvl>
    <w:lvl w:ilvl="7" w:tplc="5B8C7D1E">
      <w:numFmt w:val="decimal"/>
      <w:lvlText w:val=""/>
      <w:lvlJc w:val="left"/>
    </w:lvl>
    <w:lvl w:ilvl="8" w:tplc="8CAAD170">
      <w:numFmt w:val="decimal"/>
      <w:lvlText w:val=""/>
      <w:lvlJc w:val="left"/>
    </w:lvl>
  </w:abstractNum>
  <w:abstractNum w:abstractNumId="59" w15:restartNumberingAfterBreak="0">
    <w:nsid w:val="000073DA"/>
    <w:multiLevelType w:val="hybridMultilevel"/>
    <w:tmpl w:val="959AA374"/>
    <w:lvl w:ilvl="0" w:tplc="23361134">
      <w:start w:val="5"/>
      <w:numFmt w:val="decimal"/>
      <w:lvlText w:val="%1."/>
      <w:lvlJc w:val="left"/>
    </w:lvl>
    <w:lvl w:ilvl="1" w:tplc="5AD07A62">
      <w:start w:val="1"/>
      <w:numFmt w:val="lowerLetter"/>
      <w:lvlText w:val="%2"/>
      <w:lvlJc w:val="left"/>
    </w:lvl>
    <w:lvl w:ilvl="2" w:tplc="98E618AC">
      <w:numFmt w:val="decimal"/>
      <w:lvlText w:val=""/>
      <w:lvlJc w:val="left"/>
    </w:lvl>
    <w:lvl w:ilvl="3" w:tplc="BCD497E4">
      <w:numFmt w:val="decimal"/>
      <w:lvlText w:val=""/>
      <w:lvlJc w:val="left"/>
    </w:lvl>
    <w:lvl w:ilvl="4" w:tplc="A5148A9E">
      <w:numFmt w:val="decimal"/>
      <w:lvlText w:val=""/>
      <w:lvlJc w:val="left"/>
    </w:lvl>
    <w:lvl w:ilvl="5" w:tplc="73B692BE">
      <w:numFmt w:val="decimal"/>
      <w:lvlText w:val=""/>
      <w:lvlJc w:val="left"/>
    </w:lvl>
    <w:lvl w:ilvl="6" w:tplc="15CC7C24">
      <w:numFmt w:val="decimal"/>
      <w:lvlText w:val=""/>
      <w:lvlJc w:val="left"/>
    </w:lvl>
    <w:lvl w:ilvl="7" w:tplc="01BE4E66">
      <w:numFmt w:val="decimal"/>
      <w:lvlText w:val=""/>
      <w:lvlJc w:val="left"/>
    </w:lvl>
    <w:lvl w:ilvl="8" w:tplc="18FE2BE8">
      <w:numFmt w:val="decimal"/>
      <w:lvlText w:val=""/>
      <w:lvlJc w:val="left"/>
    </w:lvl>
  </w:abstractNum>
  <w:abstractNum w:abstractNumId="60" w15:restartNumberingAfterBreak="0">
    <w:nsid w:val="0000759A"/>
    <w:multiLevelType w:val="hybridMultilevel"/>
    <w:tmpl w:val="8AC66462"/>
    <w:lvl w:ilvl="0" w:tplc="917839DA">
      <w:start w:val="1"/>
      <w:numFmt w:val="decimal"/>
      <w:lvlText w:val="%1."/>
      <w:lvlJc w:val="left"/>
    </w:lvl>
    <w:lvl w:ilvl="1" w:tplc="C4C44832">
      <w:numFmt w:val="decimal"/>
      <w:lvlText w:val=""/>
      <w:lvlJc w:val="left"/>
    </w:lvl>
    <w:lvl w:ilvl="2" w:tplc="3580DE54">
      <w:numFmt w:val="decimal"/>
      <w:lvlText w:val=""/>
      <w:lvlJc w:val="left"/>
    </w:lvl>
    <w:lvl w:ilvl="3" w:tplc="DD7EC146">
      <w:numFmt w:val="decimal"/>
      <w:lvlText w:val=""/>
      <w:lvlJc w:val="left"/>
    </w:lvl>
    <w:lvl w:ilvl="4" w:tplc="19B6D714">
      <w:numFmt w:val="decimal"/>
      <w:lvlText w:val=""/>
      <w:lvlJc w:val="left"/>
    </w:lvl>
    <w:lvl w:ilvl="5" w:tplc="A810EA1A">
      <w:numFmt w:val="decimal"/>
      <w:lvlText w:val=""/>
      <w:lvlJc w:val="left"/>
    </w:lvl>
    <w:lvl w:ilvl="6" w:tplc="693E0ABE">
      <w:numFmt w:val="decimal"/>
      <w:lvlText w:val=""/>
      <w:lvlJc w:val="left"/>
    </w:lvl>
    <w:lvl w:ilvl="7" w:tplc="7AE62EE4">
      <w:numFmt w:val="decimal"/>
      <w:lvlText w:val=""/>
      <w:lvlJc w:val="left"/>
    </w:lvl>
    <w:lvl w:ilvl="8" w:tplc="52A29F54">
      <w:numFmt w:val="decimal"/>
      <w:lvlText w:val=""/>
      <w:lvlJc w:val="left"/>
    </w:lvl>
  </w:abstractNum>
  <w:abstractNum w:abstractNumId="61" w15:restartNumberingAfterBreak="0">
    <w:nsid w:val="0000797D"/>
    <w:multiLevelType w:val="hybridMultilevel"/>
    <w:tmpl w:val="4D3A28E0"/>
    <w:lvl w:ilvl="0" w:tplc="A7C48E1C">
      <w:start w:val="1"/>
      <w:numFmt w:val="decimal"/>
      <w:lvlText w:val="%1"/>
      <w:lvlJc w:val="left"/>
    </w:lvl>
    <w:lvl w:ilvl="1" w:tplc="727453B6">
      <w:start w:val="6"/>
      <w:numFmt w:val="lowerLetter"/>
      <w:lvlText w:val="%2)"/>
      <w:lvlJc w:val="left"/>
    </w:lvl>
    <w:lvl w:ilvl="2" w:tplc="C046D5BA">
      <w:start w:val="1"/>
      <w:numFmt w:val="lowerLetter"/>
      <w:lvlText w:val="%3"/>
      <w:lvlJc w:val="left"/>
    </w:lvl>
    <w:lvl w:ilvl="3" w:tplc="C764F168">
      <w:numFmt w:val="decimal"/>
      <w:lvlText w:val=""/>
      <w:lvlJc w:val="left"/>
    </w:lvl>
    <w:lvl w:ilvl="4" w:tplc="C3EA8230">
      <w:numFmt w:val="decimal"/>
      <w:lvlText w:val=""/>
      <w:lvlJc w:val="left"/>
    </w:lvl>
    <w:lvl w:ilvl="5" w:tplc="09345B8A">
      <w:numFmt w:val="decimal"/>
      <w:lvlText w:val=""/>
      <w:lvlJc w:val="left"/>
    </w:lvl>
    <w:lvl w:ilvl="6" w:tplc="1B3AC310">
      <w:numFmt w:val="decimal"/>
      <w:lvlText w:val=""/>
      <w:lvlJc w:val="left"/>
    </w:lvl>
    <w:lvl w:ilvl="7" w:tplc="D8C6A14E">
      <w:numFmt w:val="decimal"/>
      <w:lvlText w:val=""/>
      <w:lvlJc w:val="left"/>
    </w:lvl>
    <w:lvl w:ilvl="8" w:tplc="DEC02E88">
      <w:numFmt w:val="decimal"/>
      <w:lvlText w:val=""/>
      <w:lvlJc w:val="left"/>
    </w:lvl>
  </w:abstractNum>
  <w:abstractNum w:abstractNumId="62" w15:restartNumberingAfterBreak="0">
    <w:nsid w:val="0000798B"/>
    <w:multiLevelType w:val="hybridMultilevel"/>
    <w:tmpl w:val="CA6048A8"/>
    <w:lvl w:ilvl="0" w:tplc="BF6AC794">
      <w:start w:val="3"/>
      <w:numFmt w:val="decimal"/>
      <w:lvlText w:val="%1."/>
      <w:lvlJc w:val="left"/>
    </w:lvl>
    <w:lvl w:ilvl="1" w:tplc="EBB65168">
      <w:start w:val="1"/>
      <w:numFmt w:val="lowerLetter"/>
      <w:lvlText w:val="%2"/>
      <w:lvlJc w:val="left"/>
    </w:lvl>
    <w:lvl w:ilvl="2" w:tplc="7E2006EA">
      <w:numFmt w:val="decimal"/>
      <w:lvlText w:val=""/>
      <w:lvlJc w:val="left"/>
    </w:lvl>
    <w:lvl w:ilvl="3" w:tplc="8410BA34">
      <w:numFmt w:val="decimal"/>
      <w:lvlText w:val=""/>
      <w:lvlJc w:val="left"/>
    </w:lvl>
    <w:lvl w:ilvl="4" w:tplc="FB0C97D4">
      <w:numFmt w:val="decimal"/>
      <w:lvlText w:val=""/>
      <w:lvlJc w:val="left"/>
    </w:lvl>
    <w:lvl w:ilvl="5" w:tplc="11D68286">
      <w:numFmt w:val="decimal"/>
      <w:lvlText w:val=""/>
      <w:lvlJc w:val="left"/>
    </w:lvl>
    <w:lvl w:ilvl="6" w:tplc="E8441128">
      <w:numFmt w:val="decimal"/>
      <w:lvlText w:val=""/>
      <w:lvlJc w:val="left"/>
    </w:lvl>
    <w:lvl w:ilvl="7" w:tplc="A0FEDA04">
      <w:numFmt w:val="decimal"/>
      <w:lvlText w:val=""/>
      <w:lvlJc w:val="left"/>
    </w:lvl>
    <w:lvl w:ilvl="8" w:tplc="5CCC8120">
      <w:numFmt w:val="decimal"/>
      <w:lvlText w:val=""/>
      <w:lvlJc w:val="left"/>
    </w:lvl>
  </w:abstractNum>
  <w:abstractNum w:abstractNumId="63" w15:restartNumberingAfterBreak="0">
    <w:nsid w:val="00007BB9"/>
    <w:multiLevelType w:val="hybridMultilevel"/>
    <w:tmpl w:val="39A28848"/>
    <w:lvl w:ilvl="0" w:tplc="B3626394">
      <w:start w:val="1"/>
      <w:numFmt w:val="decimal"/>
      <w:lvlText w:val="%1."/>
      <w:lvlJc w:val="left"/>
    </w:lvl>
    <w:lvl w:ilvl="1" w:tplc="95C2C334">
      <w:numFmt w:val="decimal"/>
      <w:lvlText w:val=""/>
      <w:lvlJc w:val="left"/>
    </w:lvl>
    <w:lvl w:ilvl="2" w:tplc="14E63E54">
      <w:numFmt w:val="decimal"/>
      <w:lvlText w:val=""/>
      <w:lvlJc w:val="left"/>
    </w:lvl>
    <w:lvl w:ilvl="3" w:tplc="7B2A75FC">
      <w:numFmt w:val="decimal"/>
      <w:lvlText w:val=""/>
      <w:lvlJc w:val="left"/>
    </w:lvl>
    <w:lvl w:ilvl="4" w:tplc="E494873C">
      <w:numFmt w:val="decimal"/>
      <w:lvlText w:val=""/>
      <w:lvlJc w:val="left"/>
    </w:lvl>
    <w:lvl w:ilvl="5" w:tplc="8FFAEECA">
      <w:numFmt w:val="decimal"/>
      <w:lvlText w:val=""/>
      <w:lvlJc w:val="left"/>
    </w:lvl>
    <w:lvl w:ilvl="6" w:tplc="3B12B09C">
      <w:numFmt w:val="decimal"/>
      <w:lvlText w:val=""/>
      <w:lvlJc w:val="left"/>
    </w:lvl>
    <w:lvl w:ilvl="7" w:tplc="BD60B508">
      <w:numFmt w:val="decimal"/>
      <w:lvlText w:val=""/>
      <w:lvlJc w:val="left"/>
    </w:lvl>
    <w:lvl w:ilvl="8" w:tplc="96D0272E">
      <w:numFmt w:val="decimal"/>
      <w:lvlText w:val=""/>
      <w:lvlJc w:val="left"/>
    </w:lvl>
  </w:abstractNum>
  <w:abstractNum w:abstractNumId="64" w15:restartNumberingAfterBreak="0">
    <w:nsid w:val="00007EB7"/>
    <w:multiLevelType w:val="hybridMultilevel"/>
    <w:tmpl w:val="6F08E0F8"/>
    <w:lvl w:ilvl="0" w:tplc="0CEAC5DE">
      <w:start w:val="2"/>
      <w:numFmt w:val="decimal"/>
      <w:lvlText w:val="%1."/>
      <w:lvlJc w:val="left"/>
    </w:lvl>
    <w:lvl w:ilvl="1" w:tplc="79984D82">
      <w:numFmt w:val="decimal"/>
      <w:lvlText w:val=""/>
      <w:lvlJc w:val="left"/>
    </w:lvl>
    <w:lvl w:ilvl="2" w:tplc="DF706968">
      <w:numFmt w:val="decimal"/>
      <w:lvlText w:val=""/>
      <w:lvlJc w:val="left"/>
    </w:lvl>
    <w:lvl w:ilvl="3" w:tplc="57BC4440">
      <w:numFmt w:val="decimal"/>
      <w:lvlText w:val=""/>
      <w:lvlJc w:val="left"/>
    </w:lvl>
    <w:lvl w:ilvl="4" w:tplc="97A625F0">
      <w:numFmt w:val="decimal"/>
      <w:lvlText w:val=""/>
      <w:lvlJc w:val="left"/>
    </w:lvl>
    <w:lvl w:ilvl="5" w:tplc="ACE67B7C">
      <w:numFmt w:val="decimal"/>
      <w:lvlText w:val=""/>
      <w:lvlJc w:val="left"/>
    </w:lvl>
    <w:lvl w:ilvl="6" w:tplc="ACD638A6">
      <w:numFmt w:val="decimal"/>
      <w:lvlText w:val=""/>
      <w:lvlJc w:val="left"/>
    </w:lvl>
    <w:lvl w:ilvl="7" w:tplc="B9662300">
      <w:numFmt w:val="decimal"/>
      <w:lvlText w:val=""/>
      <w:lvlJc w:val="left"/>
    </w:lvl>
    <w:lvl w:ilvl="8" w:tplc="0360C828">
      <w:numFmt w:val="decimal"/>
      <w:lvlText w:val=""/>
      <w:lvlJc w:val="left"/>
    </w:lvl>
  </w:abstractNum>
  <w:num w:numId="1">
    <w:abstractNumId w:val="60"/>
  </w:num>
  <w:num w:numId="2">
    <w:abstractNumId w:val="15"/>
  </w:num>
  <w:num w:numId="3">
    <w:abstractNumId w:val="14"/>
  </w:num>
  <w:num w:numId="4">
    <w:abstractNumId w:val="37"/>
  </w:num>
  <w:num w:numId="5">
    <w:abstractNumId w:val="43"/>
  </w:num>
  <w:num w:numId="6">
    <w:abstractNumId w:val="57"/>
  </w:num>
  <w:num w:numId="7">
    <w:abstractNumId w:val="47"/>
  </w:num>
  <w:num w:numId="8">
    <w:abstractNumId w:val="29"/>
  </w:num>
  <w:num w:numId="9">
    <w:abstractNumId w:val="12"/>
  </w:num>
  <w:num w:numId="10">
    <w:abstractNumId w:val="50"/>
  </w:num>
  <w:num w:numId="11">
    <w:abstractNumId w:val="26"/>
  </w:num>
  <w:num w:numId="12">
    <w:abstractNumId w:val="25"/>
  </w:num>
  <w:num w:numId="13">
    <w:abstractNumId w:val="61"/>
  </w:num>
  <w:num w:numId="14">
    <w:abstractNumId w:val="51"/>
  </w:num>
  <w:num w:numId="15">
    <w:abstractNumId w:val="2"/>
  </w:num>
  <w:num w:numId="16">
    <w:abstractNumId w:val="38"/>
  </w:num>
  <w:num w:numId="17">
    <w:abstractNumId w:val="21"/>
  </w:num>
  <w:num w:numId="18">
    <w:abstractNumId w:val="49"/>
  </w:num>
  <w:num w:numId="19">
    <w:abstractNumId w:val="39"/>
  </w:num>
  <w:num w:numId="20">
    <w:abstractNumId w:val="35"/>
  </w:num>
  <w:num w:numId="21">
    <w:abstractNumId w:val="19"/>
  </w:num>
  <w:num w:numId="22">
    <w:abstractNumId w:val="6"/>
  </w:num>
  <w:num w:numId="23">
    <w:abstractNumId w:val="13"/>
  </w:num>
  <w:num w:numId="24">
    <w:abstractNumId w:val="23"/>
  </w:num>
  <w:num w:numId="25">
    <w:abstractNumId w:val="54"/>
  </w:num>
  <w:num w:numId="26">
    <w:abstractNumId w:val="33"/>
  </w:num>
  <w:num w:numId="27">
    <w:abstractNumId w:val="64"/>
  </w:num>
  <w:num w:numId="28">
    <w:abstractNumId w:val="52"/>
  </w:num>
  <w:num w:numId="29">
    <w:abstractNumId w:val="18"/>
  </w:num>
  <w:num w:numId="30">
    <w:abstractNumId w:val="9"/>
  </w:num>
  <w:num w:numId="31">
    <w:abstractNumId w:val="40"/>
  </w:num>
  <w:num w:numId="32">
    <w:abstractNumId w:val="30"/>
  </w:num>
  <w:num w:numId="33">
    <w:abstractNumId w:val="0"/>
  </w:num>
  <w:num w:numId="34">
    <w:abstractNumId w:val="45"/>
  </w:num>
  <w:num w:numId="35">
    <w:abstractNumId w:val="32"/>
  </w:num>
  <w:num w:numId="36">
    <w:abstractNumId w:val="5"/>
  </w:num>
  <w:num w:numId="37">
    <w:abstractNumId w:val="62"/>
  </w:num>
  <w:num w:numId="38">
    <w:abstractNumId w:val="4"/>
  </w:num>
  <w:num w:numId="39">
    <w:abstractNumId w:val="59"/>
  </w:num>
  <w:num w:numId="40">
    <w:abstractNumId w:val="44"/>
  </w:num>
  <w:num w:numId="41">
    <w:abstractNumId w:val="17"/>
  </w:num>
  <w:num w:numId="42">
    <w:abstractNumId w:val="24"/>
  </w:num>
  <w:num w:numId="43">
    <w:abstractNumId w:val="1"/>
  </w:num>
  <w:num w:numId="44">
    <w:abstractNumId w:val="63"/>
  </w:num>
  <w:num w:numId="45">
    <w:abstractNumId w:val="42"/>
  </w:num>
  <w:num w:numId="46">
    <w:abstractNumId w:val="7"/>
  </w:num>
  <w:num w:numId="47">
    <w:abstractNumId w:val="58"/>
  </w:num>
  <w:num w:numId="48">
    <w:abstractNumId w:val="56"/>
  </w:num>
  <w:num w:numId="49">
    <w:abstractNumId w:val="36"/>
  </w:num>
  <w:num w:numId="50">
    <w:abstractNumId w:val="11"/>
  </w:num>
  <w:num w:numId="51">
    <w:abstractNumId w:val="10"/>
  </w:num>
  <w:num w:numId="52">
    <w:abstractNumId w:val="55"/>
  </w:num>
  <w:num w:numId="53">
    <w:abstractNumId w:val="27"/>
  </w:num>
  <w:num w:numId="54">
    <w:abstractNumId w:val="8"/>
  </w:num>
  <w:num w:numId="55">
    <w:abstractNumId w:val="31"/>
  </w:num>
  <w:num w:numId="56">
    <w:abstractNumId w:val="48"/>
  </w:num>
  <w:num w:numId="57">
    <w:abstractNumId w:val="22"/>
  </w:num>
  <w:num w:numId="58">
    <w:abstractNumId w:val="16"/>
  </w:num>
  <w:num w:numId="59">
    <w:abstractNumId w:val="34"/>
  </w:num>
  <w:num w:numId="60">
    <w:abstractNumId w:val="41"/>
  </w:num>
  <w:num w:numId="61">
    <w:abstractNumId w:val="53"/>
  </w:num>
  <w:num w:numId="62">
    <w:abstractNumId w:val="46"/>
  </w:num>
  <w:num w:numId="63">
    <w:abstractNumId w:val="28"/>
  </w:num>
  <w:num w:numId="64">
    <w:abstractNumId w:val="3"/>
  </w:num>
  <w:num w:numId="65">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0A"/>
    <w:rsid w:val="002C2ECE"/>
    <w:rsid w:val="00B93A8D"/>
    <w:rsid w:val="00D4760A"/>
    <w:rsid w:val="00F1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FB01F-2FA4-4712-A0E2-1117ABEB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D5BDC"/>
    <w:rPr>
      <w:color w:val="0000FF"/>
      <w:u w:val="single"/>
    </w:rPr>
  </w:style>
  <w:style w:type="paragraph" w:styleId="Textbubliny">
    <w:name w:val="Balloon Text"/>
    <w:basedOn w:val="Normln"/>
    <w:link w:val="TextbublinyChar"/>
    <w:uiPriority w:val="99"/>
    <w:semiHidden/>
    <w:unhideWhenUsed/>
    <w:rsid w:val="00B93A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3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8425</Words>
  <Characters>49714</Characters>
  <Application>Microsoft Office Word</Application>
  <DocSecurity>0</DocSecurity>
  <Lines>414</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Šárka</cp:lastModifiedBy>
  <cp:revision>2</cp:revision>
  <cp:lastPrinted>2018-12-14T12:08:00Z</cp:lastPrinted>
  <dcterms:created xsi:type="dcterms:W3CDTF">2018-12-14T14:03:00Z</dcterms:created>
  <dcterms:modified xsi:type="dcterms:W3CDTF">2018-12-14T14:03:00Z</dcterms:modified>
</cp:coreProperties>
</file>