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1C" w:rsidRDefault="00564748">
      <w:pPr>
        <w:spacing w:line="35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704215</wp:posOffset>
            </wp:positionV>
            <wp:extent cx="177165" cy="195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page">
              <wp:posOffset>1257935</wp:posOffset>
            </wp:positionH>
            <wp:positionV relativeFrom="page">
              <wp:posOffset>704215</wp:posOffset>
            </wp:positionV>
            <wp:extent cx="193040" cy="184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564748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SMLOUVA</w:t>
      </w:r>
    </w:p>
    <w:p w:rsidR="00BA601C" w:rsidRDefault="005647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-57150</wp:posOffset>
            </wp:positionV>
            <wp:extent cx="156210" cy="186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-127000</wp:posOffset>
            </wp:positionV>
            <wp:extent cx="169545" cy="2559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19" w:lineRule="exact"/>
        <w:rPr>
          <w:sz w:val="24"/>
          <w:szCs w:val="24"/>
        </w:rPr>
      </w:pPr>
    </w:p>
    <w:p w:rsidR="00BA601C" w:rsidRDefault="00564748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smlouvy: </w:t>
      </w:r>
      <w:r>
        <w:rPr>
          <w:rFonts w:ascii="Cambria" w:eastAsia="Cambria" w:hAnsi="Cambria" w:cs="Cambria"/>
          <w:b/>
          <w:bCs/>
          <w:sz w:val="23"/>
          <w:szCs w:val="23"/>
        </w:rPr>
        <w:t>2018TH04030225</w:t>
      </w:r>
    </w:p>
    <w:p w:rsidR="00BA601C" w:rsidRDefault="00BA601C">
      <w:pPr>
        <w:spacing w:line="200" w:lineRule="exact"/>
        <w:rPr>
          <w:sz w:val="24"/>
          <w:szCs w:val="24"/>
        </w:rPr>
      </w:pPr>
    </w:p>
    <w:p w:rsidR="00BA601C" w:rsidRDefault="00BA601C">
      <w:pPr>
        <w:spacing w:line="299" w:lineRule="exact"/>
        <w:rPr>
          <w:sz w:val="24"/>
          <w:szCs w:val="24"/>
        </w:rPr>
      </w:pPr>
    </w:p>
    <w:p w:rsidR="00BA601C" w:rsidRDefault="008A0784" w:rsidP="008A0784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6"/>
          <w:szCs w:val="36"/>
        </w:rPr>
        <w:t xml:space="preserve">Příloha č. 3 - </w:t>
      </w:r>
      <w:r w:rsidR="00564748">
        <w:rPr>
          <w:rFonts w:ascii="Cambria" w:eastAsia="Cambria" w:hAnsi="Cambria" w:cs="Cambria"/>
          <w:b/>
          <w:bCs/>
          <w:sz w:val="36"/>
          <w:szCs w:val="36"/>
        </w:rPr>
        <w:t>Smlouva o poskytnutí podpory</w:t>
      </w:r>
    </w:p>
    <w:p w:rsidR="00BA601C" w:rsidRDefault="005647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53975</wp:posOffset>
            </wp:positionV>
            <wp:extent cx="6108065" cy="9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200" w:lineRule="exact"/>
        <w:rPr>
          <w:sz w:val="24"/>
          <w:szCs w:val="24"/>
        </w:rPr>
      </w:pPr>
    </w:p>
    <w:p w:rsidR="00BA601C" w:rsidRDefault="00BA601C">
      <w:pPr>
        <w:spacing w:line="245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Smluvní strany:</w:t>
      </w:r>
    </w:p>
    <w:p w:rsidR="00BA601C" w:rsidRDefault="00BA601C">
      <w:pPr>
        <w:spacing w:line="293" w:lineRule="exact"/>
        <w:rPr>
          <w:sz w:val="24"/>
          <w:szCs w:val="24"/>
        </w:rPr>
      </w:pPr>
    </w:p>
    <w:p w:rsidR="00BA601C" w:rsidRDefault="00564748">
      <w:pPr>
        <w:spacing w:line="289" w:lineRule="auto"/>
        <w:ind w:right="33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Česká republika – Technologická agentura České republiky </w:t>
      </w:r>
      <w:r>
        <w:rPr>
          <w:rFonts w:ascii="Cambria" w:eastAsia="Cambria" w:hAnsi="Cambria" w:cs="Cambria"/>
          <w:sz w:val="23"/>
          <w:szCs w:val="23"/>
        </w:rPr>
        <w:t xml:space="preserve">se sídlem: </w:t>
      </w:r>
      <w:r>
        <w:rPr>
          <w:rFonts w:ascii="Cambria" w:eastAsia="Cambria" w:hAnsi="Cambria" w:cs="Cambria"/>
          <w:b/>
          <w:bCs/>
          <w:sz w:val="23"/>
          <w:szCs w:val="23"/>
        </w:rPr>
        <w:t>Evropská 1692/37, 160 00 Praha 6</w:t>
      </w:r>
      <w:r>
        <w:rPr>
          <w:rFonts w:ascii="Cambria" w:eastAsia="Cambria" w:hAnsi="Cambria" w:cs="Cambria"/>
          <w:sz w:val="23"/>
          <w:szCs w:val="23"/>
        </w:rPr>
        <w:t xml:space="preserve"> IČ: </w:t>
      </w:r>
      <w:r>
        <w:rPr>
          <w:rFonts w:ascii="Cambria" w:eastAsia="Cambria" w:hAnsi="Cambria" w:cs="Cambria"/>
          <w:b/>
          <w:bCs/>
          <w:sz w:val="23"/>
          <w:szCs w:val="23"/>
        </w:rPr>
        <w:t>72050365</w:t>
      </w:r>
    </w:p>
    <w:p w:rsidR="00BA601C" w:rsidRDefault="00BA601C">
      <w:pPr>
        <w:spacing w:line="244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zastoupená: </w:t>
      </w:r>
      <w:r>
        <w:rPr>
          <w:rFonts w:ascii="Cambria" w:eastAsia="Cambria" w:hAnsi="Cambria" w:cs="Cambria"/>
          <w:b/>
          <w:bCs/>
          <w:sz w:val="23"/>
          <w:szCs w:val="23"/>
        </w:rPr>
        <w:t>Petrem Konvalinkou, předsedou TA ČR</w:t>
      </w:r>
    </w:p>
    <w:p w:rsidR="00BA601C" w:rsidRDefault="00BA601C">
      <w:pPr>
        <w:spacing w:line="22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bankovní spojení: </w:t>
      </w:r>
      <w:r>
        <w:rPr>
          <w:rFonts w:ascii="Cambria" w:eastAsia="Cambria" w:hAnsi="Cambria" w:cs="Cambria"/>
          <w:b/>
          <w:bCs/>
          <w:sz w:val="23"/>
          <w:szCs w:val="23"/>
        </w:rPr>
        <w:t>Česká národní banka, Na Příkopě 28, Praha 1</w:t>
      </w:r>
    </w:p>
    <w:p w:rsidR="00BA601C" w:rsidRDefault="00BA601C">
      <w:pPr>
        <w:spacing w:line="22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běžný výdajový účet: </w:t>
      </w:r>
      <w:proofErr w:type="spellStart"/>
      <w:r w:rsidR="00A535E2">
        <w:rPr>
          <w:rFonts w:ascii="Cambria" w:eastAsia="Cambria" w:hAnsi="Cambria" w:cs="Cambria"/>
          <w:b/>
          <w:bCs/>
          <w:sz w:val="23"/>
          <w:szCs w:val="23"/>
        </w:rPr>
        <w:t>xxx</w:t>
      </w:r>
      <w:proofErr w:type="spellEnd"/>
    </w:p>
    <w:p w:rsidR="00BA601C" w:rsidRDefault="00BA601C">
      <w:pPr>
        <w:spacing w:line="319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(dále jen „poskytovatel“) na straně jedné,</w:t>
      </w:r>
    </w:p>
    <w:p w:rsidR="00BA601C" w:rsidRDefault="00BA601C">
      <w:pPr>
        <w:spacing w:line="314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a</w:t>
      </w:r>
    </w:p>
    <w:p w:rsidR="00BA601C" w:rsidRDefault="00BA601C">
      <w:pPr>
        <w:spacing w:line="293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DEKONTA, a.s.</w:t>
      </w:r>
    </w:p>
    <w:p w:rsidR="00BA601C" w:rsidRDefault="00BA601C">
      <w:pPr>
        <w:spacing w:line="39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POO - Právnická osoba zapsaná v obchodním rejstříku (zákon č. 304/2013 Sb., o veřejných</w:t>
      </w:r>
    </w:p>
    <w:p w:rsidR="00BA601C" w:rsidRDefault="00BA601C">
      <w:pPr>
        <w:spacing w:line="22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rejstřících právnických a fyzických osob) - Akciová společnost</w:t>
      </w:r>
    </w:p>
    <w:p w:rsidR="00BA601C" w:rsidRDefault="00BA601C">
      <w:pPr>
        <w:spacing w:line="22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se sídlem: </w:t>
      </w:r>
      <w:r>
        <w:rPr>
          <w:rFonts w:ascii="Cambria" w:eastAsia="Cambria" w:hAnsi="Cambria" w:cs="Cambria"/>
          <w:b/>
          <w:bCs/>
          <w:sz w:val="23"/>
          <w:szCs w:val="23"/>
        </w:rPr>
        <w:t>109/, 27342 Dřetovice</w:t>
      </w:r>
    </w:p>
    <w:p w:rsidR="00BA601C" w:rsidRDefault="00BA601C">
      <w:pPr>
        <w:spacing w:line="22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zapsána v </w:t>
      </w:r>
      <w:r>
        <w:rPr>
          <w:rFonts w:ascii="Cambria" w:eastAsia="Cambria" w:hAnsi="Cambria" w:cs="Cambria"/>
          <w:b/>
          <w:bCs/>
          <w:sz w:val="23"/>
          <w:szCs w:val="23"/>
        </w:rPr>
        <w:t>Městský soud v Praze B 12280</w:t>
      </w:r>
    </w:p>
    <w:p w:rsidR="00BA601C" w:rsidRDefault="00BA601C">
      <w:pPr>
        <w:spacing w:line="22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IČ: </w:t>
      </w:r>
      <w:r>
        <w:rPr>
          <w:rFonts w:ascii="Cambria" w:eastAsia="Cambria" w:hAnsi="Cambria" w:cs="Cambria"/>
          <w:b/>
          <w:bCs/>
          <w:sz w:val="23"/>
          <w:szCs w:val="23"/>
        </w:rPr>
        <w:t>25006096</w:t>
      </w:r>
      <w:r>
        <w:rPr>
          <w:rFonts w:ascii="Cambria" w:eastAsia="Cambria" w:hAnsi="Cambria" w:cs="Cambria"/>
          <w:sz w:val="23"/>
          <w:szCs w:val="23"/>
        </w:rPr>
        <w:t xml:space="preserve">, DIČ: </w:t>
      </w:r>
      <w:r>
        <w:rPr>
          <w:rFonts w:ascii="Cambria" w:eastAsia="Cambria" w:hAnsi="Cambria" w:cs="Cambria"/>
          <w:b/>
          <w:bCs/>
          <w:sz w:val="23"/>
          <w:szCs w:val="23"/>
        </w:rPr>
        <w:t>CZ25006096</w:t>
      </w:r>
    </w:p>
    <w:p w:rsidR="00BA601C" w:rsidRDefault="00BA601C">
      <w:pPr>
        <w:spacing w:line="22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zastoupená: </w:t>
      </w:r>
      <w:r>
        <w:rPr>
          <w:rFonts w:ascii="Cambria" w:eastAsia="Cambria" w:hAnsi="Cambria" w:cs="Cambria"/>
          <w:b/>
          <w:bCs/>
          <w:sz w:val="23"/>
          <w:szCs w:val="23"/>
        </w:rPr>
        <w:t>Mgr. Karel Petrželka</w:t>
      </w:r>
    </w:p>
    <w:p w:rsidR="00BA601C" w:rsidRDefault="00BA601C">
      <w:pPr>
        <w:spacing w:line="22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bankovní spojení: </w:t>
      </w:r>
      <w:r>
        <w:rPr>
          <w:rFonts w:ascii="Cambria" w:eastAsia="Cambria" w:hAnsi="Cambria" w:cs="Cambria"/>
          <w:b/>
          <w:bCs/>
          <w:sz w:val="23"/>
          <w:szCs w:val="23"/>
        </w:rPr>
        <w:t>KB Praha 5</w:t>
      </w:r>
    </w:p>
    <w:p w:rsidR="00BA601C" w:rsidRDefault="00BA601C">
      <w:pPr>
        <w:spacing w:line="22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účtu: </w:t>
      </w:r>
      <w:proofErr w:type="spellStart"/>
      <w:r w:rsidR="00A535E2">
        <w:rPr>
          <w:rFonts w:ascii="Cambria" w:eastAsia="Cambria" w:hAnsi="Cambria" w:cs="Cambria"/>
          <w:b/>
          <w:bCs/>
          <w:sz w:val="23"/>
          <w:szCs w:val="23"/>
        </w:rPr>
        <w:t>xxx</w:t>
      </w:r>
      <w:proofErr w:type="spellEnd"/>
    </w:p>
    <w:p w:rsidR="00BA601C" w:rsidRDefault="00BA601C">
      <w:pPr>
        <w:spacing w:line="319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(dále jen „hlavní příjemce“) na straně druhé</w:t>
      </w:r>
    </w:p>
    <w:p w:rsidR="00BA601C" w:rsidRDefault="00BA601C">
      <w:pPr>
        <w:spacing w:line="314" w:lineRule="exact"/>
        <w:rPr>
          <w:sz w:val="24"/>
          <w:szCs w:val="24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uzavřely níže uvedeného dne, měsíce a roku tuto</w:t>
      </w:r>
    </w:p>
    <w:p w:rsidR="00BA601C" w:rsidRDefault="00BA601C">
      <w:pPr>
        <w:spacing w:line="293" w:lineRule="exact"/>
        <w:rPr>
          <w:sz w:val="24"/>
          <w:szCs w:val="24"/>
        </w:rPr>
      </w:pPr>
    </w:p>
    <w:p w:rsidR="00BA601C" w:rsidRDefault="00564748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Smlouvu o poskytnutí podpory</w:t>
      </w:r>
    </w:p>
    <w:p w:rsidR="00BA601C" w:rsidRDefault="00BA601C">
      <w:pPr>
        <w:spacing w:line="44" w:lineRule="exact"/>
        <w:rPr>
          <w:sz w:val="24"/>
          <w:szCs w:val="24"/>
        </w:rPr>
      </w:pPr>
    </w:p>
    <w:p w:rsidR="00BA601C" w:rsidRDefault="00564748">
      <w:pPr>
        <w:ind w:right="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(dále jen „Smlouva“)</w:t>
      </w:r>
    </w:p>
    <w:p w:rsidR="00BA601C" w:rsidRDefault="00BA601C">
      <w:pPr>
        <w:spacing w:line="293" w:lineRule="exact"/>
        <w:rPr>
          <w:sz w:val="24"/>
          <w:szCs w:val="24"/>
        </w:rPr>
      </w:pPr>
    </w:p>
    <w:p w:rsidR="00BA601C" w:rsidRDefault="00564748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Preambule</w:t>
      </w:r>
    </w:p>
    <w:p w:rsidR="00BA601C" w:rsidRDefault="00BA601C">
      <w:pPr>
        <w:spacing w:line="200" w:lineRule="exact"/>
        <w:rPr>
          <w:sz w:val="24"/>
          <w:szCs w:val="24"/>
        </w:rPr>
      </w:pPr>
    </w:p>
    <w:p w:rsidR="00BA601C" w:rsidRDefault="00BA601C">
      <w:pPr>
        <w:spacing w:line="237" w:lineRule="exact"/>
        <w:rPr>
          <w:sz w:val="24"/>
          <w:szCs w:val="24"/>
        </w:rPr>
      </w:pPr>
    </w:p>
    <w:p w:rsidR="00BA601C" w:rsidRDefault="00564748">
      <w:pPr>
        <w:spacing w:line="277" w:lineRule="auto"/>
        <w:jc w:val="both"/>
        <w:rPr>
          <w:sz w:val="20"/>
          <w:szCs w:val="20"/>
        </w:rPr>
      </w:pPr>
      <w:r>
        <w:rPr>
          <w:rFonts w:ascii="Cambria" w:eastAsia="Cambria" w:hAnsi="Cambria" w:cs="Cambria"/>
        </w:rPr>
        <w:t>Hlavnı́m přı́jemcem podaný návrh projektu č.</w:t>
      </w:r>
      <w:r>
        <w:rPr>
          <w:rFonts w:ascii="Cambria" w:eastAsia="Cambria" w:hAnsi="Cambria" w:cs="Cambria"/>
          <w:b/>
          <w:bCs/>
        </w:rPr>
        <w:t>TH04030225</w:t>
      </w:r>
      <w:r>
        <w:rPr>
          <w:rFonts w:ascii="Cambria" w:eastAsia="Cambria" w:hAnsi="Cambria" w:cs="Cambria"/>
        </w:rPr>
        <w:t xml:space="preserve"> s názvem Vývoj a testovánı kombinovanésanačnı́metody redoxně-oxidačnı́in-situ bioremediace chlorovaných rozpouštědel (BIOREDOXX) byl poskytovatelem přijat do 4. veřejné soutěže vyhlášené poskytovatelem v Programu na podporu aplikovaného výzkumu a experimentálnı́ho vývoje EPSILON a hodnocen v souladu s § 21 ZPVV. Poskytovatel vydal Rozhodnutı́o výsledku veřejnésoutěže v souladu s tı́mto ustanovenı́m tak, že návrh projektu bude podpořen (dále jen „schválenýnávrh projektu“). V souladu</w:t>
      </w:r>
    </w:p>
    <w:p w:rsidR="00BA601C" w:rsidRDefault="005647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351155</wp:posOffset>
            </wp:positionV>
            <wp:extent cx="2605405" cy="3613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200" w:lineRule="exact"/>
        <w:rPr>
          <w:sz w:val="24"/>
          <w:szCs w:val="24"/>
        </w:rPr>
      </w:pPr>
    </w:p>
    <w:p w:rsidR="00BA601C" w:rsidRDefault="00BA601C">
      <w:pPr>
        <w:spacing w:line="312" w:lineRule="exact"/>
        <w:rPr>
          <w:sz w:val="24"/>
          <w:szCs w:val="24"/>
        </w:rPr>
      </w:pPr>
    </w:p>
    <w:p w:rsidR="00BA601C" w:rsidRDefault="00564748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F-052, verze 5, revize 181003</w:t>
      </w:r>
    </w:p>
    <w:p w:rsidR="00BA601C" w:rsidRDefault="00564748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A601C" w:rsidRDefault="00564748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1 / 5</w:t>
      </w:r>
    </w:p>
    <w:p w:rsidR="00BA601C" w:rsidRDefault="00BA601C">
      <w:pPr>
        <w:sectPr w:rsidR="00BA601C">
          <w:pgSz w:w="11900" w:h="16840"/>
          <w:pgMar w:top="1440" w:right="1140" w:bottom="180" w:left="1140" w:header="0" w:footer="0" w:gutter="0"/>
          <w:cols w:space="708" w:equalWidth="0">
            <w:col w:w="9620"/>
          </w:cols>
        </w:sectPr>
      </w:pPr>
    </w:p>
    <w:p w:rsidR="00BA601C" w:rsidRDefault="00564748">
      <w:pPr>
        <w:spacing w:line="35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704215</wp:posOffset>
            </wp:positionV>
            <wp:extent cx="177165" cy="1955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1257935</wp:posOffset>
            </wp:positionH>
            <wp:positionV relativeFrom="page">
              <wp:posOffset>704215</wp:posOffset>
            </wp:positionV>
            <wp:extent cx="193040" cy="184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564748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SMLOUVA</w:t>
      </w:r>
    </w:p>
    <w:p w:rsidR="00BA601C" w:rsidRDefault="00564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-57150</wp:posOffset>
            </wp:positionV>
            <wp:extent cx="156210" cy="1860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-127000</wp:posOffset>
            </wp:positionV>
            <wp:extent cx="169545" cy="2559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19" w:lineRule="exact"/>
        <w:rPr>
          <w:sz w:val="20"/>
          <w:szCs w:val="20"/>
        </w:rPr>
      </w:pPr>
    </w:p>
    <w:p w:rsidR="00BA601C" w:rsidRDefault="00564748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smlouvy: </w:t>
      </w:r>
      <w:r>
        <w:rPr>
          <w:rFonts w:ascii="Cambria" w:eastAsia="Cambria" w:hAnsi="Cambria" w:cs="Cambria"/>
          <w:b/>
          <w:bCs/>
          <w:sz w:val="23"/>
          <w:szCs w:val="23"/>
        </w:rPr>
        <w:t>2018TH04030225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318" w:lineRule="exact"/>
        <w:rPr>
          <w:sz w:val="20"/>
          <w:szCs w:val="20"/>
        </w:rPr>
      </w:pPr>
    </w:p>
    <w:p w:rsidR="00BA601C" w:rsidRDefault="00564748">
      <w:pPr>
        <w:spacing w:line="232" w:lineRule="auto"/>
        <w:ind w:right="2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s § 9 ZPVV se na základěRozhodnutı́o výsledcı́ch veřejnésoutěže uzavı́rátato Smlouva. Veškere pojmy použité ve Smlouvě jsou definovány ve Všeobecných podmínkách.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387" w:lineRule="exact"/>
        <w:rPr>
          <w:sz w:val="20"/>
          <w:szCs w:val="20"/>
        </w:rPr>
      </w:pPr>
    </w:p>
    <w:p w:rsidR="00BA601C" w:rsidRDefault="00564748">
      <w:pPr>
        <w:ind w:right="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Článek 1</w:t>
      </w:r>
    </w:p>
    <w:p w:rsidR="00BA601C" w:rsidRDefault="00BA601C">
      <w:pPr>
        <w:spacing w:line="39" w:lineRule="exact"/>
        <w:rPr>
          <w:sz w:val="20"/>
          <w:szCs w:val="20"/>
        </w:rPr>
      </w:pPr>
    </w:p>
    <w:p w:rsidR="00BA601C" w:rsidRDefault="00564748">
      <w:pPr>
        <w:ind w:right="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Předmět Smlouvy</w:t>
      </w:r>
    </w:p>
    <w:p w:rsidR="00BA601C" w:rsidRDefault="00BA601C">
      <w:pPr>
        <w:spacing w:line="280" w:lineRule="exact"/>
        <w:rPr>
          <w:sz w:val="20"/>
          <w:szCs w:val="20"/>
        </w:rPr>
      </w:pPr>
    </w:p>
    <w:p w:rsidR="00BA601C" w:rsidRDefault="00564748">
      <w:pPr>
        <w:numPr>
          <w:ilvl w:val="0"/>
          <w:numId w:val="1"/>
        </w:numPr>
        <w:tabs>
          <w:tab w:val="left" w:pos="600"/>
        </w:tabs>
        <w:spacing w:line="248" w:lineRule="auto"/>
        <w:ind w:left="600" w:hanging="285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Předmětem Smlouvy je závazek poskytovatele poskytnout hlavnı́mu přı́jemci inančnı podporu formou dotace za účelem jejı́ho využitı́na dosaženı́deklarovaných výsledkůa cı́lu projektu a současnězávazek hlavnı́ho přı́jemce použı́t tuto podporu a řešit projekt v souladu s pravidly poskytnutí podpory a přílohou Závazné parametry řešení projektu.</w:t>
      </w:r>
    </w:p>
    <w:p w:rsidR="00BA601C" w:rsidRDefault="00BA601C">
      <w:pPr>
        <w:spacing w:line="53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1"/>
        </w:numPr>
        <w:tabs>
          <w:tab w:val="left" w:pos="600"/>
        </w:tabs>
        <w:spacing w:line="232" w:lineRule="auto"/>
        <w:ind w:left="6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U čelem podpory je dosaženı́stanovených cı́lůprojektu, tj. cı́lůuvedených v přı́loze Závazne parametry řešení projektu.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2" w:lineRule="exact"/>
        <w:rPr>
          <w:sz w:val="20"/>
          <w:szCs w:val="20"/>
        </w:rPr>
      </w:pPr>
    </w:p>
    <w:p w:rsidR="00BA601C" w:rsidRDefault="00564748">
      <w:pPr>
        <w:ind w:right="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Článek 2</w:t>
      </w:r>
    </w:p>
    <w:p w:rsidR="00BA601C" w:rsidRDefault="00BA601C">
      <w:pPr>
        <w:spacing w:line="39" w:lineRule="exact"/>
        <w:rPr>
          <w:sz w:val="20"/>
          <w:szCs w:val="20"/>
        </w:rPr>
      </w:pPr>
    </w:p>
    <w:p w:rsidR="00BA601C" w:rsidRDefault="00564748">
      <w:pPr>
        <w:ind w:right="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Výše poskytnuté podpory a uznaných nákladů</w:t>
      </w:r>
    </w:p>
    <w:p w:rsidR="00BA601C" w:rsidRDefault="00BA601C">
      <w:pPr>
        <w:spacing w:line="280" w:lineRule="exact"/>
        <w:rPr>
          <w:sz w:val="20"/>
          <w:szCs w:val="20"/>
        </w:rPr>
      </w:pPr>
    </w:p>
    <w:p w:rsidR="00BA601C" w:rsidRDefault="00564748">
      <w:pPr>
        <w:numPr>
          <w:ilvl w:val="0"/>
          <w:numId w:val="2"/>
        </w:numPr>
        <w:tabs>
          <w:tab w:val="left" w:pos="600"/>
        </w:tabs>
        <w:spacing w:line="232" w:lineRule="auto"/>
        <w:ind w:left="6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Maximálnı́výše podpory činı́9 713 000 Kč(slovy: devět milionůsedm set třináct tisı́c korun českých), což je 59,99 % z maximální výše uznaných nákladů.</w:t>
      </w:r>
    </w:p>
    <w:p w:rsidR="00BA601C" w:rsidRDefault="00BA601C">
      <w:pPr>
        <w:spacing w:line="62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2"/>
        </w:numPr>
        <w:tabs>
          <w:tab w:val="left" w:pos="600"/>
        </w:tabs>
        <w:spacing w:line="232" w:lineRule="auto"/>
        <w:ind w:left="6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Maximálnı́výše uznaných nákladůprojektu je stanovena ve výši 16 192 000 Kč(slovy: šestnáct milionů jedno sto devadesát dva tisíc korun českých).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2" w:lineRule="exact"/>
        <w:rPr>
          <w:sz w:val="20"/>
          <w:szCs w:val="20"/>
        </w:rPr>
      </w:pPr>
    </w:p>
    <w:p w:rsidR="00BA601C" w:rsidRDefault="00564748">
      <w:pPr>
        <w:ind w:right="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Článek 3</w:t>
      </w:r>
    </w:p>
    <w:p w:rsidR="00BA601C" w:rsidRDefault="00BA601C">
      <w:pPr>
        <w:spacing w:line="39" w:lineRule="exact"/>
        <w:rPr>
          <w:sz w:val="20"/>
          <w:szCs w:val="20"/>
        </w:rPr>
      </w:pPr>
    </w:p>
    <w:p w:rsidR="00BA601C" w:rsidRDefault="00564748">
      <w:pPr>
        <w:ind w:right="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Související dokumenty</w:t>
      </w:r>
    </w:p>
    <w:p w:rsidR="00BA601C" w:rsidRDefault="00BA601C">
      <w:pPr>
        <w:spacing w:line="220" w:lineRule="exact"/>
        <w:rPr>
          <w:sz w:val="20"/>
          <w:szCs w:val="20"/>
        </w:rPr>
      </w:pPr>
    </w:p>
    <w:p w:rsidR="00BA601C" w:rsidRDefault="00564748">
      <w:pPr>
        <w:numPr>
          <w:ilvl w:val="0"/>
          <w:numId w:val="3"/>
        </w:numPr>
        <w:tabs>
          <w:tab w:val="left" w:pos="600"/>
        </w:tabs>
        <w:spacing w:line="261" w:lineRule="auto"/>
        <w:ind w:left="600" w:hanging="285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 xml:space="preserve">Nedı́lnou součástı́Smlouvy je přı́loha </w:t>
      </w:r>
      <w:r>
        <w:rPr>
          <w:rFonts w:ascii="Cambria" w:eastAsia="Cambria" w:hAnsi="Cambria" w:cs="Cambria"/>
          <w:b/>
          <w:bCs/>
          <w:sz w:val="23"/>
          <w:szCs w:val="23"/>
        </w:rPr>
        <w:t>Závazné parametry řešení projektu</w:t>
      </w:r>
      <w:r>
        <w:rPr>
          <w:rFonts w:ascii="Cambria" w:eastAsia="Cambria" w:hAnsi="Cambria" w:cs="Cambria"/>
          <w:sz w:val="23"/>
          <w:szCs w:val="23"/>
        </w:rPr>
        <w:t>, kteréjsou schváleným návrhem projektu ve smyslu § 9 odst. 2 zákona č. 130/2002 Sb., o podpoře výzkumu, experimentálnı́ho vývoje a inovacı́z veřejných prostředků, a obsahujı́označenı hlavnı́ho přı́jemce a dalšı́ch účastnı́ků, název a předmět řešenı́projektu, jméno, přı́jmenı a přı́padnéakademickétituly a vědeckéhodnosti řešitele, časovýplán řešenı́projektu včetne termı́nu zahájenı́a ukončenı́řešenı́projektu, cı́le projektu, deklarovanévýsledky projektu. Závazné parametry řešení projektu rovněž obsahují tabulku uznaných nákladů projektu, která obsahuje jejich rozdělenı́na jednotlivéroky řešenı́projektu, mı́ru podpory z uznaných nákladů a s tı́m souvisejı́cı́celková výše poskytované účelové podpory, včetně jejı́ho rozdělení mezi hlavního příjemce a další účastníky projektu.</w:t>
      </w:r>
    </w:p>
    <w:p w:rsidR="00BA601C" w:rsidRDefault="00BA601C">
      <w:pPr>
        <w:spacing w:line="47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3"/>
        </w:numPr>
        <w:tabs>
          <w:tab w:val="left" w:pos="600"/>
        </w:tabs>
        <w:spacing w:line="232" w:lineRule="auto"/>
        <w:ind w:left="600" w:right="2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Dalšı́ podmı́nky poskytnutı́ podpory a řešenı́ projektu jsou uvedeny ve Všeobecných podmínkách (verze 5), které jsou dostupné na webových stránkách poskytovatele.</w:t>
      </w:r>
    </w:p>
    <w:p w:rsidR="00BA601C" w:rsidRDefault="00BA601C">
      <w:pPr>
        <w:spacing w:line="62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3"/>
        </w:numPr>
        <w:tabs>
          <w:tab w:val="left" w:pos="600"/>
        </w:tabs>
        <w:spacing w:line="232" w:lineRule="auto"/>
        <w:ind w:left="600" w:right="20" w:hanging="285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 xml:space="preserve">Obsahuje-li Smlouva </w:t>
      </w:r>
      <w:proofErr w:type="spellStart"/>
      <w:r>
        <w:rPr>
          <w:rFonts w:ascii="Cambria" w:eastAsia="Cambria" w:hAnsi="Cambria" w:cs="Cambria"/>
          <w:sz w:val="23"/>
          <w:szCs w:val="23"/>
        </w:rPr>
        <w:t>úpravu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sz w:val="23"/>
          <w:szCs w:val="23"/>
        </w:rPr>
        <w:t>odlišnou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od </w:t>
      </w:r>
      <w:proofErr w:type="spellStart"/>
      <w:r>
        <w:rPr>
          <w:rFonts w:ascii="Cambria" w:eastAsia="Cambria" w:hAnsi="Cambria" w:cs="Cambria"/>
          <w:sz w:val="23"/>
          <w:szCs w:val="23"/>
        </w:rPr>
        <w:t>Všeobecných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sz w:val="23"/>
          <w:szCs w:val="23"/>
        </w:rPr>
        <w:t>podmı́nek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sz w:val="23"/>
          <w:szCs w:val="23"/>
        </w:rPr>
        <w:t>či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sz w:val="23"/>
          <w:szCs w:val="23"/>
        </w:rPr>
        <w:t>Závazných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parametru </w:t>
      </w:r>
      <w:proofErr w:type="spellStart"/>
      <w:r>
        <w:rPr>
          <w:rFonts w:ascii="Cambria" w:eastAsia="Cambria" w:hAnsi="Cambria" w:cs="Cambria"/>
          <w:sz w:val="23"/>
          <w:szCs w:val="23"/>
        </w:rPr>
        <w:t>řešenı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́ projektu, </w:t>
      </w:r>
      <w:proofErr w:type="spellStart"/>
      <w:r>
        <w:rPr>
          <w:rFonts w:ascii="Cambria" w:eastAsia="Cambria" w:hAnsi="Cambria" w:cs="Cambria"/>
          <w:sz w:val="23"/>
          <w:szCs w:val="23"/>
        </w:rPr>
        <w:t>použijı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́ se </w:t>
      </w:r>
      <w:proofErr w:type="spellStart"/>
      <w:r>
        <w:rPr>
          <w:rFonts w:ascii="Cambria" w:eastAsia="Cambria" w:hAnsi="Cambria" w:cs="Cambria"/>
          <w:sz w:val="23"/>
          <w:szCs w:val="23"/>
        </w:rPr>
        <w:t>přednostne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̌ ustanovenı́ Smlouvy, </w:t>
      </w:r>
      <w:proofErr w:type="spellStart"/>
      <w:r>
        <w:rPr>
          <w:rFonts w:ascii="Cambria" w:eastAsia="Cambria" w:hAnsi="Cambria" w:cs="Cambria"/>
          <w:sz w:val="23"/>
          <w:szCs w:val="23"/>
        </w:rPr>
        <w:t>dále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ustanovenı́ </w:t>
      </w:r>
      <w:proofErr w:type="spellStart"/>
      <w:r>
        <w:rPr>
          <w:rFonts w:ascii="Cambria" w:eastAsia="Cambria" w:hAnsi="Cambria" w:cs="Cambria"/>
          <w:sz w:val="23"/>
          <w:szCs w:val="23"/>
        </w:rPr>
        <w:t>Všeobecných</w:t>
      </w:r>
      <w:proofErr w:type="spellEnd"/>
    </w:p>
    <w:p w:rsidR="00BA601C" w:rsidRDefault="00564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345440</wp:posOffset>
            </wp:positionV>
            <wp:extent cx="2605405" cy="3613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302" w:lineRule="exact"/>
        <w:rPr>
          <w:sz w:val="20"/>
          <w:szCs w:val="20"/>
        </w:rPr>
      </w:pPr>
    </w:p>
    <w:p w:rsidR="00BA601C" w:rsidRDefault="00564748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F-052, verze 5, revize 181003</w:t>
      </w:r>
    </w:p>
    <w:p w:rsidR="00BA601C" w:rsidRDefault="00564748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A601C" w:rsidRDefault="00564748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2 / 5</w:t>
      </w:r>
    </w:p>
    <w:p w:rsidR="00BA601C" w:rsidRDefault="00BA601C">
      <w:pPr>
        <w:sectPr w:rsidR="00BA601C">
          <w:pgSz w:w="11900" w:h="16840"/>
          <w:pgMar w:top="1440" w:right="1140" w:bottom="180" w:left="1140" w:header="0" w:footer="0" w:gutter="0"/>
          <w:cols w:space="708" w:equalWidth="0">
            <w:col w:w="9620"/>
          </w:cols>
        </w:sectPr>
      </w:pPr>
    </w:p>
    <w:p w:rsidR="00BA601C" w:rsidRDefault="00564748">
      <w:pPr>
        <w:spacing w:line="35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704215</wp:posOffset>
            </wp:positionV>
            <wp:extent cx="177165" cy="1955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1257935</wp:posOffset>
            </wp:positionH>
            <wp:positionV relativeFrom="page">
              <wp:posOffset>704215</wp:posOffset>
            </wp:positionV>
            <wp:extent cx="193040" cy="184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564748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SMLOUVA</w:t>
      </w:r>
    </w:p>
    <w:p w:rsidR="00BA601C" w:rsidRDefault="00564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380365</wp:posOffset>
            </wp:positionH>
            <wp:positionV relativeFrom="paragraph">
              <wp:posOffset>-57150</wp:posOffset>
            </wp:positionV>
            <wp:extent cx="156210" cy="1860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-127000</wp:posOffset>
            </wp:positionV>
            <wp:extent cx="169545" cy="2559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19" w:lineRule="exact"/>
        <w:rPr>
          <w:sz w:val="20"/>
          <w:szCs w:val="20"/>
        </w:rPr>
      </w:pPr>
    </w:p>
    <w:p w:rsidR="00BA601C" w:rsidRDefault="00564748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smlouvy: </w:t>
      </w:r>
      <w:r>
        <w:rPr>
          <w:rFonts w:ascii="Cambria" w:eastAsia="Cambria" w:hAnsi="Cambria" w:cs="Cambria"/>
          <w:b/>
          <w:bCs/>
          <w:sz w:val="23"/>
          <w:szCs w:val="23"/>
        </w:rPr>
        <w:t>2018TH04030225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79" w:lineRule="exact"/>
        <w:rPr>
          <w:sz w:val="20"/>
          <w:szCs w:val="20"/>
        </w:rPr>
      </w:pPr>
    </w:p>
    <w:p w:rsidR="00BA601C" w:rsidRDefault="00564748">
      <w:pPr>
        <w:ind w:left="30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podmínek a dále Závazných parametrů řešení projektu.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400" w:lineRule="exact"/>
        <w:rPr>
          <w:sz w:val="20"/>
          <w:szCs w:val="20"/>
        </w:rPr>
      </w:pPr>
    </w:p>
    <w:p w:rsidR="00BA601C" w:rsidRDefault="00564748">
      <w:pPr>
        <w:ind w:right="3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Článek 4</w:t>
      </w:r>
    </w:p>
    <w:p w:rsidR="00BA601C" w:rsidRDefault="00BA601C">
      <w:pPr>
        <w:spacing w:line="39" w:lineRule="exact"/>
        <w:rPr>
          <w:sz w:val="20"/>
          <w:szCs w:val="20"/>
        </w:rPr>
      </w:pPr>
    </w:p>
    <w:p w:rsidR="00BA601C" w:rsidRDefault="00564748">
      <w:pPr>
        <w:ind w:right="3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Specifické podmínky</w:t>
      </w:r>
    </w:p>
    <w:p w:rsidR="00BA601C" w:rsidRDefault="00BA601C">
      <w:pPr>
        <w:spacing w:line="280" w:lineRule="exact"/>
        <w:rPr>
          <w:sz w:val="20"/>
          <w:szCs w:val="20"/>
        </w:rPr>
      </w:pPr>
    </w:p>
    <w:p w:rsidR="00BA601C" w:rsidRDefault="00564748">
      <w:pPr>
        <w:numPr>
          <w:ilvl w:val="0"/>
          <w:numId w:val="4"/>
        </w:numPr>
        <w:tabs>
          <w:tab w:val="left" w:pos="300"/>
        </w:tabs>
        <w:spacing w:line="232" w:lineRule="auto"/>
        <w:ind w:left="300" w:right="2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U čelem tohoto článku je stanovit dalšı́podmı́nky, kteréjsou speci icképro výše uvedenou veřejnou soutěž, a to nad rámec Všeobecných podmínek.</w:t>
      </w:r>
    </w:p>
    <w:p w:rsidR="00BA601C" w:rsidRDefault="00BA601C">
      <w:pPr>
        <w:spacing w:line="62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4"/>
        </w:numPr>
        <w:tabs>
          <w:tab w:val="left" w:pos="300"/>
        </w:tabs>
        <w:spacing w:line="242" w:lineRule="auto"/>
        <w:ind w:left="300" w:hanging="285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Nad rámec Všeobecných podmı́nek se stanovuje hlavnı́mu přı́jemci povinnost dle zákona č. 563/1991 Sb., zákona o účetnictvı́zveřejňovat účetnı́závěrku v přı́slušném rejstřı́ku ve smyslu zákona č. 304/2013 o veřejných rejstřících, a to po celou dobu řešení projektu.</w:t>
      </w:r>
    </w:p>
    <w:p w:rsidR="00BA601C" w:rsidRDefault="00BA601C">
      <w:pPr>
        <w:spacing w:line="21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4"/>
        </w:numPr>
        <w:tabs>
          <w:tab w:val="left" w:pos="300"/>
        </w:tabs>
        <w:ind w:left="3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Článek 2 Všeobecných podmínek „Vymezení pojmů“ se doplňuje o tento pojem:</w:t>
      </w:r>
    </w:p>
    <w:p w:rsidR="00BA601C" w:rsidRDefault="00BA601C">
      <w:pPr>
        <w:spacing w:line="168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spacing w:line="251" w:lineRule="auto"/>
        <w:ind w:left="300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„Aplikačnı́m garantem“ se rozumı́organizace (právnickáosoba či podnikajı́cı́fyzickáosoba, kterámusı́mı́t sı́dlo v Ceskérepublice), a kterámázájem na uplatněnı́a využitı́plánovaných výstupůprojektu výzkumu a vývoje v praxi. Hlavnı́rolı́aplikačnı́ho garanta je přispět k tomu, aby výsledek projektu byl uplatnitelnýa takénásledněuplatněnýa využitýv praxi, přičemz aplikačním garantem může být zároveň příjemce či další účastník projektu.</w:t>
      </w:r>
    </w:p>
    <w:p w:rsidR="00BA601C" w:rsidRDefault="00BA601C">
      <w:pPr>
        <w:spacing w:line="157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4"/>
        </w:numPr>
        <w:tabs>
          <w:tab w:val="left" w:pos="300"/>
        </w:tabs>
        <w:spacing w:line="242" w:lineRule="auto"/>
        <w:ind w:left="300" w:hanging="285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Pro účely výše uvedenéveřejnésoutěže, na základějejı́chžvýsledkůse Smlouva uzavı́rá, se článek 17 odst. 4 Všeobecných podmı́nek neuplatňuje, tedy z poskytnutépodpory nenı́možne hradit investice.</w:t>
      </w:r>
    </w:p>
    <w:p w:rsidR="00BA601C" w:rsidRDefault="00BA601C">
      <w:pPr>
        <w:spacing w:line="60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4"/>
        </w:numPr>
        <w:tabs>
          <w:tab w:val="left" w:pos="300"/>
        </w:tabs>
        <w:spacing w:line="242" w:lineRule="auto"/>
        <w:ind w:left="300" w:hanging="285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Pro účely výše uvedenéveřejnésoutěže, na základějejı́chžvýsledkůse Smlouva uzavı́rá, se článek 17 odst. 6 pı́sm. f) Všeobecných podmı́nek neuplatňuje, tedy z poskytnutépodpory není možné hradit stipendia.</w:t>
      </w:r>
    </w:p>
    <w:p w:rsidR="00BA601C" w:rsidRDefault="00BA601C">
      <w:pPr>
        <w:spacing w:line="21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4"/>
        </w:numPr>
        <w:tabs>
          <w:tab w:val="left" w:pos="300"/>
        </w:tabs>
        <w:ind w:left="3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V čl. 17 odst. 7 písm. b) Všeobecných podmínek se za větu poslední doplňuje věta:</w:t>
      </w:r>
    </w:p>
    <w:p w:rsidR="00BA601C" w:rsidRDefault="00BA601C">
      <w:pPr>
        <w:spacing w:line="168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spacing w:line="251" w:lineRule="auto"/>
        <w:ind w:left="300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V přı́padě, že v návrhu projektu přı́jemce podpory dle podmı́nek stanovených zadávacı dokumentacı́uvedenéveřejnésoutěže prokáže, že je držitelem HR Excellence in Research Award (HR Award), může poskytovatel na žádost přı́jemce uznat vykazovánı́nepřı́mých nákladůaždo výše 30 % ze součtu skutečněvykázaných osobnı́ch nákladůa ostatnı́ch přímých nákladů příjemce v příslušném roce.</w:t>
      </w:r>
    </w:p>
    <w:p w:rsidR="00BA601C" w:rsidRDefault="00BA601C">
      <w:pPr>
        <w:spacing w:line="157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4"/>
        </w:numPr>
        <w:tabs>
          <w:tab w:val="left" w:pos="300"/>
        </w:tabs>
        <w:spacing w:line="232" w:lineRule="auto"/>
        <w:ind w:left="3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Plánujı́-li přı́jemci způsobilénáklady v roce 2018 (v přı́padězahájenı́řešenı́jižv roce 2018, nejdříve však k 1. 10. 2018), zahrnou je do nákladů za rok 2019.</w:t>
      </w:r>
    </w:p>
    <w:p w:rsidR="00BA601C" w:rsidRDefault="00BA601C">
      <w:pPr>
        <w:spacing w:line="62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4"/>
        </w:numPr>
        <w:tabs>
          <w:tab w:val="left" w:pos="300"/>
        </w:tabs>
        <w:spacing w:line="232" w:lineRule="auto"/>
        <w:ind w:left="3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Poskytovatel se zavazuje poskytnout podporu jednorázověna přı́slušnýrok řešenı́ve výši uvedené v Závazných parametrech řešení projektu</w:t>
      </w:r>
    </w:p>
    <w:p w:rsidR="00BA601C" w:rsidRDefault="00BA601C">
      <w:pPr>
        <w:spacing w:line="23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1"/>
          <w:numId w:val="4"/>
        </w:numPr>
        <w:tabs>
          <w:tab w:val="left" w:pos="920"/>
        </w:tabs>
        <w:ind w:left="920" w:hanging="30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do 60 kalendářních dnů ode dne nabytí účinnosti Smlouvy a</w:t>
      </w:r>
    </w:p>
    <w:p w:rsidR="00BA601C" w:rsidRDefault="00BA601C">
      <w:pPr>
        <w:spacing w:line="60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1"/>
          <w:numId w:val="4"/>
        </w:numPr>
        <w:tabs>
          <w:tab w:val="left" w:pos="920"/>
        </w:tabs>
        <w:spacing w:line="232" w:lineRule="auto"/>
        <w:ind w:left="920" w:hanging="30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u vı́celetých projektůpro druhýa každýnásledujı́cı́rok řešenı́do 60 kalendářnı́ch dnu od začátku příslušného kalendářního roku.</w:t>
      </w:r>
    </w:p>
    <w:p w:rsidR="00BA601C" w:rsidRDefault="00BA601C">
      <w:pPr>
        <w:spacing w:line="62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4"/>
        </w:numPr>
        <w:tabs>
          <w:tab w:val="left" w:pos="300"/>
        </w:tabs>
        <w:spacing w:line="242" w:lineRule="auto"/>
        <w:ind w:left="300" w:hanging="285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Nad rámec Všeobecných podmı́nek se stanovuje přı́jemci povinnost zajistit od aplikačnı́ho garanta součinnost zejm. v oblastech spolupráce na řešenı́ projektu na implementaci výsledků/výstupů projektu do praxe, ošetřenı́ problematiky ochrany práv duševnı́ho</w:t>
      </w:r>
    </w:p>
    <w:p w:rsidR="00BA601C" w:rsidRDefault="00564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480695</wp:posOffset>
            </wp:positionV>
            <wp:extent cx="2605405" cy="3613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315" w:lineRule="exact"/>
        <w:rPr>
          <w:sz w:val="20"/>
          <w:szCs w:val="20"/>
        </w:rPr>
      </w:pPr>
    </w:p>
    <w:p w:rsidR="00BA601C" w:rsidRDefault="00564748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F-052, verze 5, revize 181003</w:t>
      </w:r>
    </w:p>
    <w:p w:rsidR="00BA601C" w:rsidRDefault="00564748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A601C" w:rsidRDefault="00564748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3 / 5</w:t>
      </w:r>
    </w:p>
    <w:p w:rsidR="00BA601C" w:rsidRDefault="00BA601C">
      <w:pPr>
        <w:sectPr w:rsidR="00BA601C">
          <w:pgSz w:w="11900" w:h="16840"/>
          <w:pgMar w:top="1440" w:right="1140" w:bottom="180" w:left="1440" w:header="0" w:footer="0" w:gutter="0"/>
          <w:cols w:space="708" w:equalWidth="0">
            <w:col w:w="9320"/>
          </w:cols>
        </w:sectPr>
      </w:pPr>
    </w:p>
    <w:p w:rsidR="00BA601C" w:rsidRDefault="00564748">
      <w:pPr>
        <w:spacing w:line="35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704215</wp:posOffset>
            </wp:positionV>
            <wp:extent cx="177165" cy="19558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1257935</wp:posOffset>
            </wp:positionH>
            <wp:positionV relativeFrom="page">
              <wp:posOffset>704215</wp:posOffset>
            </wp:positionV>
            <wp:extent cx="193040" cy="1841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564748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SMLOUVA</w:t>
      </w:r>
    </w:p>
    <w:p w:rsidR="00BA601C" w:rsidRDefault="00564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380365</wp:posOffset>
            </wp:positionH>
            <wp:positionV relativeFrom="paragraph">
              <wp:posOffset>-57150</wp:posOffset>
            </wp:positionV>
            <wp:extent cx="156210" cy="18605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-127000</wp:posOffset>
            </wp:positionV>
            <wp:extent cx="169545" cy="2559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19" w:lineRule="exact"/>
        <w:rPr>
          <w:sz w:val="20"/>
          <w:szCs w:val="20"/>
        </w:rPr>
      </w:pPr>
    </w:p>
    <w:p w:rsidR="00BA601C" w:rsidRDefault="00564748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smlouvy: </w:t>
      </w:r>
      <w:r>
        <w:rPr>
          <w:rFonts w:ascii="Cambria" w:eastAsia="Cambria" w:hAnsi="Cambria" w:cs="Cambria"/>
          <w:b/>
          <w:bCs/>
          <w:sz w:val="23"/>
          <w:szCs w:val="23"/>
        </w:rPr>
        <w:t>2018TH04030225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318" w:lineRule="exact"/>
        <w:rPr>
          <w:sz w:val="20"/>
          <w:szCs w:val="20"/>
        </w:rPr>
      </w:pPr>
    </w:p>
    <w:p w:rsidR="00BA601C" w:rsidRDefault="00564748">
      <w:pPr>
        <w:spacing w:line="252" w:lineRule="auto"/>
        <w:ind w:left="30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vlastnictvı́, problematiky řešenı́sporůa dalšı́.Přı́jemce je dále povinen předkládat vyjádřenı aplikačnı́ho garanta k přı́padným žádostem o změnu projektu, jedná-li se o změnu týkajı́cı́se hlavnı́ch výstupůprojektu, a dále vyjádřenı́k průběhu spolupráce a řešenı́projektu jako přı́lohu průběžných zpráv a závěrečné zprávy z řešenı́ projektu. Nesplněnı́ některe z povinnostı́dle tohoto odstavce máza následek vznik povinnosti uhradit smluvnı́pokutu 5.000,- Kč za každé takové jednotlivé porušení.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392" w:lineRule="exact"/>
        <w:rPr>
          <w:sz w:val="20"/>
          <w:szCs w:val="20"/>
        </w:rPr>
      </w:pPr>
    </w:p>
    <w:p w:rsidR="00BA601C" w:rsidRDefault="00564748">
      <w:pPr>
        <w:ind w:right="3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Článek 5</w:t>
      </w:r>
    </w:p>
    <w:p w:rsidR="00BA601C" w:rsidRDefault="00BA601C">
      <w:pPr>
        <w:spacing w:line="39" w:lineRule="exact"/>
        <w:rPr>
          <w:sz w:val="20"/>
          <w:szCs w:val="20"/>
        </w:rPr>
      </w:pPr>
    </w:p>
    <w:p w:rsidR="00BA601C" w:rsidRDefault="00564748">
      <w:pPr>
        <w:ind w:right="3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Závěrečná ustanovení</w:t>
      </w:r>
    </w:p>
    <w:p w:rsidR="00BA601C" w:rsidRDefault="00BA601C">
      <w:pPr>
        <w:spacing w:line="280" w:lineRule="exact"/>
        <w:rPr>
          <w:sz w:val="20"/>
          <w:szCs w:val="20"/>
        </w:rPr>
      </w:pPr>
    </w:p>
    <w:p w:rsidR="00BA601C" w:rsidRDefault="00564748">
      <w:pPr>
        <w:numPr>
          <w:ilvl w:val="0"/>
          <w:numId w:val="5"/>
        </w:numPr>
        <w:tabs>
          <w:tab w:val="left" w:pos="300"/>
        </w:tabs>
        <w:spacing w:line="232" w:lineRule="auto"/>
        <w:ind w:left="3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Smlouva se vyhotovuje ve dvou stejnopisech, z nichžposkytovatel a hlavnı́přı́jemce obdržı po jednom stejnopisu. Každý stejnopis má platnost originálu.</w:t>
      </w:r>
    </w:p>
    <w:p w:rsidR="00BA601C" w:rsidRDefault="00BA601C">
      <w:pPr>
        <w:spacing w:line="62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5"/>
        </w:numPr>
        <w:tabs>
          <w:tab w:val="left" w:pos="300"/>
        </w:tabs>
        <w:spacing w:line="232" w:lineRule="auto"/>
        <w:ind w:left="300" w:right="2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Hlavnı́přı́jemce prohlašuje a podpisem Smlouvy stvrzuje, že jı́m uvedenéúdaje, na jejichz základě je uzavřena, jsou správné, úplné a pravdivé.</w:t>
      </w:r>
    </w:p>
    <w:p w:rsidR="00BA601C" w:rsidRDefault="00BA601C">
      <w:pPr>
        <w:spacing w:line="23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5"/>
        </w:numPr>
        <w:tabs>
          <w:tab w:val="left" w:pos="300"/>
        </w:tabs>
        <w:ind w:left="3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Smlouva nabývá platnosti a účinnosti zveřejněním v registru Smluv.</w:t>
      </w:r>
    </w:p>
    <w:p w:rsidR="00BA601C" w:rsidRDefault="00BA601C">
      <w:pPr>
        <w:spacing w:line="22" w:lineRule="exact"/>
        <w:rPr>
          <w:rFonts w:ascii="Cambria" w:eastAsia="Cambria" w:hAnsi="Cambria" w:cs="Cambria"/>
          <w:sz w:val="23"/>
          <w:szCs w:val="23"/>
        </w:rPr>
      </w:pPr>
    </w:p>
    <w:p w:rsidR="00BA601C" w:rsidRDefault="00564748">
      <w:pPr>
        <w:numPr>
          <w:ilvl w:val="0"/>
          <w:numId w:val="5"/>
        </w:numPr>
        <w:tabs>
          <w:tab w:val="left" w:pos="300"/>
        </w:tabs>
        <w:ind w:left="3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Smluvnı́strany prohlašujı́, že si Smlouvu včetnějejich přı́loh přečetly, s jejı́m obsahem</w:t>
      </w:r>
    </w:p>
    <w:p w:rsidR="00BA601C" w:rsidRDefault="00BA601C">
      <w:pPr>
        <w:spacing w:line="61" w:lineRule="exact"/>
        <w:rPr>
          <w:sz w:val="20"/>
          <w:szCs w:val="20"/>
        </w:rPr>
      </w:pPr>
    </w:p>
    <w:p w:rsidR="00BA601C" w:rsidRDefault="00564748">
      <w:pPr>
        <w:spacing w:line="232" w:lineRule="auto"/>
        <w:ind w:left="300" w:right="2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souhlası́, a že byla sepsána na základějejich pravéa svobodnévůle, prostéomylu, a na důkaz toho připojují své podpisy.</w:t>
      </w:r>
    </w:p>
    <w:p w:rsidR="00BA601C" w:rsidRDefault="00BA601C">
      <w:pPr>
        <w:spacing w:line="63" w:lineRule="exact"/>
        <w:rPr>
          <w:sz w:val="20"/>
          <w:szCs w:val="20"/>
        </w:rPr>
      </w:pPr>
    </w:p>
    <w:p w:rsidR="00BA601C" w:rsidRDefault="00564748">
      <w:pPr>
        <w:tabs>
          <w:tab w:val="left" w:pos="280"/>
        </w:tabs>
        <w:spacing w:line="242" w:lineRule="auto"/>
        <w:ind w:left="300" w:hanging="279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5.</w:t>
      </w:r>
      <w:r>
        <w:rPr>
          <w:rFonts w:ascii="Cambria" w:eastAsia="Cambria" w:hAnsi="Cambria" w:cs="Cambria"/>
          <w:sz w:val="23"/>
          <w:szCs w:val="23"/>
        </w:rPr>
        <w:tab/>
        <w:t>Smluvnı́strany souhlası́se zveřejněnı́m zněnı́smlouvy ve smyslu zákona č. 340/2015 Sb., o zvláštnı́ch podmı́nkách účinnosti některých smluv, uveřejňovánı́těchto smluv a o registru smluv (zákon o registru smluv). Zveřejnění ve smyslu tohoto zákona provede poskytovatel.</w:t>
      </w:r>
    </w:p>
    <w:p w:rsidR="00BA601C" w:rsidRDefault="00BA601C">
      <w:pPr>
        <w:spacing w:line="60" w:lineRule="exact"/>
        <w:rPr>
          <w:sz w:val="20"/>
          <w:szCs w:val="20"/>
        </w:rPr>
      </w:pPr>
    </w:p>
    <w:p w:rsidR="00BA601C" w:rsidRDefault="00564748">
      <w:pPr>
        <w:numPr>
          <w:ilvl w:val="0"/>
          <w:numId w:val="6"/>
        </w:numPr>
        <w:tabs>
          <w:tab w:val="left" w:pos="300"/>
        </w:tabs>
        <w:spacing w:line="232" w:lineRule="auto"/>
        <w:ind w:left="300" w:hanging="285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Hlavnı́přı́jemce zároveň svým podpisem výslovněprohlašuje, že se seznámil se všemi pravidly stanovenými Všeobecnými podmínkami.</w:t>
      </w:r>
    </w:p>
    <w:p w:rsidR="00BA601C" w:rsidRDefault="00564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3536315</wp:posOffset>
            </wp:positionV>
            <wp:extent cx="2605405" cy="3613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327" w:lineRule="exact"/>
        <w:rPr>
          <w:sz w:val="20"/>
          <w:szCs w:val="20"/>
        </w:rPr>
      </w:pPr>
    </w:p>
    <w:p w:rsidR="00BA601C" w:rsidRDefault="00564748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F-052, verze 5, revize 181003</w:t>
      </w:r>
    </w:p>
    <w:p w:rsidR="00BA601C" w:rsidRDefault="00564748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A601C" w:rsidRDefault="00564748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4 / 5</w:t>
      </w:r>
    </w:p>
    <w:p w:rsidR="00BA601C" w:rsidRDefault="00BA601C">
      <w:pPr>
        <w:sectPr w:rsidR="00BA601C">
          <w:pgSz w:w="11900" w:h="16840"/>
          <w:pgMar w:top="1440" w:right="1140" w:bottom="180" w:left="1440" w:header="0" w:footer="0" w:gutter="0"/>
          <w:cols w:space="708" w:equalWidth="0">
            <w:col w:w="9320"/>
          </w:cols>
        </w:sectPr>
      </w:pPr>
    </w:p>
    <w:p w:rsidR="00BA601C" w:rsidRDefault="00564748">
      <w:pPr>
        <w:spacing w:line="35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704215</wp:posOffset>
            </wp:positionV>
            <wp:extent cx="177165" cy="19558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1257935</wp:posOffset>
            </wp:positionH>
            <wp:positionV relativeFrom="page">
              <wp:posOffset>704215</wp:posOffset>
            </wp:positionV>
            <wp:extent cx="193040" cy="1841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564748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SMLOUVA</w:t>
      </w:r>
    </w:p>
    <w:p w:rsidR="00BA601C" w:rsidRDefault="00564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570865</wp:posOffset>
            </wp:positionH>
            <wp:positionV relativeFrom="paragraph">
              <wp:posOffset>-57150</wp:posOffset>
            </wp:positionV>
            <wp:extent cx="156210" cy="18605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-127000</wp:posOffset>
            </wp:positionV>
            <wp:extent cx="169545" cy="2559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19" w:lineRule="exact"/>
        <w:rPr>
          <w:sz w:val="20"/>
          <w:szCs w:val="20"/>
        </w:rPr>
      </w:pPr>
    </w:p>
    <w:p w:rsidR="00BA601C" w:rsidRDefault="00564748">
      <w:pPr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 xml:space="preserve">Číslo smlouvy: </w:t>
      </w:r>
      <w:r>
        <w:rPr>
          <w:rFonts w:ascii="Cambria" w:eastAsia="Cambria" w:hAnsi="Cambria" w:cs="Cambria"/>
          <w:b/>
          <w:bCs/>
          <w:sz w:val="23"/>
          <w:szCs w:val="23"/>
        </w:rPr>
        <w:t>2018TH04030225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58" w:lineRule="exact"/>
        <w:rPr>
          <w:sz w:val="20"/>
          <w:szCs w:val="20"/>
        </w:rPr>
      </w:pPr>
    </w:p>
    <w:p w:rsidR="00BA601C" w:rsidRDefault="0056474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Podpisy smluvních stran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329" w:lineRule="exact"/>
        <w:rPr>
          <w:sz w:val="20"/>
          <w:szCs w:val="20"/>
        </w:rPr>
      </w:pPr>
    </w:p>
    <w:p w:rsidR="00BA601C" w:rsidRDefault="00564748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Poskytovatel: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74" w:lineRule="exact"/>
        <w:rPr>
          <w:sz w:val="20"/>
          <w:szCs w:val="20"/>
        </w:rPr>
      </w:pPr>
    </w:p>
    <w:p w:rsidR="00BA601C" w:rsidRDefault="00564748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V Praze, dne ..............................................................................</w:t>
      </w:r>
    </w:p>
    <w:p w:rsidR="00BA601C" w:rsidRDefault="00564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3605530</wp:posOffset>
            </wp:positionH>
            <wp:positionV relativeFrom="paragraph">
              <wp:posOffset>-50800</wp:posOffset>
            </wp:positionV>
            <wp:extent cx="2458720" cy="95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95" w:lineRule="exact"/>
        <w:rPr>
          <w:sz w:val="20"/>
          <w:szCs w:val="20"/>
        </w:rPr>
      </w:pPr>
    </w:p>
    <w:p w:rsidR="00BA601C" w:rsidRDefault="00A535E2">
      <w:pPr>
        <w:ind w:left="6840"/>
        <w:rPr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3"/>
          <w:szCs w:val="23"/>
        </w:rPr>
        <w:t>xxx</w:t>
      </w:r>
      <w:proofErr w:type="spellEnd"/>
    </w:p>
    <w:p w:rsidR="00BA601C" w:rsidRDefault="00BA601C">
      <w:pPr>
        <w:spacing w:line="84" w:lineRule="exact"/>
        <w:rPr>
          <w:sz w:val="20"/>
          <w:szCs w:val="20"/>
        </w:rPr>
      </w:pPr>
    </w:p>
    <w:p w:rsidR="00BA601C" w:rsidRDefault="00564748">
      <w:pPr>
        <w:ind w:left="686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Předseda TA ČR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308" w:lineRule="exact"/>
        <w:rPr>
          <w:sz w:val="20"/>
          <w:szCs w:val="20"/>
        </w:rPr>
      </w:pPr>
    </w:p>
    <w:p w:rsidR="00BA601C" w:rsidRDefault="00564748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DEKONTA, a.s.</w:t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74" w:lineRule="exact"/>
        <w:rPr>
          <w:sz w:val="20"/>
          <w:szCs w:val="20"/>
        </w:rPr>
      </w:pPr>
    </w:p>
    <w:p w:rsidR="00BA601C" w:rsidRDefault="00564748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V ............................................., dne .............................................</w:t>
      </w:r>
    </w:p>
    <w:p w:rsidR="00BA601C" w:rsidRDefault="00564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3605530</wp:posOffset>
            </wp:positionH>
            <wp:positionV relativeFrom="paragraph">
              <wp:posOffset>-50800</wp:posOffset>
            </wp:positionV>
            <wp:extent cx="2458720" cy="95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95" w:lineRule="exact"/>
        <w:rPr>
          <w:sz w:val="20"/>
          <w:szCs w:val="20"/>
        </w:rPr>
      </w:pPr>
    </w:p>
    <w:p w:rsidR="00BA601C" w:rsidRDefault="00A535E2">
      <w:pPr>
        <w:ind w:left="6640"/>
        <w:rPr>
          <w:sz w:val="20"/>
          <w:szCs w:val="20"/>
        </w:rPr>
      </w:pPr>
      <w:r>
        <w:rPr>
          <w:rFonts w:ascii="Cambria" w:eastAsia="Cambria" w:hAnsi="Cambria" w:cs="Cambria"/>
          <w:sz w:val="23"/>
          <w:szCs w:val="23"/>
        </w:rPr>
        <w:t>xxx</w:t>
      </w:r>
    </w:p>
    <w:p w:rsidR="00BA601C" w:rsidRDefault="00564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5116195</wp:posOffset>
            </wp:positionV>
            <wp:extent cx="2605405" cy="36131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00" w:lineRule="exact"/>
        <w:rPr>
          <w:sz w:val="20"/>
          <w:szCs w:val="20"/>
        </w:rPr>
      </w:pPr>
    </w:p>
    <w:p w:rsidR="00BA601C" w:rsidRDefault="00BA601C">
      <w:pPr>
        <w:spacing w:line="215" w:lineRule="exact"/>
        <w:rPr>
          <w:sz w:val="20"/>
          <w:szCs w:val="20"/>
        </w:rPr>
      </w:pPr>
    </w:p>
    <w:p w:rsidR="00BA601C" w:rsidRDefault="00564748">
      <w:pPr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F-052, verze 5, revize 181003</w:t>
      </w:r>
    </w:p>
    <w:p w:rsidR="00BA601C" w:rsidRDefault="00564748">
      <w:pPr>
        <w:spacing w:line="222" w:lineRule="auto"/>
        <w:ind w:right="20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Veřejný</w:t>
      </w:r>
    </w:p>
    <w:p w:rsidR="00BA601C" w:rsidRDefault="00564748">
      <w:pPr>
        <w:spacing w:line="236" w:lineRule="auto"/>
        <w:jc w:val="right"/>
        <w:rPr>
          <w:sz w:val="20"/>
          <w:szCs w:val="20"/>
        </w:rPr>
      </w:pPr>
      <w:r>
        <w:rPr>
          <w:rFonts w:ascii="Cambria" w:eastAsia="Cambria" w:hAnsi="Cambria" w:cs="Cambria"/>
          <w:sz w:val="17"/>
          <w:szCs w:val="17"/>
        </w:rPr>
        <w:t>Strana 5 / 5</w:t>
      </w:r>
    </w:p>
    <w:sectPr w:rsidR="00BA601C">
      <w:pgSz w:w="11900" w:h="16840"/>
      <w:pgMar w:top="1440" w:right="1140" w:bottom="180" w:left="1140" w:header="0" w:footer="0" w:gutter="0"/>
      <w:cols w:space="708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A92D3EA"/>
    <w:lvl w:ilvl="0" w:tplc="67A6A920">
      <w:start w:val="1"/>
      <w:numFmt w:val="decimal"/>
      <w:lvlText w:val="%1."/>
      <w:lvlJc w:val="left"/>
    </w:lvl>
    <w:lvl w:ilvl="1" w:tplc="BFBAC758">
      <w:numFmt w:val="decimal"/>
      <w:lvlText w:val=""/>
      <w:lvlJc w:val="left"/>
    </w:lvl>
    <w:lvl w:ilvl="2" w:tplc="EEC6D100">
      <w:numFmt w:val="decimal"/>
      <w:lvlText w:val=""/>
      <w:lvlJc w:val="left"/>
    </w:lvl>
    <w:lvl w:ilvl="3" w:tplc="8180925E">
      <w:numFmt w:val="decimal"/>
      <w:lvlText w:val=""/>
      <w:lvlJc w:val="left"/>
    </w:lvl>
    <w:lvl w:ilvl="4" w:tplc="83DC07F0">
      <w:numFmt w:val="decimal"/>
      <w:lvlText w:val=""/>
      <w:lvlJc w:val="left"/>
    </w:lvl>
    <w:lvl w:ilvl="5" w:tplc="DE68BD18">
      <w:numFmt w:val="decimal"/>
      <w:lvlText w:val=""/>
      <w:lvlJc w:val="left"/>
    </w:lvl>
    <w:lvl w:ilvl="6" w:tplc="DAC2E296">
      <w:numFmt w:val="decimal"/>
      <w:lvlText w:val=""/>
      <w:lvlJc w:val="left"/>
    </w:lvl>
    <w:lvl w:ilvl="7" w:tplc="2BE68FB0">
      <w:numFmt w:val="decimal"/>
      <w:lvlText w:val=""/>
      <w:lvlJc w:val="left"/>
    </w:lvl>
    <w:lvl w:ilvl="8" w:tplc="EF564DE8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828264E"/>
    <w:lvl w:ilvl="0" w:tplc="CD3ADE96">
      <w:start w:val="1"/>
      <w:numFmt w:val="decimal"/>
      <w:lvlText w:val="%1."/>
      <w:lvlJc w:val="left"/>
    </w:lvl>
    <w:lvl w:ilvl="1" w:tplc="D7EC21C8">
      <w:numFmt w:val="decimal"/>
      <w:lvlText w:val=""/>
      <w:lvlJc w:val="left"/>
    </w:lvl>
    <w:lvl w:ilvl="2" w:tplc="37563D46">
      <w:numFmt w:val="decimal"/>
      <w:lvlText w:val=""/>
      <w:lvlJc w:val="left"/>
    </w:lvl>
    <w:lvl w:ilvl="3" w:tplc="2A8ED256">
      <w:numFmt w:val="decimal"/>
      <w:lvlText w:val=""/>
      <w:lvlJc w:val="left"/>
    </w:lvl>
    <w:lvl w:ilvl="4" w:tplc="E412275E">
      <w:numFmt w:val="decimal"/>
      <w:lvlText w:val=""/>
      <w:lvlJc w:val="left"/>
    </w:lvl>
    <w:lvl w:ilvl="5" w:tplc="AFCC9FC6">
      <w:numFmt w:val="decimal"/>
      <w:lvlText w:val=""/>
      <w:lvlJc w:val="left"/>
    </w:lvl>
    <w:lvl w:ilvl="6" w:tplc="E3A82666">
      <w:numFmt w:val="decimal"/>
      <w:lvlText w:val=""/>
      <w:lvlJc w:val="left"/>
    </w:lvl>
    <w:lvl w:ilvl="7" w:tplc="78C82D92">
      <w:numFmt w:val="decimal"/>
      <w:lvlText w:val=""/>
      <w:lvlJc w:val="left"/>
    </w:lvl>
    <w:lvl w:ilvl="8" w:tplc="8A647E8A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736A2F1A"/>
    <w:lvl w:ilvl="0" w:tplc="5F92B77E">
      <w:start w:val="1"/>
      <w:numFmt w:val="decimal"/>
      <w:lvlText w:val="%1."/>
      <w:lvlJc w:val="left"/>
    </w:lvl>
    <w:lvl w:ilvl="1" w:tplc="F90CE0F0">
      <w:start w:val="1"/>
      <w:numFmt w:val="lowerLetter"/>
      <w:lvlText w:val="%2)"/>
      <w:lvlJc w:val="left"/>
    </w:lvl>
    <w:lvl w:ilvl="2" w:tplc="FA789312">
      <w:numFmt w:val="decimal"/>
      <w:lvlText w:val=""/>
      <w:lvlJc w:val="left"/>
    </w:lvl>
    <w:lvl w:ilvl="3" w:tplc="A446A6E6">
      <w:numFmt w:val="decimal"/>
      <w:lvlText w:val=""/>
      <w:lvlJc w:val="left"/>
    </w:lvl>
    <w:lvl w:ilvl="4" w:tplc="5C549F48">
      <w:numFmt w:val="decimal"/>
      <w:lvlText w:val=""/>
      <w:lvlJc w:val="left"/>
    </w:lvl>
    <w:lvl w:ilvl="5" w:tplc="16AC1222">
      <w:numFmt w:val="decimal"/>
      <w:lvlText w:val=""/>
      <w:lvlJc w:val="left"/>
    </w:lvl>
    <w:lvl w:ilvl="6" w:tplc="08DEAF5E">
      <w:numFmt w:val="decimal"/>
      <w:lvlText w:val=""/>
      <w:lvlJc w:val="left"/>
    </w:lvl>
    <w:lvl w:ilvl="7" w:tplc="5D8A11CC">
      <w:numFmt w:val="decimal"/>
      <w:lvlText w:val=""/>
      <w:lvlJc w:val="left"/>
    </w:lvl>
    <w:lvl w:ilvl="8" w:tplc="FFAAC53C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3894E506"/>
    <w:lvl w:ilvl="0" w:tplc="BFB07562">
      <w:start w:val="1"/>
      <w:numFmt w:val="decimal"/>
      <w:lvlText w:val="%1."/>
      <w:lvlJc w:val="left"/>
    </w:lvl>
    <w:lvl w:ilvl="1" w:tplc="940065AE">
      <w:numFmt w:val="decimal"/>
      <w:lvlText w:val=""/>
      <w:lvlJc w:val="left"/>
    </w:lvl>
    <w:lvl w:ilvl="2" w:tplc="59F80254">
      <w:numFmt w:val="decimal"/>
      <w:lvlText w:val=""/>
      <w:lvlJc w:val="left"/>
    </w:lvl>
    <w:lvl w:ilvl="3" w:tplc="CCE2A59A">
      <w:numFmt w:val="decimal"/>
      <w:lvlText w:val=""/>
      <w:lvlJc w:val="left"/>
    </w:lvl>
    <w:lvl w:ilvl="4" w:tplc="9A8EBAAC">
      <w:numFmt w:val="decimal"/>
      <w:lvlText w:val=""/>
      <w:lvlJc w:val="left"/>
    </w:lvl>
    <w:lvl w:ilvl="5" w:tplc="E584AFE0">
      <w:numFmt w:val="decimal"/>
      <w:lvlText w:val=""/>
      <w:lvlJc w:val="left"/>
    </w:lvl>
    <w:lvl w:ilvl="6" w:tplc="990022E8">
      <w:numFmt w:val="decimal"/>
      <w:lvlText w:val=""/>
      <w:lvlJc w:val="left"/>
    </w:lvl>
    <w:lvl w:ilvl="7" w:tplc="7A849686">
      <w:numFmt w:val="decimal"/>
      <w:lvlText w:val=""/>
      <w:lvlJc w:val="left"/>
    </w:lvl>
    <w:lvl w:ilvl="8" w:tplc="246A4F08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3564A532"/>
    <w:lvl w:ilvl="0" w:tplc="E3501D62">
      <w:start w:val="6"/>
      <w:numFmt w:val="decimal"/>
      <w:lvlText w:val="%1."/>
      <w:lvlJc w:val="left"/>
    </w:lvl>
    <w:lvl w:ilvl="1" w:tplc="7B724526">
      <w:numFmt w:val="decimal"/>
      <w:lvlText w:val=""/>
      <w:lvlJc w:val="left"/>
    </w:lvl>
    <w:lvl w:ilvl="2" w:tplc="12A6D80E">
      <w:numFmt w:val="decimal"/>
      <w:lvlText w:val=""/>
      <w:lvlJc w:val="left"/>
    </w:lvl>
    <w:lvl w:ilvl="3" w:tplc="36EA1B90">
      <w:numFmt w:val="decimal"/>
      <w:lvlText w:val=""/>
      <w:lvlJc w:val="left"/>
    </w:lvl>
    <w:lvl w:ilvl="4" w:tplc="E0B05B76">
      <w:numFmt w:val="decimal"/>
      <w:lvlText w:val=""/>
      <w:lvlJc w:val="left"/>
    </w:lvl>
    <w:lvl w:ilvl="5" w:tplc="501A7212">
      <w:numFmt w:val="decimal"/>
      <w:lvlText w:val=""/>
      <w:lvlJc w:val="left"/>
    </w:lvl>
    <w:lvl w:ilvl="6" w:tplc="A810177C">
      <w:numFmt w:val="decimal"/>
      <w:lvlText w:val=""/>
      <w:lvlJc w:val="left"/>
    </w:lvl>
    <w:lvl w:ilvl="7" w:tplc="4AFC3C58">
      <w:numFmt w:val="decimal"/>
      <w:lvlText w:val=""/>
      <w:lvlJc w:val="left"/>
    </w:lvl>
    <w:lvl w:ilvl="8" w:tplc="619C0F2E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FC6AF330"/>
    <w:lvl w:ilvl="0" w:tplc="29505E68">
      <w:start w:val="1"/>
      <w:numFmt w:val="decimal"/>
      <w:lvlText w:val="%1."/>
      <w:lvlJc w:val="left"/>
    </w:lvl>
    <w:lvl w:ilvl="1" w:tplc="3FDEA572">
      <w:numFmt w:val="decimal"/>
      <w:lvlText w:val=""/>
      <w:lvlJc w:val="left"/>
    </w:lvl>
    <w:lvl w:ilvl="2" w:tplc="9B9E9380">
      <w:numFmt w:val="decimal"/>
      <w:lvlText w:val=""/>
      <w:lvlJc w:val="left"/>
    </w:lvl>
    <w:lvl w:ilvl="3" w:tplc="0646FB3C">
      <w:numFmt w:val="decimal"/>
      <w:lvlText w:val=""/>
      <w:lvlJc w:val="left"/>
    </w:lvl>
    <w:lvl w:ilvl="4" w:tplc="D0F60BFA">
      <w:numFmt w:val="decimal"/>
      <w:lvlText w:val=""/>
      <w:lvlJc w:val="left"/>
    </w:lvl>
    <w:lvl w:ilvl="5" w:tplc="F1585F60">
      <w:numFmt w:val="decimal"/>
      <w:lvlText w:val=""/>
      <w:lvlJc w:val="left"/>
    </w:lvl>
    <w:lvl w:ilvl="6" w:tplc="4A8C5396">
      <w:numFmt w:val="decimal"/>
      <w:lvlText w:val=""/>
      <w:lvlJc w:val="left"/>
    </w:lvl>
    <w:lvl w:ilvl="7" w:tplc="11346830">
      <w:numFmt w:val="decimal"/>
      <w:lvlText w:val=""/>
      <w:lvlJc w:val="left"/>
    </w:lvl>
    <w:lvl w:ilvl="8" w:tplc="6E0070A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1C"/>
    <w:rsid w:val="001C4A64"/>
    <w:rsid w:val="00564748"/>
    <w:rsid w:val="008A0784"/>
    <w:rsid w:val="009C1F88"/>
    <w:rsid w:val="00A535E2"/>
    <w:rsid w:val="00B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9679A-1677-4715-BED1-FB807FC4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7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7784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Šárka</cp:lastModifiedBy>
  <cp:revision>2</cp:revision>
  <cp:lastPrinted>2018-12-14T12:10:00Z</cp:lastPrinted>
  <dcterms:created xsi:type="dcterms:W3CDTF">2018-12-14T14:03:00Z</dcterms:created>
  <dcterms:modified xsi:type="dcterms:W3CDTF">2018-12-14T14:03:00Z</dcterms:modified>
</cp:coreProperties>
</file>