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7F0FFE" w14:textId="77777777" w:rsidR="00AA05E0" w:rsidRDefault="004646BE">
      <w:pPr>
        <w:pStyle w:val="Standard"/>
        <w:jc w:val="center"/>
        <w:rPr>
          <w:rFonts w:ascii="Arial" w:hAnsi="Arial"/>
          <w:b/>
          <w:bCs/>
          <w:sz w:val="22"/>
          <w:szCs w:val="22"/>
        </w:rPr>
      </w:pPr>
      <w:bookmarkStart w:id="0" w:name="_GoBack"/>
      <w:bookmarkEnd w:id="0"/>
      <w:r>
        <w:rPr>
          <w:rFonts w:ascii="Arial" w:hAnsi="Arial"/>
          <w:b/>
          <w:bCs/>
          <w:sz w:val="22"/>
          <w:szCs w:val="22"/>
        </w:rPr>
        <w:t>Licenční smlouva</w:t>
      </w:r>
    </w:p>
    <w:p w14:paraId="1D957A0A" w14:textId="77777777" w:rsidR="00AA05E0" w:rsidRDefault="00AA05E0">
      <w:pPr>
        <w:pStyle w:val="Standard"/>
        <w:jc w:val="center"/>
        <w:rPr>
          <w:rFonts w:ascii="Arial" w:hAnsi="Arial"/>
          <w:b/>
          <w:bCs/>
          <w:sz w:val="22"/>
          <w:szCs w:val="22"/>
        </w:rPr>
      </w:pPr>
    </w:p>
    <w:p w14:paraId="0A77814A" w14:textId="77777777" w:rsidR="00AA05E0" w:rsidRDefault="004646BE">
      <w:pPr>
        <w:pStyle w:val="Standard"/>
        <w:jc w:val="center"/>
        <w:rPr>
          <w:rFonts w:ascii="Arial" w:hAnsi="Arial"/>
          <w:sz w:val="22"/>
          <w:szCs w:val="22"/>
        </w:rPr>
      </w:pPr>
      <w:r>
        <w:rPr>
          <w:rFonts w:ascii="Arial" w:hAnsi="Arial"/>
          <w:sz w:val="22"/>
          <w:szCs w:val="22"/>
        </w:rPr>
        <w:t>tato licenční smlouva (dále jen „smlouva“) byla uzavřena níže uvedeného dne, měsíce a roku mezi těmito smluvními stranami</w:t>
      </w:r>
    </w:p>
    <w:p w14:paraId="25A7BB71" w14:textId="77777777" w:rsidR="00AA05E0" w:rsidRDefault="00AA05E0">
      <w:pPr>
        <w:pStyle w:val="Standard"/>
        <w:rPr>
          <w:rFonts w:ascii="Arial" w:hAnsi="Arial"/>
          <w:sz w:val="22"/>
          <w:szCs w:val="22"/>
        </w:rPr>
      </w:pPr>
    </w:p>
    <w:p w14:paraId="2ECEA370" w14:textId="77777777" w:rsidR="00AA05E0" w:rsidRDefault="004646BE">
      <w:pPr>
        <w:pStyle w:val="Standard"/>
        <w:rPr>
          <w:rFonts w:ascii="Arial" w:hAnsi="Arial"/>
          <w:sz w:val="22"/>
          <w:szCs w:val="22"/>
        </w:rPr>
      </w:pPr>
      <w:r>
        <w:rPr>
          <w:rFonts w:ascii="Arial" w:hAnsi="Arial"/>
          <w:sz w:val="22"/>
          <w:szCs w:val="22"/>
        </w:rPr>
        <w:t>smluvní strana:</w:t>
      </w:r>
    </w:p>
    <w:p w14:paraId="4860BACE" w14:textId="77777777" w:rsidR="00AA05E0" w:rsidRDefault="00AA05E0">
      <w:pPr>
        <w:pStyle w:val="Standard"/>
        <w:rPr>
          <w:rFonts w:ascii="Arial" w:hAnsi="Arial"/>
          <w:sz w:val="22"/>
          <w:szCs w:val="22"/>
        </w:rPr>
      </w:pPr>
    </w:p>
    <w:p w14:paraId="41EB56BD" w14:textId="77777777" w:rsidR="00AA05E0" w:rsidRDefault="004646BE">
      <w:pPr>
        <w:rPr>
          <w:rFonts w:ascii="Arial" w:hAnsi="Arial"/>
          <w:b/>
          <w:sz w:val="22"/>
          <w:szCs w:val="22"/>
        </w:rPr>
      </w:pPr>
      <w:r>
        <w:rPr>
          <w:rFonts w:ascii="Arial" w:hAnsi="Arial"/>
          <w:b/>
          <w:bCs/>
          <w:sz w:val="22"/>
          <w:szCs w:val="22"/>
        </w:rPr>
        <w:t>Mikrobiologický ústav AV ČR, v. v. i.</w:t>
      </w:r>
      <w:r>
        <w:rPr>
          <w:rFonts w:ascii="Arial" w:hAnsi="Arial"/>
          <w:b/>
          <w:bCs/>
          <w:sz w:val="22"/>
          <w:szCs w:val="22"/>
        </w:rPr>
        <w:br/>
      </w:r>
      <w:r>
        <w:rPr>
          <w:rFonts w:ascii="Arial" w:hAnsi="Arial"/>
          <w:b/>
          <w:sz w:val="22"/>
          <w:szCs w:val="22"/>
        </w:rPr>
        <w:t>Vídeňská 1083</w:t>
      </w:r>
      <w:r>
        <w:rPr>
          <w:rFonts w:ascii="Arial" w:hAnsi="Arial"/>
          <w:b/>
          <w:sz w:val="22"/>
          <w:szCs w:val="22"/>
        </w:rPr>
        <w:br/>
        <w:t>142 20 Praha 4</w:t>
      </w:r>
    </w:p>
    <w:p w14:paraId="7C6B6BB2" w14:textId="77777777" w:rsidR="00AA05E0" w:rsidRDefault="004646BE">
      <w:pPr>
        <w:spacing w:before="80"/>
        <w:rPr>
          <w:rFonts w:ascii="Arial" w:hAnsi="Arial"/>
          <w:sz w:val="22"/>
          <w:szCs w:val="22"/>
        </w:rPr>
      </w:pPr>
      <w:r>
        <w:rPr>
          <w:rFonts w:ascii="Arial" w:hAnsi="Arial"/>
          <w:sz w:val="22"/>
          <w:szCs w:val="22"/>
        </w:rPr>
        <w:t>IČ:</w:t>
      </w:r>
      <w:r>
        <w:rPr>
          <w:rFonts w:ascii="Arial" w:hAnsi="Arial"/>
          <w:sz w:val="22"/>
          <w:szCs w:val="22"/>
        </w:rPr>
        <w:tab/>
      </w:r>
      <w:r>
        <w:rPr>
          <w:rFonts w:ascii="Arial" w:hAnsi="Arial"/>
          <w:sz w:val="22"/>
          <w:szCs w:val="22"/>
        </w:rPr>
        <w:tab/>
      </w:r>
      <w:r>
        <w:rPr>
          <w:rFonts w:ascii="Arial" w:hAnsi="Arial"/>
          <w:sz w:val="22"/>
          <w:szCs w:val="22"/>
        </w:rPr>
        <w:tab/>
        <w:t>61388971</w:t>
      </w:r>
    </w:p>
    <w:p w14:paraId="400F801A" w14:textId="77777777" w:rsidR="00AA05E0" w:rsidRDefault="004646BE">
      <w:pPr>
        <w:rPr>
          <w:rFonts w:ascii="Arial" w:hAnsi="Arial"/>
          <w:sz w:val="22"/>
          <w:szCs w:val="22"/>
        </w:rPr>
      </w:pPr>
      <w:r>
        <w:rPr>
          <w:rFonts w:ascii="Arial" w:hAnsi="Arial"/>
          <w:sz w:val="22"/>
          <w:szCs w:val="22"/>
        </w:rPr>
        <w:t>DIČ:</w:t>
      </w:r>
      <w:r>
        <w:rPr>
          <w:rFonts w:ascii="Arial" w:hAnsi="Arial"/>
          <w:sz w:val="22"/>
          <w:szCs w:val="22"/>
        </w:rPr>
        <w:tab/>
      </w:r>
      <w:r>
        <w:rPr>
          <w:rFonts w:ascii="Arial" w:hAnsi="Arial"/>
          <w:sz w:val="22"/>
          <w:szCs w:val="22"/>
        </w:rPr>
        <w:tab/>
      </w:r>
      <w:r>
        <w:rPr>
          <w:rFonts w:ascii="Arial" w:hAnsi="Arial"/>
          <w:sz w:val="22"/>
          <w:szCs w:val="22"/>
        </w:rPr>
        <w:tab/>
        <w:t>CZ61388971</w:t>
      </w:r>
    </w:p>
    <w:p w14:paraId="2DB249C7" w14:textId="1A68409D" w:rsidR="00AA05E0" w:rsidRPr="00CA6CFD" w:rsidRDefault="004646BE">
      <w:pPr>
        <w:spacing w:before="80"/>
        <w:rPr>
          <w:rFonts w:ascii="Arial" w:hAnsi="Arial"/>
          <w:sz w:val="22"/>
          <w:szCs w:val="22"/>
        </w:rPr>
      </w:pPr>
      <w:r w:rsidRPr="00CA6CFD">
        <w:rPr>
          <w:rFonts w:ascii="Arial" w:hAnsi="Arial"/>
          <w:sz w:val="22"/>
          <w:szCs w:val="22"/>
        </w:rPr>
        <w:t>bankovní spojení:</w:t>
      </w:r>
      <w:r w:rsidRPr="00CA6CFD">
        <w:rPr>
          <w:rFonts w:ascii="Arial" w:hAnsi="Arial"/>
          <w:sz w:val="22"/>
          <w:szCs w:val="22"/>
        </w:rPr>
        <w:tab/>
      </w:r>
      <w:r w:rsidR="00CA6CFD" w:rsidRPr="00CA6CFD">
        <w:rPr>
          <w:rFonts w:ascii="Arial" w:hAnsi="Arial"/>
          <w:sz w:val="22"/>
          <w:szCs w:val="22"/>
        </w:rPr>
        <w:t>Komerční banka a.s.</w:t>
      </w:r>
      <w:r w:rsidR="00CA6CFD">
        <w:rPr>
          <w:rFonts w:ascii="Arial" w:hAnsi="Arial"/>
          <w:sz w:val="22"/>
          <w:szCs w:val="22"/>
        </w:rPr>
        <w:t>, Praha</w:t>
      </w:r>
    </w:p>
    <w:p w14:paraId="2BC51316" w14:textId="3673F08A" w:rsidR="00AA05E0" w:rsidRPr="00CA6CFD" w:rsidRDefault="004646BE">
      <w:pPr>
        <w:rPr>
          <w:rFonts w:ascii="Arial" w:hAnsi="Arial"/>
          <w:sz w:val="22"/>
          <w:szCs w:val="22"/>
        </w:rPr>
      </w:pPr>
      <w:r w:rsidRPr="00CA6CFD">
        <w:rPr>
          <w:rFonts w:ascii="Arial" w:hAnsi="Arial"/>
          <w:sz w:val="22"/>
          <w:szCs w:val="22"/>
        </w:rPr>
        <w:t>číslo účtu:</w:t>
      </w:r>
      <w:r w:rsidRPr="00CA6CFD">
        <w:rPr>
          <w:rFonts w:ascii="Arial" w:hAnsi="Arial"/>
          <w:sz w:val="22"/>
          <w:szCs w:val="22"/>
        </w:rPr>
        <w:tab/>
      </w:r>
      <w:r w:rsidRPr="00CA6CFD">
        <w:rPr>
          <w:rFonts w:ascii="Arial" w:hAnsi="Arial"/>
          <w:sz w:val="22"/>
          <w:szCs w:val="22"/>
        </w:rPr>
        <w:tab/>
      </w:r>
      <w:r w:rsidR="00CA6CFD" w:rsidRPr="00CA6CFD">
        <w:rPr>
          <w:rFonts w:ascii="Arial" w:hAnsi="Arial"/>
          <w:sz w:val="22"/>
          <w:szCs w:val="22"/>
        </w:rPr>
        <w:t>2246660227/0100</w:t>
      </w:r>
    </w:p>
    <w:p w14:paraId="427A0AE2" w14:textId="58FDC480" w:rsidR="00AA05E0" w:rsidRDefault="004646BE">
      <w:pPr>
        <w:spacing w:before="80"/>
        <w:rPr>
          <w:rFonts w:ascii="Arial" w:hAnsi="Arial"/>
          <w:sz w:val="22"/>
          <w:szCs w:val="22"/>
        </w:rPr>
      </w:pPr>
      <w:r w:rsidRPr="00CA6CFD">
        <w:rPr>
          <w:rFonts w:ascii="Arial" w:hAnsi="Arial"/>
          <w:sz w:val="22"/>
          <w:szCs w:val="22"/>
        </w:rPr>
        <w:t>za kterou jedná:</w:t>
      </w:r>
      <w:r w:rsidRPr="00CA6CFD">
        <w:rPr>
          <w:rFonts w:ascii="Arial" w:hAnsi="Arial"/>
          <w:sz w:val="22"/>
          <w:szCs w:val="22"/>
        </w:rPr>
        <w:tab/>
      </w:r>
      <w:r w:rsidR="00CA6CFD" w:rsidRPr="00CA6CFD">
        <w:rPr>
          <w:rFonts w:ascii="Arial" w:hAnsi="Arial"/>
          <w:sz w:val="22"/>
          <w:szCs w:val="22"/>
        </w:rPr>
        <w:t xml:space="preserve">RNDr. Martin </w:t>
      </w:r>
      <w:proofErr w:type="spellStart"/>
      <w:r w:rsidR="00CA6CFD" w:rsidRPr="00CA6CFD">
        <w:rPr>
          <w:rFonts w:ascii="Arial" w:hAnsi="Arial"/>
          <w:sz w:val="22"/>
          <w:szCs w:val="22"/>
        </w:rPr>
        <w:t>Bilej</w:t>
      </w:r>
      <w:proofErr w:type="spellEnd"/>
      <w:r w:rsidR="00CA6CFD" w:rsidRPr="00CA6CFD">
        <w:rPr>
          <w:rFonts w:ascii="Arial" w:hAnsi="Arial"/>
          <w:sz w:val="22"/>
          <w:szCs w:val="22"/>
        </w:rPr>
        <w:t>, DrSc., ředitel</w:t>
      </w:r>
    </w:p>
    <w:p w14:paraId="5F005C69" w14:textId="77777777" w:rsidR="00AA05E0" w:rsidRDefault="00AA05E0">
      <w:pPr>
        <w:pStyle w:val="Standard"/>
        <w:rPr>
          <w:rFonts w:ascii="Arial" w:hAnsi="Arial"/>
          <w:sz w:val="22"/>
          <w:szCs w:val="22"/>
        </w:rPr>
      </w:pPr>
    </w:p>
    <w:p w14:paraId="2BE61FF5" w14:textId="77777777" w:rsidR="00AA05E0" w:rsidRDefault="004646BE">
      <w:pPr>
        <w:pStyle w:val="Standard"/>
        <w:rPr>
          <w:rFonts w:ascii="Arial" w:hAnsi="Arial"/>
          <w:sz w:val="22"/>
          <w:szCs w:val="22"/>
        </w:rPr>
      </w:pPr>
      <w:r>
        <w:rPr>
          <w:rFonts w:ascii="Arial" w:hAnsi="Arial"/>
          <w:sz w:val="22"/>
          <w:szCs w:val="22"/>
        </w:rPr>
        <w:t>(dále jako " Nabyvatel ")</w:t>
      </w:r>
    </w:p>
    <w:p w14:paraId="3664BE7D" w14:textId="77777777" w:rsidR="00AA05E0" w:rsidRDefault="00AA05E0">
      <w:pPr>
        <w:pStyle w:val="Standard"/>
        <w:rPr>
          <w:rFonts w:ascii="Arial" w:hAnsi="Arial"/>
          <w:sz w:val="22"/>
          <w:szCs w:val="22"/>
        </w:rPr>
      </w:pPr>
    </w:p>
    <w:p w14:paraId="51EC9BFF" w14:textId="77777777" w:rsidR="00AA05E0" w:rsidRDefault="004646BE">
      <w:pPr>
        <w:pStyle w:val="Standard"/>
        <w:rPr>
          <w:rFonts w:ascii="Arial" w:hAnsi="Arial"/>
          <w:sz w:val="22"/>
          <w:szCs w:val="22"/>
        </w:rPr>
      </w:pPr>
      <w:r>
        <w:rPr>
          <w:rFonts w:ascii="Arial" w:hAnsi="Arial"/>
          <w:sz w:val="22"/>
          <w:szCs w:val="22"/>
        </w:rPr>
        <w:t>a</w:t>
      </w:r>
    </w:p>
    <w:p w14:paraId="7D2976A0" w14:textId="77777777" w:rsidR="00AA05E0" w:rsidRDefault="00AA05E0">
      <w:pPr>
        <w:pStyle w:val="Standard"/>
        <w:rPr>
          <w:rFonts w:ascii="Arial" w:hAnsi="Arial"/>
          <w:sz w:val="22"/>
          <w:szCs w:val="22"/>
        </w:rPr>
      </w:pPr>
    </w:p>
    <w:p w14:paraId="3AB8D508" w14:textId="77777777" w:rsidR="00AA05E0" w:rsidRDefault="004646BE">
      <w:pPr>
        <w:pStyle w:val="Standard"/>
        <w:rPr>
          <w:rFonts w:ascii="Arial" w:hAnsi="Arial"/>
          <w:sz w:val="22"/>
          <w:szCs w:val="22"/>
        </w:rPr>
      </w:pPr>
      <w:r>
        <w:rPr>
          <w:rFonts w:ascii="Arial" w:hAnsi="Arial"/>
          <w:sz w:val="22"/>
          <w:szCs w:val="22"/>
        </w:rPr>
        <w:t>smluvní strana:</w:t>
      </w:r>
    </w:p>
    <w:p w14:paraId="5FD165F3" w14:textId="77777777" w:rsidR="00AA05E0" w:rsidRDefault="004646BE">
      <w:pPr>
        <w:pStyle w:val="Standard"/>
        <w:rPr>
          <w:rFonts w:ascii="Arial" w:hAnsi="Arial"/>
          <w:sz w:val="22"/>
          <w:szCs w:val="22"/>
        </w:rPr>
      </w:pPr>
      <w:r>
        <w:rPr>
          <w:rFonts w:ascii="Arial" w:hAnsi="Arial"/>
          <w:sz w:val="22"/>
          <w:szCs w:val="22"/>
        </w:rPr>
        <w:t xml:space="preserve"> </w:t>
      </w:r>
    </w:p>
    <w:p w14:paraId="7F411781" w14:textId="77777777" w:rsidR="00AA05E0" w:rsidRDefault="004646BE">
      <w:pPr>
        <w:rPr>
          <w:rFonts w:ascii="Arial" w:hAnsi="Arial"/>
          <w:b/>
          <w:sz w:val="22"/>
          <w:szCs w:val="22"/>
        </w:rPr>
      </w:pPr>
      <w:r>
        <w:rPr>
          <w:rFonts w:ascii="Arial" w:hAnsi="Arial"/>
          <w:b/>
          <w:sz w:val="22"/>
          <w:szCs w:val="22"/>
        </w:rPr>
        <w:t>AMIRO, s.r.o.</w:t>
      </w:r>
    </w:p>
    <w:p w14:paraId="7F2FB635" w14:textId="77777777" w:rsidR="00AA05E0" w:rsidRDefault="004646BE">
      <w:pPr>
        <w:pStyle w:val="Seznamsodrkami3"/>
        <w:ind w:hanging="566"/>
        <w:rPr>
          <w:rFonts w:ascii="Arial" w:hAnsi="Arial" w:cs="Arial"/>
          <w:b/>
          <w:sz w:val="22"/>
          <w:szCs w:val="22"/>
        </w:rPr>
      </w:pPr>
      <w:r>
        <w:rPr>
          <w:rFonts w:ascii="Arial" w:hAnsi="Arial" w:cs="Arial"/>
          <w:b/>
          <w:sz w:val="22"/>
          <w:szCs w:val="22"/>
        </w:rPr>
        <w:t>Počernická 272/96</w:t>
      </w:r>
    </w:p>
    <w:p w14:paraId="646E0351" w14:textId="77777777" w:rsidR="00AA05E0" w:rsidRDefault="004646BE">
      <w:pPr>
        <w:pStyle w:val="Seznamsodrkami3"/>
        <w:ind w:hanging="566"/>
        <w:rPr>
          <w:rFonts w:ascii="Arial" w:hAnsi="Arial" w:cs="Arial"/>
          <w:b/>
          <w:sz w:val="22"/>
          <w:szCs w:val="22"/>
        </w:rPr>
      </w:pPr>
      <w:r>
        <w:rPr>
          <w:rFonts w:ascii="Arial" w:hAnsi="Arial" w:cs="Arial"/>
          <w:b/>
          <w:sz w:val="22"/>
          <w:szCs w:val="22"/>
        </w:rPr>
        <w:t>108 00 Praha 10</w:t>
      </w:r>
    </w:p>
    <w:p w14:paraId="6B822233" w14:textId="77777777" w:rsidR="00AA05E0" w:rsidRDefault="004646BE">
      <w:pPr>
        <w:spacing w:before="80"/>
        <w:rPr>
          <w:rFonts w:ascii="Arial" w:hAnsi="Arial"/>
          <w:sz w:val="22"/>
          <w:szCs w:val="22"/>
        </w:rPr>
      </w:pPr>
      <w:r>
        <w:rPr>
          <w:rFonts w:ascii="Arial" w:hAnsi="Arial"/>
          <w:sz w:val="22"/>
          <w:szCs w:val="22"/>
        </w:rPr>
        <w:t>IČ:</w:t>
      </w:r>
      <w:r>
        <w:rPr>
          <w:rFonts w:ascii="Arial" w:hAnsi="Arial"/>
          <w:sz w:val="22"/>
          <w:szCs w:val="22"/>
        </w:rPr>
        <w:tab/>
      </w:r>
      <w:r>
        <w:rPr>
          <w:rFonts w:ascii="Arial" w:hAnsi="Arial"/>
          <w:sz w:val="22"/>
          <w:szCs w:val="22"/>
        </w:rPr>
        <w:tab/>
      </w:r>
      <w:r>
        <w:rPr>
          <w:rFonts w:ascii="Arial" w:hAnsi="Arial"/>
          <w:sz w:val="22"/>
          <w:szCs w:val="22"/>
        </w:rPr>
        <w:tab/>
        <w:t>60464666</w:t>
      </w:r>
    </w:p>
    <w:p w14:paraId="7A66EE51" w14:textId="77777777" w:rsidR="00AA05E0" w:rsidRDefault="004646BE">
      <w:pPr>
        <w:rPr>
          <w:rFonts w:ascii="Arial" w:hAnsi="Arial"/>
          <w:sz w:val="22"/>
          <w:szCs w:val="22"/>
        </w:rPr>
      </w:pPr>
      <w:r>
        <w:rPr>
          <w:rFonts w:ascii="Arial" w:hAnsi="Arial"/>
          <w:sz w:val="22"/>
          <w:szCs w:val="22"/>
        </w:rPr>
        <w:t>DIČ:</w:t>
      </w:r>
      <w:r>
        <w:rPr>
          <w:rFonts w:ascii="Arial" w:hAnsi="Arial"/>
          <w:sz w:val="22"/>
          <w:szCs w:val="22"/>
        </w:rPr>
        <w:tab/>
      </w:r>
      <w:r>
        <w:rPr>
          <w:rFonts w:ascii="Arial" w:hAnsi="Arial"/>
          <w:sz w:val="22"/>
          <w:szCs w:val="22"/>
        </w:rPr>
        <w:tab/>
      </w:r>
      <w:r>
        <w:rPr>
          <w:rFonts w:ascii="Arial" w:hAnsi="Arial"/>
          <w:sz w:val="22"/>
          <w:szCs w:val="22"/>
        </w:rPr>
        <w:tab/>
        <w:t>CZ60464666</w:t>
      </w:r>
    </w:p>
    <w:p w14:paraId="59D199ED" w14:textId="77777777" w:rsidR="00AA05E0" w:rsidRDefault="004646BE">
      <w:pPr>
        <w:spacing w:before="80"/>
        <w:rPr>
          <w:rFonts w:ascii="Arial" w:hAnsi="Arial"/>
          <w:sz w:val="22"/>
          <w:szCs w:val="22"/>
        </w:rPr>
      </w:pPr>
      <w:r>
        <w:rPr>
          <w:rFonts w:ascii="Arial" w:hAnsi="Arial"/>
          <w:sz w:val="22"/>
          <w:szCs w:val="22"/>
        </w:rPr>
        <w:t>bankovní spojení:</w:t>
      </w:r>
      <w:r>
        <w:rPr>
          <w:rFonts w:ascii="Arial" w:hAnsi="Arial"/>
          <w:sz w:val="22"/>
          <w:szCs w:val="22"/>
        </w:rPr>
        <w:tab/>
      </w:r>
      <w:r>
        <w:rPr>
          <w:rFonts w:ascii="Arial" w:hAnsi="Arial"/>
          <w:sz w:val="22"/>
        </w:rPr>
        <w:t>Česká spořitelna a.s., Praha</w:t>
      </w:r>
    </w:p>
    <w:p w14:paraId="590B06B7" w14:textId="77777777" w:rsidR="00AA05E0" w:rsidRDefault="004646BE">
      <w:pPr>
        <w:rPr>
          <w:rFonts w:ascii="Arial" w:hAnsi="Arial"/>
          <w:sz w:val="22"/>
          <w:szCs w:val="22"/>
        </w:rPr>
      </w:pPr>
      <w:r>
        <w:rPr>
          <w:rFonts w:ascii="Arial" w:hAnsi="Arial"/>
          <w:sz w:val="22"/>
          <w:szCs w:val="22"/>
        </w:rPr>
        <w:t>číslo účtu:</w:t>
      </w:r>
      <w:r>
        <w:rPr>
          <w:rFonts w:ascii="Arial" w:hAnsi="Arial"/>
          <w:sz w:val="22"/>
          <w:szCs w:val="22"/>
        </w:rPr>
        <w:tab/>
      </w:r>
      <w:r>
        <w:rPr>
          <w:rFonts w:ascii="Arial" w:hAnsi="Arial"/>
          <w:sz w:val="22"/>
          <w:szCs w:val="22"/>
        </w:rPr>
        <w:tab/>
      </w:r>
      <w:r>
        <w:rPr>
          <w:rFonts w:ascii="Arial" w:hAnsi="Arial"/>
          <w:sz w:val="22"/>
        </w:rPr>
        <w:t>77024369 / 0800</w:t>
      </w:r>
    </w:p>
    <w:p w14:paraId="170D90B8" w14:textId="77777777" w:rsidR="00AA05E0" w:rsidRDefault="004646BE">
      <w:pPr>
        <w:spacing w:before="80"/>
        <w:rPr>
          <w:rFonts w:ascii="Arial" w:hAnsi="Arial"/>
          <w:sz w:val="22"/>
          <w:szCs w:val="22"/>
        </w:rPr>
      </w:pPr>
      <w:r>
        <w:rPr>
          <w:rFonts w:ascii="Arial" w:hAnsi="Arial"/>
          <w:sz w:val="22"/>
          <w:szCs w:val="22"/>
        </w:rPr>
        <w:t>za kterou jedná:</w:t>
      </w:r>
      <w:r>
        <w:rPr>
          <w:rFonts w:ascii="Arial" w:hAnsi="Arial"/>
          <w:sz w:val="22"/>
          <w:szCs w:val="22"/>
        </w:rPr>
        <w:tab/>
        <w:t>RNDr. František Kolář, jednatel společnosti</w:t>
      </w:r>
    </w:p>
    <w:p w14:paraId="7E75AE71" w14:textId="77777777" w:rsidR="00AA05E0" w:rsidRDefault="00AA05E0">
      <w:pPr>
        <w:pStyle w:val="Standard"/>
        <w:rPr>
          <w:rFonts w:ascii="Arial" w:hAnsi="Arial"/>
          <w:sz w:val="22"/>
          <w:szCs w:val="22"/>
        </w:rPr>
      </w:pPr>
    </w:p>
    <w:p w14:paraId="03B22FD2" w14:textId="77777777" w:rsidR="00AA05E0" w:rsidRDefault="004646BE">
      <w:pPr>
        <w:pStyle w:val="Standard"/>
        <w:rPr>
          <w:rFonts w:ascii="Arial" w:hAnsi="Arial"/>
          <w:sz w:val="22"/>
          <w:szCs w:val="22"/>
        </w:rPr>
      </w:pPr>
      <w:r>
        <w:rPr>
          <w:rFonts w:ascii="Arial" w:hAnsi="Arial"/>
          <w:sz w:val="22"/>
          <w:szCs w:val="22"/>
        </w:rPr>
        <w:t>(dále jako " Poskytovatel ")</w:t>
      </w:r>
    </w:p>
    <w:p w14:paraId="65E14E0C" w14:textId="77777777" w:rsidR="00AA05E0" w:rsidRDefault="00AA05E0">
      <w:pPr>
        <w:pStyle w:val="Standard"/>
        <w:rPr>
          <w:rFonts w:ascii="Arial" w:hAnsi="Arial"/>
          <w:sz w:val="22"/>
          <w:szCs w:val="22"/>
        </w:rPr>
      </w:pPr>
    </w:p>
    <w:p w14:paraId="0F7C1C7F" w14:textId="77777777" w:rsidR="00AA05E0" w:rsidRDefault="004646BE">
      <w:pPr>
        <w:pStyle w:val="Standard"/>
        <w:rPr>
          <w:rFonts w:ascii="Arial" w:hAnsi="Arial"/>
          <w:sz w:val="22"/>
          <w:szCs w:val="22"/>
        </w:rPr>
      </w:pPr>
      <w:r>
        <w:rPr>
          <w:rFonts w:ascii="Arial" w:hAnsi="Arial"/>
          <w:sz w:val="22"/>
          <w:szCs w:val="22"/>
        </w:rPr>
        <w:t>(Poskytovatel a Nabyvatel dále též společně jako „Smluvní strany“ a každý jednotlivě jako "Smluvní strana")</w:t>
      </w:r>
    </w:p>
    <w:p w14:paraId="275DEA76" w14:textId="77777777" w:rsidR="00AA05E0" w:rsidRDefault="00AA05E0">
      <w:pPr>
        <w:pStyle w:val="Standard"/>
        <w:rPr>
          <w:rFonts w:ascii="Arial" w:hAnsi="Arial"/>
          <w:sz w:val="22"/>
          <w:szCs w:val="22"/>
        </w:rPr>
      </w:pPr>
    </w:p>
    <w:p w14:paraId="58F87ECB" w14:textId="77777777" w:rsidR="00AA05E0" w:rsidRDefault="00AA05E0">
      <w:pPr>
        <w:pStyle w:val="Standard"/>
        <w:rPr>
          <w:rFonts w:ascii="Arial" w:hAnsi="Arial"/>
          <w:sz w:val="22"/>
          <w:szCs w:val="22"/>
        </w:rPr>
      </w:pPr>
    </w:p>
    <w:p w14:paraId="502507FD" w14:textId="77777777" w:rsidR="00AA05E0" w:rsidRDefault="004646BE">
      <w:pPr>
        <w:pStyle w:val="Standard"/>
        <w:rPr>
          <w:rFonts w:ascii="Arial" w:hAnsi="Arial"/>
          <w:sz w:val="22"/>
          <w:szCs w:val="22"/>
        </w:rPr>
      </w:pPr>
      <w:r>
        <w:rPr>
          <w:rFonts w:ascii="Arial" w:hAnsi="Arial"/>
          <w:sz w:val="22"/>
          <w:szCs w:val="22"/>
        </w:rPr>
        <w:t>SMLUVNÍ STRANY UJEDNÁVAJÍ NÁSLEDUJÍCÍ:</w:t>
      </w:r>
    </w:p>
    <w:p w14:paraId="37B0515F" w14:textId="77777777" w:rsidR="00AA05E0" w:rsidRDefault="00AA05E0">
      <w:pPr>
        <w:pStyle w:val="Standard"/>
        <w:rPr>
          <w:rFonts w:hint="eastAsia"/>
          <w:sz w:val="22"/>
          <w:szCs w:val="22"/>
        </w:rPr>
      </w:pPr>
    </w:p>
    <w:p w14:paraId="022E88E6" w14:textId="77777777" w:rsidR="00AA05E0" w:rsidRDefault="004646BE">
      <w:pPr>
        <w:pStyle w:val="Nadpis1"/>
      </w:pPr>
      <w:r>
        <w:t>1. Definice</w:t>
      </w:r>
    </w:p>
    <w:p w14:paraId="4E469BCC" w14:textId="77777777" w:rsidR="00AA05E0" w:rsidRDefault="004646BE">
      <w:pPr>
        <w:pStyle w:val="Odstavec1"/>
      </w:pPr>
      <w:r>
        <w:t xml:space="preserve">1.1 </w:t>
      </w:r>
      <w:r>
        <w:tab/>
        <w:t xml:space="preserve">V této Smlouvě "Předmět licence" znamená uživatelské licence softwaru </w:t>
      </w:r>
      <w:proofErr w:type="spellStart"/>
      <w:r>
        <w:t>SmartDesk</w:t>
      </w:r>
      <w:proofErr w:type="spellEnd"/>
      <w:r>
        <w:t xml:space="preserve"> a serverovou aplikaci </w:t>
      </w:r>
      <w:proofErr w:type="spellStart"/>
      <w:r>
        <w:t>SmartDesk</w:t>
      </w:r>
      <w:proofErr w:type="spellEnd"/>
      <w:r>
        <w:t>.</w:t>
      </w:r>
    </w:p>
    <w:p w14:paraId="05D3BC74" w14:textId="77777777" w:rsidR="00AA05E0" w:rsidRDefault="004646BE">
      <w:pPr>
        <w:pStyle w:val="Odstavec1"/>
      </w:pPr>
      <w:r>
        <w:t xml:space="preserve">1.2 </w:t>
      </w:r>
      <w:r>
        <w:tab/>
        <w:t>Předmět licence je detailně popsán v příloze č. 1 této Smlouvy.</w:t>
      </w:r>
    </w:p>
    <w:p w14:paraId="26F1625E" w14:textId="77777777" w:rsidR="00AA05E0" w:rsidRDefault="00AA05E0">
      <w:pPr>
        <w:pStyle w:val="Standard"/>
        <w:rPr>
          <w:rFonts w:hint="eastAsia"/>
          <w:sz w:val="22"/>
          <w:szCs w:val="22"/>
        </w:rPr>
      </w:pPr>
    </w:p>
    <w:p w14:paraId="15577AC8" w14:textId="77777777" w:rsidR="00AA05E0" w:rsidRDefault="004646BE">
      <w:pPr>
        <w:pStyle w:val="Nadpis1"/>
      </w:pPr>
      <w:r>
        <w:t>2. Licence</w:t>
      </w:r>
    </w:p>
    <w:p w14:paraId="580DFAD6" w14:textId="77777777" w:rsidR="00AA05E0" w:rsidRDefault="004646BE">
      <w:pPr>
        <w:pStyle w:val="Odstavec1"/>
      </w:pPr>
      <w:r>
        <w:t xml:space="preserve">2.1 </w:t>
      </w:r>
      <w:r>
        <w:tab/>
        <w:t>Poskytovatel tímto poskytuje Nabyvateli k Předmětu licence nevýhradní licenci, a to pro území Česká republika, na dobu neurčitou (dále jako "Licence").</w:t>
      </w:r>
    </w:p>
    <w:p w14:paraId="2B5CB5B7" w14:textId="77777777" w:rsidR="00AA05E0" w:rsidRDefault="004646BE">
      <w:pPr>
        <w:pStyle w:val="Odstavec1"/>
      </w:pPr>
      <w:r>
        <w:t xml:space="preserve">2.2 </w:t>
      </w:r>
      <w:r>
        <w:tab/>
        <w:t>Licence je udělena pro tyto způsoby užití:</w:t>
      </w:r>
    </w:p>
    <w:p w14:paraId="1EB3FC62" w14:textId="77777777" w:rsidR="00AA05E0" w:rsidRDefault="004646BE">
      <w:pPr>
        <w:pStyle w:val="Odstavec1"/>
      </w:pPr>
      <w:r>
        <w:tab/>
        <w:t>- neomezené využívaní funkcionality Licence v rozsahu definovaném v dokumentaci systému</w:t>
      </w:r>
    </w:p>
    <w:p w14:paraId="79E5F957" w14:textId="77777777" w:rsidR="00AA05E0" w:rsidRDefault="004646BE">
      <w:pPr>
        <w:pStyle w:val="Odstavec1"/>
      </w:pPr>
      <w:r>
        <w:tab/>
        <w:t>- přístup k serverové aplikaci Licence pro 500 definovaných uživatelů</w:t>
      </w:r>
    </w:p>
    <w:p w14:paraId="069B7239" w14:textId="77777777" w:rsidR="00AA05E0" w:rsidRDefault="004646BE">
      <w:pPr>
        <w:pStyle w:val="Odstavec1"/>
      </w:pPr>
      <w:r>
        <w:t xml:space="preserve">2.3 </w:t>
      </w:r>
      <w:r>
        <w:tab/>
        <w:t>Nabyvatel nemá právo udělit třetím osobám podlicenci(e).</w:t>
      </w:r>
    </w:p>
    <w:p w14:paraId="1479B2AD" w14:textId="77777777" w:rsidR="00AA05E0" w:rsidRDefault="004646BE">
      <w:pPr>
        <w:pStyle w:val="Odstavec1"/>
      </w:pPr>
      <w:r>
        <w:lastRenderedPageBreak/>
        <w:t xml:space="preserve">2.4 </w:t>
      </w:r>
      <w:r>
        <w:tab/>
        <w:t>Nabyvatel nemá právo postoupit Licenci bez souhlasu Poskytovatele.</w:t>
      </w:r>
    </w:p>
    <w:p w14:paraId="1BC852A5" w14:textId="77777777" w:rsidR="00AA05E0" w:rsidRDefault="004646BE">
      <w:pPr>
        <w:pStyle w:val="Odstavec1"/>
      </w:pPr>
      <w:r>
        <w:t xml:space="preserve">2.5 </w:t>
      </w:r>
      <w:r>
        <w:tab/>
        <w:t>Poskytovatel prohlašuje, že disponuje veškerými právy vyplývajícími z duševního vlastnictví k poskytnutí výše uvedené Licence, včetně všech práv v tomto článku uvedených.</w:t>
      </w:r>
    </w:p>
    <w:p w14:paraId="6F173577" w14:textId="77777777" w:rsidR="00AA05E0" w:rsidRDefault="004646BE">
      <w:pPr>
        <w:pStyle w:val="Odstavec1"/>
      </w:pPr>
      <w:r>
        <w:t xml:space="preserve">2.6. </w:t>
      </w:r>
      <w:r>
        <w:tab/>
        <w:t>Poskytovatel se zavazuje poskytovat Nabyvateli servisní podporu po dobu jednoho roku od předání Předmětu licence v rozsahu funkcionality SW, který je popsán v dokumentaci k Licenci.</w:t>
      </w:r>
    </w:p>
    <w:p w14:paraId="686B18E7" w14:textId="77777777" w:rsidR="00AA05E0" w:rsidRDefault="004646BE">
      <w:pPr>
        <w:pStyle w:val="Odstavec1"/>
      </w:pPr>
      <w:r>
        <w:t xml:space="preserve">2.7. </w:t>
      </w:r>
      <w:r>
        <w:tab/>
        <w:t xml:space="preserve">Poskytovatel se zavazuje poskytovat Nabyvateli servisní podporu včetně nároku na nové verze a SW </w:t>
      </w:r>
      <w:proofErr w:type="spellStart"/>
      <w:r>
        <w:t>patche</w:t>
      </w:r>
      <w:proofErr w:type="spellEnd"/>
      <w:r>
        <w:t xml:space="preserve"> na základě objednání roční SW </w:t>
      </w:r>
      <w:proofErr w:type="spellStart"/>
      <w:r>
        <w:t>maintenance</w:t>
      </w:r>
      <w:proofErr w:type="spellEnd"/>
      <w:r>
        <w:t xml:space="preserve"> v garantované výši 20% z ceny Licencí.</w:t>
      </w:r>
    </w:p>
    <w:p w14:paraId="6FA74DBA" w14:textId="77777777" w:rsidR="00AA05E0" w:rsidRDefault="004646BE">
      <w:pPr>
        <w:pStyle w:val="Nadpis1"/>
      </w:pPr>
      <w:r>
        <w:t>3. Trvání Smlouvy</w:t>
      </w:r>
    </w:p>
    <w:p w14:paraId="005DC36C" w14:textId="77777777" w:rsidR="00AA05E0" w:rsidRDefault="004646BE">
      <w:pPr>
        <w:pStyle w:val="Odstavec1"/>
      </w:pPr>
      <w:r>
        <w:t xml:space="preserve">3.1 </w:t>
      </w:r>
      <w:r>
        <w:tab/>
        <w:t>Tato Smlouva se uzavírá na dobu neurčitou.</w:t>
      </w:r>
    </w:p>
    <w:p w14:paraId="281EBA9C" w14:textId="77777777" w:rsidR="00AA05E0" w:rsidRDefault="004646BE">
      <w:pPr>
        <w:pStyle w:val="Nadpis1"/>
      </w:pPr>
      <w:r>
        <w:t>4. Odměna za Licenci</w:t>
      </w:r>
    </w:p>
    <w:p w14:paraId="3DE9CB3D" w14:textId="77777777" w:rsidR="00AA05E0" w:rsidRDefault="00183177">
      <w:pPr>
        <w:pStyle w:val="Odstavec1"/>
      </w:pPr>
      <w:r>
        <w:t xml:space="preserve">4.1 </w:t>
      </w:r>
      <w:r>
        <w:tab/>
        <w:t>Smluvní strany</w:t>
      </w:r>
      <w:r w:rsidR="004646BE">
        <w:t xml:space="preserve"> ujednávají, že Poskytovatel poskytuje Nabyvateli Licenci za úplatu dle cenové struktury uvedené v Příloze č. 2 </w:t>
      </w:r>
      <w:proofErr w:type="gramStart"/>
      <w:r w:rsidR="004646BE">
        <w:t>této</w:t>
      </w:r>
      <w:proofErr w:type="gramEnd"/>
      <w:r w:rsidR="004646BE">
        <w:t xml:space="preserve"> smlouvy.</w:t>
      </w:r>
    </w:p>
    <w:p w14:paraId="4D26BFD9" w14:textId="77777777" w:rsidR="00AA05E0" w:rsidRDefault="004646BE">
      <w:pPr>
        <w:pStyle w:val="Odstavec1"/>
      </w:pPr>
      <w:r>
        <w:t xml:space="preserve">4.2 </w:t>
      </w:r>
      <w:r>
        <w:tab/>
        <w:t xml:space="preserve">Nabyvatel se zavazuje zaplatit Poskytovateli za Licenci částku, která se skládá </w:t>
      </w:r>
      <w:proofErr w:type="gramStart"/>
      <w:r>
        <w:t>ze</w:t>
      </w:r>
      <w:proofErr w:type="gramEnd"/>
      <w:r>
        <w:t>:</w:t>
      </w:r>
    </w:p>
    <w:p w14:paraId="629AB5C1" w14:textId="77777777" w:rsidR="00AA05E0" w:rsidRDefault="004646BE">
      <w:pPr>
        <w:pStyle w:val="Odstavec1"/>
      </w:pPr>
      <w:r>
        <w:tab/>
        <w:t xml:space="preserve">- serverové licence aplikace </w:t>
      </w:r>
      <w:proofErr w:type="spellStart"/>
      <w:r>
        <w:t>Smardesk</w:t>
      </w:r>
      <w:proofErr w:type="spellEnd"/>
      <w:r>
        <w:t xml:space="preserve"> ve výši </w:t>
      </w:r>
      <w:r>
        <w:rPr>
          <w:b/>
          <w:bCs/>
        </w:rPr>
        <w:t>38.000,- Kč bez DPH</w:t>
      </w:r>
    </w:p>
    <w:p w14:paraId="643BA9B8" w14:textId="77777777" w:rsidR="00AA05E0" w:rsidRDefault="004646BE">
      <w:pPr>
        <w:pStyle w:val="Odstavec1"/>
      </w:pPr>
      <w:r>
        <w:tab/>
        <w:t xml:space="preserve">  (slovy </w:t>
      </w:r>
      <w:proofErr w:type="spellStart"/>
      <w:r>
        <w:t>třicetosm</w:t>
      </w:r>
      <w:proofErr w:type="spellEnd"/>
      <w:r>
        <w:t xml:space="preserve"> </w:t>
      </w:r>
      <w:proofErr w:type="spellStart"/>
      <w:r>
        <w:t>tisíckorunčeských</w:t>
      </w:r>
      <w:proofErr w:type="spellEnd"/>
      <w:r>
        <w:t>) a</w:t>
      </w:r>
    </w:p>
    <w:p w14:paraId="5FEAD44E" w14:textId="570B5541" w:rsidR="00AA05E0" w:rsidRDefault="004646BE">
      <w:pPr>
        <w:pStyle w:val="Odstavec1"/>
      </w:pPr>
      <w:r>
        <w:tab/>
        <w:t xml:space="preserve">- 500 ks uživatelských licencí ve výši </w:t>
      </w:r>
      <w:r>
        <w:rPr>
          <w:b/>
          <w:bCs/>
        </w:rPr>
        <w:t>190.000,- Kč bez DPH</w:t>
      </w:r>
      <w:r>
        <w:t xml:space="preserve"> (slovy </w:t>
      </w:r>
      <w:proofErr w:type="spellStart"/>
      <w:r>
        <w:t>stodevadesáttisíckorun</w:t>
      </w:r>
      <w:proofErr w:type="spellEnd"/>
    </w:p>
    <w:p w14:paraId="4EDF93B8" w14:textId="77777777" w:rsidR="00AA05E0" w:rsidRDefault="004646BE">
      <w:pPr>
        <w:pStyle w:val="Odstavec1"/>
      </w:pPr>
      <w:r>
        <w:tab/>
        <w:t xml:space="preserve">   českých) dále jako "Odměna".</w:t>
      </w:r>
    </w:p>
    <w:p w14:paraId="7232DC72" w14:textId="77777777" w:rsidR="00AA05E0" w:rsidRDefault="004646BE">
      <w:pPr>
        <w:pStyle w:val="Odstavec1"/>
      </w:pPr>
      <w:r>
        <w:t xml:space="preserve">4.3. </w:t>
      </w:r>
      <w:r>
        <w:tab/>
        <w:t xml:space="preserve">Nabyvatel se zavazuje zaplatit Poskytovateli za služby spojené s instalací, konfigurací a zaškolením Licence částku </w:t>
      </w:r>
      <w:r>
        <w:rPr>
          <w:b/>
          <w:bCs/>
        </w:rPr>
        <w:t>20.700,- Kč bez DPH</w:t>
      </w:r>
      <w:r>
        <w:t xml:space="preserve"> (slovy </w:t>
      </w:r>
      <w:proofErr w:type="spellStart"/>
      <w:r>
        <w:t>dvacettisícsedmsetkorunčeských</w:t>
      </w:r>
      <w:proofErr w:type="spellEnd"/>
      <w:r>
        <w:t>).</w:t>
      </w:r>
    </w:p>
    <w:p w14:paraId="2440031E" w14:textId="77777777" w:rsidR="00AA05E0" w:rsidRDefault="004646BE">
      <w:pPr>
        <w:pStyle w:val="Odstavec1"/>
      </w:pPr>
      <w:r>
        <w:t>4.4</w:t>
      </w:r>
      <w:r>
        <w:tab/>
        <w:t>K Odměně bude připočtena daň s přidané hodnoty v zákonné výši.</w:t>
      </w:r>
    </w:p>
    <w:p w14:paraId="46C4598F" w14:textId="77777777" w:rsidR="00AA05E0" w:rsidRDefault="004646BE">
      <w:pPr>
        <w:pStyle w:val="Nadpis1"/>
      </w:pPr>
      <w:r>
        <w:t>5. Platební podmínky</w:t>
      </w:r>
    </w:p>
    <w:p w14:paraId="75AC9D9C" w14:textId="77777777" w:rsidR="00AA05E0" w:rsidRDefault="004646BE">
      <w:pPr>
        <w:pStyle w:val="Odstavec1"/>
      </w:pPr>
      <w:r>
        <w:t xml:space="preserve">5.1 </w:t>
      </w:r>
      <w:r>
        <w:tab/>
        <w:t>Nabyvatel se zavazuje zaplatit Odměnu na bankovní účet Poskytovatele.</w:t>
      </w:r>
    </w:p>
    <w:p w14:paraId="7A2761A1" w14:textId="77777777" w:rsidR="00AA05E0" w:rsidRDefault="004646BE">
      <w:pPr>
        <w:pStyle w:val="Odstavec1"/>
      </w:pPr>
      <w:r>
        <w:t>5.2</w:t>
      </w:r>
      <w:r>
        <w:tab/>
        <w:t xml:space="preserve">Odměna je splatná ve lhůtě do 21 dnů od vystavení a předání Nabyvateli řádného daňového dokladu, který je vystaven na základě písemného </w:t>
      </w:r>
      <w:proofErr w:type="gramStart"/>
      <w:r>
        <w:t>protokolárním</w:t>
      </w:r>
      <w:proofErr w:type="gramEnd"/>
      <w:r>
        <w:t xml:space="preserve"> předání Licencí a souvisejících služeb.</w:t>
      </w:r>
    </w:p>
    <w:p w14:paraId="53D95659" w14:textId="77777777" w:rsidR="00AA05E0" w:rsidRDefault="004646BE">
      <w:pPr>
        <w:pStyle w:val="Odstavec1"/>
      </w:pPr>
      <w:r>
        <w:t xml:space="preserve">5.3 </w:t>
      </w:r>
      <w:r>
        <w:tab/>
        <w:t>Zaplacením Odměny rozumí připsání celé příslušné částky na bankovní účet Poskytovatele.</w:t>
      </w:r>
    </w:p>
    <w:p w14:paraId="53D26DB8" w14:textId="77777777" w:rsidR="00AA05E0" w:rsidRDefault="004646BE">
      <w:pPr>
        <w:pStyle w:val="Nadpis1"/>
      </w:pPr>
      <w:r>
        <w:t>6. Smluvní pokuta</w:t>
      </w:r>
    </w:p>
    <w:p w14:paraId="4AC8206F" w14:textId="6D185E1D" w:rsidR="00AA05E0" w:rsidRDefault="004646BE">
      <w:pPr>
        <w:pStyle w:val="Odstavec1"/>
      </w:pPr>
      <w:r>
        <w:t xml:space="preserve">6.1 </w:t>
      </w:r>
      <w:r>
        <w:tab/>
        <w:t xml:space="preserve">V případě, že se Nabyvatel dostane do prodlení se zaplacením Odměny nebo její části podle článku 5 této Smlouvy, zavazuje se zaplatit Poskytovateli smluvní pokutu ve výši </w:t>
      </w:r>
      <w:r w:rsidR="0025051F">
        <w:t>upravenou právními předpisy</w:t>
      </w:r>
      <w:r>
        <w:t>.</w:t>
      </w:r>
    </w:p>
    <w:p w14:paraId="7A910E13" w14:textId="77777777" w:rsidR="0025051F" w:rsidRDefault="0025051F">
      <w:pPr>
        <w:pStyle w:val="Odstavec1"/>
      </w:pPr>
      <w:r>
        <w:t>6.2</w:t>
      </w:r>
      <w:r>
        <w:tab/>
        <w:t>V případě prodlení poskytovatele s dodáním plnění podle této smlouvy uhradí poskytovatel smluvní pokutu ve výši 1000,- Kč za každý den prodlení.</w:t>
      </w:r>
    </w:p>
    <w:p w14:paraId="29D5E13F" w14:textId="77777777" w:rsidR="00AA05E0" w:rsidRDefault="004646BE">
      <w:pPr>
        <w:pStyle w:val="Nadpis1"/>
      </w:pPr>
      <w:r>
        <w:t>7. Výpověď</w:t>
      </w:r>
    </w:p>
    <w:p w14:paraId="0D2EE88F" w14:textId="77777777" w:rsidR="00AA05E0" w:rsidRDefault="004646BE">
      <w:pPr>
        <w:pStyle w:val="Odstavec1"/>
      </w:pPr>
      <w:r>
        <w:t xml:space="preserve">7.1 </w:t>
      </w:r>
      <w:r>
        <w:tab/>
        <w:t>Smluvní strany mají právo vypovědět tuto Smlouvu.</w:t>
      </w:r>
    </w:p>
    <w:p w14:paraId="5B9C720A" w14:textId="77777777" w:rsidR="00AA05E0" w:rsidRDefault="004646BE">
      <w:pPr>
        <w:pStyle w:val="Odstavec1"/>
      </w:pPr>
      <w:r>
        <w:t xml:space="preserve">7.2 </w:t>
      </w:r>
      <w:r>
        <w:tab/>
        <w:t>Výpovědní doba činí 12 měsíců a počíná běžet první den měsíce po měsíci, ve kterém byla písemná výpověď doručena druhé Smluvní straně.</w:t>
      </w:r>
    </w:p>
    <w:p w14:paraId="1BCFDD66" w14:textId="77777777" w:rsidR="00AA05E0" w:rsidRDefault="004646BE">
      <w:pPr>
        <w:pStyle w:val="Odstavec1"/>
      </w:pPr>
      <w:r>
        <w:t xml:space="preserve">7.3. </w:t>
      </w:r>
      <w:r>
        <w:tab/>
        <w:t>Licence končí uplynutím výpovědní doby.</w:t>
      </w:r>
    </w:p>
    <w:p w14:paraId="106D5DE3" w14:textId="77777777" w:rsidR="00AA05E0" w:rsidRDefault="004646BE">
      <w:pPr>
        <w:pStyle w:val="Nadpis1"/>
        <w:rPr>
          <w:sz w:val="22"/>
          <w:szCs w:val="22"/>
        </w:rPr>
      </w:pPr>
      <w:r>
        <w:t>8. Odstoupení od Smlouvy</w:t>
      </w:r>
    </w:p>
    <w:p w14:paraId="4EB77A0C" w14:textId="77777777" w:rsidR="00AA05E0" w:rsidRDefault="004646BE">
      <w:pPr>
        <w:pStyle w:val="Odstavec1"/>
      </w:pPr>
      <w:r>
        <w:t xml:space="preserve">8.1 </w:t>
      </w:r>
      <w:r>
        <w:tab/>
        <w:t>Nabyvatel má právo od této Smlouvy odstoupit v případě, že:</w:t>
      </w:r>
    </w:p>
    <w:p w14:paraId="6FD1FB1E" w14:textId="77777777" w:rsidR="00AA05E0" w:rsidRDefault="004646BE">
      <w:pPr>
        <w:pStyle w:val="Odstavec1"/>
        <w:tabs>
          <w:tab w:val="left" w:pos="1134"/>
        </w:tabs>
        <w:ind w:left="1134"/>
      </w:pPr>
      <w:r>
        <w:t xml:space="preserve">8.1.1 </w:t>
      </w:r>
      <w:r>
        <w:tab/>
        <w:t>Poskytovatel vstoupí do likvidace nebo bude na jeho majetek prohlášen soudem konkurz, nebo bude zamítnut návrh na vyhlášení konkurzu pro nedostatek majetku, nebo zanikne bez likvidace a/nebo bude soudem prohlášen úpadek Poskytovatele a/nebo Poskytovatel vstoupí do insolvence;</w:t>
      </w:r>
    </w:p>
    <w:p w14:paraId="659BA927" w14:textId="77777777" w:rsidR="00AA05E0" w:rsidRDefault="004646BE">
      <w:pPr>
        <w:pStyle w:val="Odstavec1"/>
        <w:tabs>
          <w:tab w:val="left" w:pos="1134"/>
        </w:tabs>
        <w:ind w:left="1134"/>
      </w:pPr>
      <w:r>
        <w:lastRenderedPageBreak/>
        <w:t>8.1.2 Prohlášení Poskytovatele uvedené v odst. 2.5 této Smlouvy se ukáže jako nepravdivé.</w:t>
      </w:r>
    </w:p>
    <w:p w14:paraId="1FB535BB" w14:textId="77777777" w:rsidR="00AA05E0" w:rsidRDefault="004646BE">
      <w:pPr>
        <w:pStyle w:val="Odstavec1"/>
      </w:pPr>
      <w:r>
        <w:t xml:space="preserve">8.2 </w:t>
      </w:r>
      <w:r>
        <w:tab/>
        <w:t>Poskytovatel má právo od této Smlouvy odstoupit v případě, že:</w:t>
      </w:r>
    </w:p>
    <w:p w14:paraId="05DB0461" w14:textId="77777777" w:rsidR="00AA05E0" w:rsidRDefault="004646BE">
      <w:pPr>
        <w:pStyle w:val="Odstavec1"/>
        <w:tabs>
          <w:tab w:val="left" w:pos="1134"/>
        </w:tabs>
        <w:ind w:left="1134"/>
      </w:pPr>
      <w:r>
        <w:t>8.2.1 Nabyvatel je v prodlení se zaplacením Odměny nebo její části delším než 30 dní;</w:t>
      </w:r>
    </w:p>
    <w:p w14:paraId="3E43AE9E" w14:textId="77777777" w:rsidR="00AA05E0" w:rsidRDefault="004646BE">
      <w:pPr>
        <w:pStyle w:val="Odstavec1"/>
        <w:tabs>
          <w:tab w:val="left" w:pos="1134"/>
        </w:tabs>
        <w:ind w:left="1134"/>
      </w:pPr>
      <w:r>
        <w:t>8.2.2 Nabyvatel vstoupí do likvidace nebo bude na jeho majetek prohlášen soudem konkurz, nebo bude zamítnut návrh na vyhlášení konkurzu pro nedostatek majetku, nebo zanikne bez likvidace a/nebo bude soudem prohlášen úpadek Nabyvatele a/nebo Nabyvatel vstoupí do insolvence;</w:t>
      </w:r>
    </w:p>
    <w:p w14:paraId="458EB1C6" w14:textId="77777777" w:rsidR="00AA05E0" w:rsidRDefault="004646BE">
      <w:pPr>
        <w:pStyle w:val="Odstavec1"/>
        <w:tabs>
          <w:tab w:val="left" w:pos="1134"/>
        </w:tabs>
        <w:ind w:left="1134"/>
      </w:pPr>
      <w:r>
        <w:t xml:space="preserve">8.2.3 Nabyvatel poruší podmínky Licence uvedené v čl. 2 </w:t>
      </w:r>
      <w:proofErr w:type="gramStart"/>
      <w:r>
        <w:t>této</w:t>
      </w:r>
      <w:proofErr w:type="gramEnd"/>
      <w:r>
        <w:t xml:space="preserve"> Smlouvy.</w:t>
      </w:r>
    </w:p>
    <w:p w14:paraId="0E46D29F" w14:textId="77777777" w:rsidR="00AA05E0" w:rsidRDefault="004646BE">
      <w:pPr>
        <w:pStyle w:val="Odstavec1"/>
      </w:pPr>
      <w:r>
        <w:t xml:space="preserve">8.3 </w:t>
      </w:r>
      <w:r>
        <w:tab/>
        <w:t>Smluvní strany mají právo odstoupit od této Smlouvy ze zákonných důvodů.</w:t>
      </w:r>
    </w:p>
    <w:p w14:paraId="4E0AE17F" w14:textId="77777777" w:rsidR="00AA05E0" w:rsidRDefault="004646BE">
      <w:pPr>
        <w:pStyle w:val="Odstavec1"/>
      </w:pPr>
      <w:r>
        <w:t xml:space="preserve">8.4 </w:t>
      </w:r>
      <w:r>
        <w:tab/>
        <w:t>Odstoupení je účinné doručením písemného oznámení o odstoupení druhé Smluvní straně.</w:t>
      </w:r>
    </w:p>
    <w:p w14:paraId="1279A6C5" w14:textId="77777777" w:rsidR="00AA05E0" w:rsidRDefault="004646BE">
      <w:pPr>
        <w:pStyle w:val="Odstavec1"/>
      </w:pPr>
      <w:r>
        <w:t xml:space="preserve">8.5 </w:t>
      </w:r>
      <w:r>
        <w:tab/>
        <w:t>V případě odstoupení Smluvní strany nejsou povinny vrátit si vzájemně poskytnutá plnění; tím není dotčen nárok na vydání bezdůvodného obohacení.</w:t>
      </w:r>
    </w:p>
    <w:p w14:paraId="5FFFA10A" w14:textId="77777777" w:rsidR="00AA05E0" w:rsidRDefault="004646BE">
      <w:pPr>
        <w:pStyle w:val="Nadpis1"/>
      </w:pPr>
      <w:r>
        <w:t>9. Rozhodné právo</w:t>
      </w:r>
    </w:p>
    <w:p w14:paraId="6CD1F5CA" w14:textId="77777777" w:rsidR="00AA05E0" w:rsidRDefault="004646BE">
      <w:pPr>
        <w:pStyle w:val="Odstavec1"/>
      </w:pPr>
      <w:r>
        <w:t xml:space="preserve">9.1 </w:t>
      </w:r>
      <w:r>
        <w:tab/>
        <w:t xml:space="preserve">Tato Smlouva se řídí právním řádem České republiky, zejména </w:t>
      </w:r>
      <w:proofErr w:type="spellStart"/>
      <w:r>
        <w:t>ust</w:t>
      </w:r>
      <w:proofErr w:type="spellEnd"/>
      <w:r>
        <w:t xml:space="preserve">. § 2358 násl. zák. č. 89/2012 </w:t>
      </w:r>
      <w:proofErr w:type="spellStart"/>
      <w:proofErr w:type="gramStart"/>
      <w:r>
        <w:t>Sb.,občanský</w:t>
      </w:r>
      <w:proofErr w:type="spellEnd"/>
      <w:proofErr w:type="gramEnd"/>
      <w:r>
        <w:t xml:space="preserve"> zákoník, ve znění pozdějších předpisů.</w:t>
      </w:r>
    </w:p>
    <w:p w14:paraId="4DCF3B92" w14:textId="77777777" w:rsidR="00AA05E0" w:rsidRDefault="004646BE">
      <w:pPr>
        <w:pStyle w:val="Nadpis1"/>
      </w:pPr>
      <w:r>
        <w:t>10. Závěrečná ustanovení</w:t>
      </w:r>
    </w:p>
    <w:p w14:paraId="222D2D2D" w14:textId="77777777" w:rsidR="00AA05E0" w:rsidRDefault="004646BE">
      <w:pPr>
        <w:pStyle w:val="Odstavec1"/>
      </w:pPr>
      <w:r>
        <w:t xml:space="preserve">10.1 </w:t>
      </w:r>
      <w:r>
        <w:tab/>
        <w:t>V této Smlouvě, pokud z kontextu jasně nevyplývá jinak, zahrnuje význam slova v jednotném čísle rovněž význam daného slova v množném čísle a naopak, význam slova vyjadřujícího určitý rod zahrnuje rovněž ostatní rody. Nadpisy jsou uváděny pouze pro přehlednost a nemají vliv na výklad této Smlouvy.</w:t>
      </w:r>
    </w:p>
    <w:p w14:paraId="3A2AE8B8" w14:textId="77777777" w:rsidR="00AA05E0" w:rsidRDefault="004646BE">
      <w:pPr>
        <w:pStyle w:val="Odstavec1"/>
      </w:pPr>
      <w:r>
        <w:t xml:space="preserve">10.2 </w:t>
      </w:r>
      <w:r>
        <w:tab/>
        <w:t>Nevymahatelnost či neplatnost kteréhokoliv ustanovení této Smlouvy nemá vliv na vymahatelnost či platnost zbývajících ustanovení této Smlouvy, pokud z povahy nebo obsahu takového ustanovení nevyplývá, že nemůže být odděleno od ostatního obsahu této Smlouvy.</w:t>
      </w:r>
    </w:p>
    <w:p w14:paraId="1B2EBEBA" w14:textId="77777777" w:rsidR="00AA05E0" w:rsidRDefault="004646BE">
      <w:pPr>
        <w:pStyle w:val="Odstavec1"/>
      </w:pPr>
      <w:r>
        <w:t xml:space="preserve">10.3 </w:t>
      </w:r>
      <w:r>
        <w:tab/>
        <w:t>Tato Smlouva představuje úplné ujednání mezi Smluvními stranami ve vztahu k předmětu této Smlouvy a nahrazuje veškerá předchozí ujednání ohledně předmětu této Smlouvy.</w:t>
      </w:r>
    </w:p>
    <w:p w14:paraId="6B579DEA" w14:textId="77777777" w:rsidR="00AA05E0" w:rsidRDefault="004646BE">
      <w:pPr>
        <w:pStyle w:val="Odstavec1"/>
      </w:pPr>
      <w:r>
        <w:t xml:space="preserve">10.4 </w:t>
      </w:r>
      <w:r>
        <w:tab/>
        <w:t>Tato Smlouva může být změněna písemnými dodatky podepsanými všemi Smluvními stranami.</w:t>
      </w:r>
    </w:p>
    <w:p w14:paraId="1B520AA1" w14:textId="77777777" w:rsidR="00AA05E0" w:rsidRDefault="004646BE">
      <w:pPr>
        <w:pStyle w:val="Odstavec1"/>
      </w:pPr>
      <w:r>
        <w:t xml:space="preserve">10.5 </w:t>
      </w:r>
      <w:r>
        <w:tab/>
        <w:t>Tato Smlouva je vyhotovena v 2 stejnopisech. Každá Smluvní strana obdrží 1 stejnopis této Smlouvy.</w:t>
      </w:r>
    </w:p>
    <w:p w14:paraId="356E7644" w14:textId="77777777" w:rsidR="00AA05E0" w:rsidRDefault="004646BE">
      <w:pPr>
        <w:pStyle w:val="Odstavec1"/>
      </w:pPr>
      <w:r>
        <w:t xml:space="preserve">10.6 </w:t>
      </w:r>
      <w:r>
        <w:tab/>
        <w:t>Každá ze Smluvních stran nese své vlastní náklady vzniklé v důsledku uzavírání této Smlouvy.</w:t>
      </w:r>
    </w:p>
    <w:p w14:paraId="69BBD5E2" w14:textId="77777777" w:rsidR="00AA05E0" w:rsidRDefault="004646BE">
      <w:pPr>
        <w:pStyle w:val="Odstavec1"/>
      </w:pPr>
      <w:r>
        <w:t xml:space="preserve">10.7 </w:t>
      </w:r>
      <w:r>
        <w:tab/>
        <w:t>Tato Smlouva nabývá platnosti a účinnosti v okamžiku jejího podpisu všemi Smluvními stranami.</w:t>
      </w:r>
    </w:p>
    <w:p w14:paraId="66092E5E" w14:textId="77777777" w:rsidR="00AA05E0" w:rsidRDefault="004646BE">
      <w:pPr>
        <w:pStyle w:val="Odstavec1"/>
      </w:pPr>
      <w:r>
        <w:t xml:space="preserve">10.8 </w:t>
      </w:r>
      <w:r>
        <w:tab/>
        <w:t>Smluvní strany si tuto Smlouvu přečetly, souhlasí s jejím obsahem a prohlašují, že je ujednána svobodně.</w:t>
      </w:r>
    </w:p>
    <w:p w14:paraId="0944C23D" w14:textId="2D41004D" w:rsidR="00AA05E0" w:rsidRPr="002C4E1B" w:rsidRDefault="002C4E1B" w:rsidP="00B96C99">
      <w:pPr>
        <w:pStyle w:val="Odstavec1"/>
      </w:pPr>
      <w:r>
        <w:t>10.9</w:t>
      </w:r>
      <w:r>
        <w:tab/>
      </w:r>
      <w:r w:rsidR="00B96C99" w:rsidRPr="004319FB">
        <w:t>Smluvní strany souhlasí, že tato smlouva bude zveřejněna dle zákona č. 340/2015 Sb. a tuto povinnost splní příkazce, přičemž příkazník má povinnost zkontrolovat splnění této povinnosti příkazcem, případně uveřejnit smlouvu místo příkazce</w:t>
      </w:r>
      <w:r w:rsidRPr="002C4E1B">
        <w:t>.</w:t>
      </w:r>
    </w:p>
    <w:p w14:paraId="79BB9A4C" w14:textId="77777777" w:rsidR="00AA05E0" w:rsidRDefault="00AA05E0">
      <w:pPr>
        <w:pStyle w:val="Standard"/>
        <w:rPr>
          <w:rFonts w:hint="eastAsia"/>
          <w:sz w:val="22"/>
          <w:szCs w:val="22"/>
        </w:rPr>
      </w:pPr>
    </w:p>
    <w:p w14:paraId="0925C770" w14:textId="77777777" w:rsidR="00AA05E0" w:rsidRDefault="00AA05E0">
      <w:pPr>
        <w:pStyle w:val="Nadpis2"/>
        <w:rPr>
          <w:rFonts w:ascii="Garamond" w:hAnsi="Garamond"/>
        </w:rPr>
      </w:pPr>
    </w:p>
    <w:p w14:paraId="0960D3D4" w14:textId="77777777" w:rsidR="00AA05E0" w:rsidRDefault="004646BE">
      <w:pPr>
        <w:tabs>
          <w:tab w:val="center" w:pos="1560"/>
          <w:tab w:val="center" w:pos="7797"/>
        </w:tabs>
        <w:spacing w:before="80"/>
        <w:rPr>
          <w:rFonts w:ascii="Arial" w:hAnsi="Arial"/>
          <w:sz w:val="22"/>
          <w:szCs w:val="22"/>
        </w:rPr>
      </w:pPr>
      <w:r>
        <w:rPr>
          <w:rFonts w:ascii="Arial" w:hAnsi="Arial"/>
          <w:sz w:val="22"/>
          <w:szCs w:val="22"/>
        </w:rPr>
        <w:tab/>
        <w:t>V Praze dne ……………………….</w:t>
      </w:r>
      <w:r>
        <w:rPr>
          <w:rFonts w:ascii="Arial" w:hAnsi="Arial"/>
          <w:sz w:val="22"/>
          <w:szCs w:val="22"/>
        </w:rPr>
        <w:tab/>
        <w:t>V Praze dne ……………………….</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14:paraId="5CACD65F" w14:textId="77777777" w:rsidR="00AA05E0" w:rsidRDefault="00AA05E0">
      <w:pPr>
        <w:tabs>
          <w:tab w:val="center" w:pos="1560"/>
        </w:tabs>
        <w:rPr>
          <w:rFonts w:ascii="Arial" w:hAnsi="Arial"/>
          <w:b/>
          <w:sz w:val="22"/>
          <w:szCs w:val="22"/>
        </w:rPr>
      </w:pPr>
    </w:p>
    <w:p w14:paraId="6DA8E1AF" w14:textId="77777777" w:rsidR="00AA05E0" w:rsidRDefault="004646BE">
      <w:pPr>
        <w:tabs>
          <w:tab w:val="center" w:pos="1560"/>
        </w:tabs>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14:paraId="02E6FB5A" w14:textId="77777777" w:rsidR="00AA05E0" w:rsidRDefault="004646BE">
      <w:pPr>
        <w:tabs>
          <w:tab w:val="center" w:pos="1560"/>
          <w:tab w:val="center" w:pos="7797"/>
        </w:tabs>
        <w:spacing w:before="80"/>
        <w:rPr>
          <w:rFonts w:ascii="Arial" w:hAnsi="Arial"/>
          <w:sz w:val="22"/>
          <w:szCs w:val="22"/>
        </w:rPr>
      </w:pPr>
      <w:r>
        <w:rPr>
          <w:rFonts w:ascii="Arial" w:hAnsi="Arial"/>
          <w:sz w:val="22"/>
          <w:szCs w:val="22"/>
        </w:rPr>
        <w:tab/>
        <w:t xml:space="preserve">..........................................…….…… </w:t>
      </w:r>
      <w:r>
        <w:rPr>
          <w:rFonts w:ascii="Arial" w:hAnsi="Arial"/>
          <w:sz w:val="22"/>
          <w:szCs w:val="22"/>
        </w:rPr>
        <w:tab/>
        <w:t>..........................................…….……</w:t>
      </w:r>
    </w:p>
    <w:p w14:paraId="72455A13" w14:textId="77777777" w:rsidR="00AA05E0" w:rsidRDefault="004646BE">
      <w:pPr>
        <w:tabs>
          <w:tab w:val="center" w:pos="1560"/>
          <w:tab w:val="center" w:pos="7797"/>
        </w:tabs>
        <w:spacing w:before="80"/>
        <w:rPr>
          <w:rFonts w:ascii="Arial" w:hAnsi="Arial"/>
          <w:sz w:val="22"/>
          <w:szCs w:val="22"/>
        </w:rPr>
      </w:pPr>
      <w:r>
        <w:rPr>
          <w:rFonts w:ascii="Arial" w:hAnsi="Arial"/>
          <w:sz w:val="22"/>
          <w:szCs w:val="22"/>
        </w:rPr>
        <w:tab/>
        <w:t xml:space="preserve">Mikrobiologický ústav AV ČR, v. v. i. </w:t>
      </w:r>
      <w:r>
        <w:rPr>
          <w:rFonts w:ascii="Arial" w:hAnsi="Arial"/>
          <w:sz w:val="22"/>
          <w:szCs w:val="22"/>
        </w:rPr>
        <w:tab/>
        <w:t>AMIRO, s.r.o.</w:t>
      </w:r>
    </w:p>
    <w:p w14:paraId="699D7573" w14:textId="650A5DC0" w:rsidR="00AA05E0" w:rsidRDefault="00563581">
      <w:pPr>
        <w:tabs>
          <w:tab w:val="center" w:pos="1560"/>
          <w:tab w:val="center" w:pos="7797"/>
        </w:tabs>
        <w:spacing w:before="80"/>
        <w:rPr>
          <w:rFonts w:ascii="Arial" w:hAnsi="Arial"/>
          <w:bCs/>
          <w:sz w:val="22"/>
          <w:szCs w:val="22"/>
        </w:rPr>
      </w:pPr>
      <w:r>
        <w:rPr>
          <w:rFonts w:ascii="Arial" w:hAnsi="Arial"/>
          <w:sz w:val="22"/>
          <w:szCs w:val="22"/>
        </w:rPr>
        <w:t xml:space="preserve">RNDr. Martin </w:t>
      </w:r>
      <w:proofErr w:type="spellStart"/>
      <w:r>
        <w:rPr>
          <w:rFonts w:ascii="Arial" w:hAnsi="Arial"/>
          <w:sz w:val="22"/>
          <w:szCs w:val="22"/>
        </w:rPr>
        <w:t>Bilej</w:t>
      </w:r>
      <w:proofErr w:type="spellEnd"/>
      <w:r>
        <w:rPr>
          <w:rFonts w:ascii="Arial" w:hAnsi="Arial"/>
          <w:sz w:val="22"/>
          <w:szCs w:val="22"/>
        </w:rPr>
        <w:t>, DrSc.</w:t>
      </w:r>
      <w:r w:rsidR="004646BE">
        <w:rPr>
          <w:rFonts w:ascii="Arial" w:hAnsi="Arial"/>
          <w:sz w:val="22"/>
          <w:szCs w:val="22"/>
        </w:rPr>
        <w:tab/>
      </w:r>
      <w:r>
        <w:rPr>
          <w:rFonts w:ascii="Arial" w:hAnsi="Arial"/>
          <w:sz w:val="22"/>
          <w:szCs w:val="22"/>
        </w:rPr>
        <w:t xml:space="preserve">   </w:t>
      </w:r>
      <w:r w:rsidR="004646BE">
        <w:rPr>
          <w:rFonts w:ascii="Arial" w:hAnsi="Arial"/>
          <w:bCs/>
          <w:sz w:val="22"/>
          <w:szCs w:val="22"/>
        </w:rPr>
        <w:t>RNDr. František Kolář</w:t>
      </w:r>
    </w:p>
    <w:p w14:paraId="58AFB8EF" w14:textId="59BB703B" w:rsidR="00AA05E0" w:rsidRDefault="00563581">
      <w:pPr>
        <w:tabs>
          <w:tab w:val="center" w:pos="1560"/>
          <w:tab w:val="center" w:pos="7797"/>
        </w:tabs>
        <w:spacing w:before="80"/>
        <w:rPr>
          <w:rFonts w:ascii="Arial" w:hAnsi="Arial"/>
          <w:sz w:val="22"/>
          <w:szCs w:val="22"/>
        </w:rPr>
      </w:pPr>
      <w:r>
        <w:rPr>
          <w:rFonts w:ascii="Arial" w:hAnsi="Arial"/>
          <w:sz w:val="22"/>
          <w:szCs w:val="22"/>
        </w:rPr>
        <w:t>ředitel</w:t>
      </w:r>
      <w:r>
        <w:rPr>
          <w:rFonts w:ascii="Arial" w:hAnsi="Arial"/>
          <w:sz w:val="22"/>
          <w:szCs w:val="22"/>
        </w:rPr>
        <w:tab/>
      </w:r>
      <w:r>
        <w:rPr>
          <w:rFonts w:ascii="Arial" w:hAnsi="Arial"/>
          <w:sz w:val="22"/>
          <w:szCs w:val="22"/>
        </w:rPr>
        <w:tab/>
        <w:t xml:space="preserve">jednatel </w:t>
      </w:r>
      <w:r w:rsidR="004646BE">
        <w:rPr>
          <w:rFonts w:ascii="Arial" w:hAnsi="Arial"/>
          <w:sz w:val="22"/>
          <w:szCs w:val="22"/>
        </w:rPr>
        <w:t>společnosti</w:t>
      </w:r>
    </w:p>
    <w:p w14:paraId="59BFE6DA" w14:textId="77777777" w:rsidR="00AA05E0" w:rsidRDefault="004646BE">
      <w:pPr>
        <w:pStyle w:val="Nadpis1"/>
      </w:pPr>
      <w:r>
        <w:lastRenderedPageBreak/>
        <w:t>Příloha č. 1: Popis Předmětu licence</w:t>
      </w:r>
    </w:p>
    <w:p w14:paraId="3208198E" w14:textId="77777777" w:rsidR="00AA05E0" w:rsidRDefault="00AA05E0">
      <w:pPr>
        <w:rPr>
          <w:rFonts w:hint="eastAsia"/>
        </w:rPr>
      </w:pPr>
    </w:p>
    <w:p w14:paraId="7BC926B0" w14:textId="77777777" w:rsidR="00AA05E0" w:rsidRDefault="004646BE">
      <w:pPr>
        <w:rPr>
          <w:rFonts w:hint="eastAsia"/>
        </w:rPr>
      </w:pPr>
      <w:r>
        <w:rPr>
          <w:rFonts w:ascii="Arial" w:hAnsi="Arial"/>
        </w:rPr>
        <w:t xml:space="preserve">Aplikace </w:t>
      </w:r>
      <w:proofErr w:type="spellStart"/>
      <w:r>
        <w:rPr>
          <w:rFonts w:ascii="Arial" w:hAnsi="Arial"/>
        </w:rPr>
        <w:t>SmartDESK</w:t>
      </w:r>
      <w:proofErr w:type="spellEnd"/>
      <w:r>
        <w:rPr>
          <w:rFonts w:ascii="Arial" w:hAnsi="Arial"/>
        </w:rPr>
        <w:t xml:space="preserve"> bude implementována v rámci technologické infrastruktury Zadavatele. V tomto případě se jedná o lokální instalaci, vytvoření vzdáleného přístupu Dodavatele pro provádění servisních zásahů a aktualizací, vyškolení obsluhy Zadavatele v nastavování a administraci aplikace. </w:t>
      </w:r>
    </w:p>
    <w:p w14:paraId="6EDE206D" w14:textId="77777777" w:rsidR="00AA05E0" w:rsidRDefault="004646BE">
      <w:pPr>
        <w:pStyle w:val="Nadpis2"/>
        <w:keepLines/>
        <w:numPr>
          <w:ilvl w:val="1"/>
          <w:numId w:val="3"/>
        </w:numPr>
        <w:suppressAutoHyphens/>
        <w:spacing w:before="240" w:after="60" w:line="240" w:lineRule="auto"/>
        <w:rPr>
          <w:rFonts w:cs="Arial"/>
        </w:rPr>
      </w:pPr>
      <w:bookmarkStart w:id="1" w:name="__RefHeading___Toc464739729"/>
      <w:bookmarkEnd w:id="1"/>
      <w:r>
        <w:rPr>
          <w:rFonts w:cs="Arial"/>
        </w:rPr>
        <w:t xml:space="preserve">Stručný popis aplikace </w:t>
      </w:r>
      <w:proofErr w:type="spellStart"/>
      <w:r>
        <w:rPr>
          <w:rFonts w:cs="Arial"/>
        </w:rPr>
        <w:t>SmartDESK</w:t>
      </w:r>
      <w:proofErr w:type="spellEnd"/>
    </w:p>
    <w:p w14:paraId="5A8EE46A" w14:textId="77777777" w:rsidR="00AA05E0" w:rsidRDefault="00AA05E0">
      <w:pPr>
        <w:rPr>
          <w:rFonts w:hint="eastAsia"/>
        </w:rPr>
      </w:pPr>
    </w:p>
    <w:p w14:paraId="36DDA939" w14:textId="77777777" w:rsidR="00AA05E0" w:rsidRDefault="004646BE">
      <w:pPr>
        <w:rPr>
          <w:rFonts w:ascii="Arial" w:hAnsi="Arial"/>
        </w:rPr>
      </w:pPr>
      <w:r>
        <w:rPr>
          <w:rFonts w:ascii="Arial" w:hAnsi="Arial"/>
        </w:rPr>
        <w:t xml:space="preserve">Jedná se o plně internetovou / intranetovou aplikaci s  klientem na bázi webového prohlížeče. Aplikace umožňuje vkládat údaje do systému efektivně prostřednictvím přednastavených formulářů, obsahuje systém upozorňovacích mailů, přijímá požadavky na centrálním místě a řídí jejich řešení, hlídá doby reakce a řešení, vytváří datovou základnu pro reporting a statistiky. </w:t>
      </w:r>
    </w:p>
    <w:p w14:paraId="70B1CD11" w14:textId="77777777" w:rsidR="00AA05E0" w:rsidRDefault="00AA05E0">
      <w:pPr>
        <w:rPr>
          <w:rFonts w:ascii="Arial" w:hAnsi="Arial"/>
        </w:rPr>
      </w:pPr>
    </w:p>
    <w:p w14:paraId="7014EB73" w14:textId="77777777" w:rsidR="00AA05E0" w:rsidRDefault="004646BE">
      <w:pPr>
        <w:rPr>
          <w:rFonts w:ascii="Arial" w:hAnsi="Arial"/>
        </w:rPr>
      </w:pPr>
      <w:r>
        <w:rPr>
          <w:rFonts w:ascii="Arial" w:hAnsi="Arial"/>
        </w:rPr>
        <w:t xml:space="preserve">Uživatelské rozhraní je jednoduché a nezatěžuje nadbytečnou administrativou. To je dosaženo například vazbou kategorií služeb na skupiny uživatelů, </w:t>
      </w:r>
      <w:proofErr w:type="spellStart"/>
      <w:r>
        <w:rPr>
          <w:rFonts w:ascii="Arial" w:hAnsi="Arial"/>
        </w:rPr>
        <w:t>timerem</w:t>
      </w:r>
      <w:proofErr w:type="spellEnd"/>
      <w:r>
        <w:rPr>
          <w:rFonts w:ascii="Arial" w:hAnsi="Arial"/>
        </w:rPr>
        <w:t xml:space="preserve"> pro stanovení doby pracnosti, nabízením oprávněných řešitelů podle vybrané kategorie, listování v kategoriích v jednom výběrovém seznamu, apod. Každá kategorie může být podporována jiným typem procesu.</w:t>
      </w:r>
    </w:p>
    <w:p w14:paraId="6D9998BB" w14:textId="77777777" w:rsidR="00AA05E0" w:rsidRDefault="00AA05E0">
      <w:pPr>
        <w:rPr>
          <w:rFonts w:ascii="Arial" w:hAnsi="Arial"/>
        </w:rPr>
      </w:pPr>
    </w:p>
    <w:p w14:paraId="388524D0" w14:textId="77777777" w:rsidR="00AA05E0" w:rsidRDefault="004646BE">
      <w:pPr>
        <w:rPr>
          <w:rFonts w:ascii="Arial" w:hAnsi="Arial"/>
        </w:rPr>
      </w:pPr>
      <w:r>
        <w:rPr>
          <w:rFonts w:ascii="Arial" w:hAnsi="Arial"/>
        </w:rPr>
        <w:t xml:space="preserve">Aplikace běží na aplikačním serveru </w:t>
      </w:r>
      <w:proofErr w:type="spellStart"/>
      <w:r>
        <w:rPr>
          <w:rFonts w:ascii="Arial" w:hAnsi="Arial"/>
        </w:rPr>
        <w:t>Apache</w:t>
      </w:r>
      <w:proofErr w:type="spellEnd"/>
      <w:r>
        <w:rPr>
          <w:rFonts w:ascii="Arial" w:hAnsi="Arial"/>
        </w:rPr>
        <w:t xml:space="preserve"> </w:t>
      </w:r>
      <w:proofErr w:type="spellStart"/>
      <w:r>
        <w:rPr>
          <w:rFonts w:ascii="Arial" w:hAnsi="Arial"/>
        </w:rPr>
        <w:t>Tomcat</w:t>
      </w:r>
      <w:proofErr w:type="spellEnd"/>
      <w:r>
        <w:rPr>
          <w:rFonts w:ascii="Arial" w:hAnsi="Arial"/>
        </w:rPr>
        <w:t xml:space="preserve">, je postavena na technologii otevřených standardů PHP, </w:t>
      </w:r>
      <w:proofErr w:type="spellStart"/>
      <w:r>
        <w:rPr>
          <w:rFonts w:ascii="Arial" w:hAnsi="Arial"/>
        </w:rPr>
        <w:t>MySQL</w:t>
      </w:r>
      <w:proofErr w:type="spellEnd"/>
      <w:r>
        <w:rPr>
          <w:rFonts w:ascii="Arial" w:hAnsi="Arial"/>
        </w:rPr>
        <w:t xml:space="preserve">, XHTML, AJAX. Hostitelská platforma Linux zajišťuje běh aplikace v rámci </w:t>
      </w:r>
      <w:proofErr w:type="spellStart"/>
      <w:r>
        <w:rPr>
          <w:rFonts w:ascii="Arial" w:hAnsi="Arial"/>
        </w:rPr>
        <w:t>virtual</w:t>
      </w:r>
      <w:proofErr w:type="spellEnd"/>
      <w:r>
        <w:rPr>
          <w:rFonts w:ascii="Arial" w:hAnsi="Arial"/>
        </w:rPr>
        <w:t xml:space="preserve"> </w:t>
      </w:r>
      <w:proofErr w:type="spellStart"/>
      <w:r>
        <w:rPr>
          <w:rFonts w:ascii="Arial" w:hAnsi="Arial"/>
        </w:rPr>
        <w:t>machine</w:t>
      </w:r>
      <w:proofErr w:type="spellEnd"/>
      <w:r>
        <w:rPr>
          <w:rFonts w:ascii="Arial" w:hAnsi="Arial"/>
        </w:rPr>
        <w:t xml:space="preserve"> v prostředí </w:t>
      </w:r>
      <w:proofErr w:type="spellStart"/>
      <w:r>
        <w:rPr>
          <w:rFonts w:ascii="Arial" w:hAnsi="Arial"/>
        </w:rPr>
        <w:t>VMWare</w:t>
      </w:r>
      <w:proofErr w:type="spellEnd"/>
      <w:r>
        <w:rPr>
          <w:rFonts w:ascii="Arial" w:hAnsi="Arial"/>
        </w:rPr>
        <w:t xml:space="preserve">. Pomocí webových služeb (klient – server) je zde možnost napojení </w:t>
      </w:r>
      <w:proofErr w:type="spellStart"/>
      <w:r>
        <w:rPr>
          <w:rFonts w:ascii="Arial" w:hAnsi="Arial"/>
        </w:rPr>
        <w:t>SmartDESKu</w:t>
      </w:r>
      <w:proofErr w:type="spellEnd"/>
      <w:r>
        <w:rPr>
          <w:rFonts w:ascii="Arial" w:hAnsi="Arial"/>
        </w:rPr>
        <w:t xml:space="preserve"> k aplikacím třetích stran. Aplikace rovněž komunikuje s externími systémy pomocí otevřeného aplikačního rozhraní API (LDAP, </w:t>
      </w:r>
      <w:proofErr w:type="spellStart"/>
      <w:r>
        <w:rPr>
          <w:rFonts w:ascii="Arial" w:hAnsi="Arial"/>
        </w:rPr>
        <w:t>Active</w:t>
      </w:r>
      <w:proofErr w:type="spellEnd"/>
      <w:r>
        <w:rPr>
          <w:rFonts w:ascii="Arial" w:hAnsi="Arial"/>
        </w:rPr>
        <w:t xml:space="preserve"> </w:t>
      </w:r>
      <w:proofErr w:type="spellStart"/>
      <w:r>
        <w:rPr>
          <w:rFonts w:ascii="Arial" w:hAnsi="Arial"/>
        </w:rPr>
        <w:t>Directory</w:t>
      </w:r>
      <w:proofErr w:type="spellEnd"/>
      <w:r>
        <w:rPr>
          <w:rFonts w:ascii="Arial" w:hAnsi="Arial"/>
        </w:rPr>
        <w:t xml:space="preserve">). </w:t>
      </w:r>
    </w:p>
    <w:p w14:paraId="66E2022C" w14:textId="77777777" w:rsidR="00AA05E0" w:rsidRDefault="00AA05E0">
      <w:pPr>
        <w:rPr>
          <w:rFonts w:ascii="Arial" w:hAnsi="Arial"/>
        </w:rPr>
      </w:pPr>
    </w:p>
    <w:p w14:paraId="077A3E2F" w14:textId="77777777" w:rsidR="00AA05E0" w:rsidRDefault="004646BE">
      <w:pPr>
        <w:spacing w:after="240"/>
        <w:rPr>
          <w:rFonts w:ascii="Arial" w:hAnsi="Arial"/>
        </w:rPr>
      </w:pPr>
      <w:r>
        <w:rPr>
          <w:rFonts w:ascii="Arial" w:hAnsi="Arial"/>
        </w:rPr>
        <w:t xml:space="preserve">Aplikace je plně </w:t>
      </w:r>
      <w:proofErr w:type="spellStart"/>
      <w:r>
        <w:rPr>
          <w:rFonts w:ascii="Arial" w:hAnsi="Arial"/>
        </w:rPr>
        <w:t>integrovatelná</w:t>
      </w:r>
      <w:proofErr w:type="spellEnd"/>
      <w:r>
        <w:rPr>
          <w:rFonts w:ascii="Arial" w:hAnsi="Arial"/>
        </w:rPr>
        <w:t xml:space="preserve"> a konfigurovatelná, pro přehlednost je uveden seznam konfigurovatelných oblastí:</w:t>
      </w:r>
    </w:p>
    <w:tbl>
      <w:tblPr>
        <w:tblW w:w="9188" w:type="dxa"/>
        <w:tblInd w:w="104"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2382"/>
        <w:gridCol w:w="6806"/>
      </w:tblGrid>
      <w:tr w:rsidR="00AA05E0" w14:paraId="18BEB08D" w14:textId="77777777">
        <w:tc>
          <w:tcPr>
            <w:tcW w:w="2382" w:type="dxa"/>
            <w:tcBorders>
              <w:top w:val="single" w:sz="4" w:space="0" w:color="000001"/>
              <w:left w:val="single" w:sz="4" w:space="0" w:color="000001"/>
              <w:bottom w:val="single" w:sz="4" w:space="0" w:color="000001"/>
            </w:tcBorders>
            <w:shd w:val="clear" w:color="auto" w:fill="CCFFCC"/>
            <w:tcMar>
              <w:left w:w="98" w:type="dxa"/>
            </w:tcMar>
          </w:tcPr>
          <w:p w14:paraId="77B04FA3" w14:textId="77777777" w:rsidR="00AA05E0" w:rsidRDefault="004646BE">
            <w:pPr>
              <w:spacing w:before="20" w:after="20"/>
              <w:rPr>
                <w:rFonts w:hint="eastAsia"/>
              </w:rPr>
            </w:pPr>
            <w:r>
              <w:rPr>
                <w:rFonts w:cs="Calibri"/>
              </w:rPr>
              <w:t>Název oblasti</w:t>
            </w:r>
          </w:p>
        </w:tc>
        <w:tc>
          <w:tcPr>
            <w:tcW w:w="6805" w:type="dxa"/>
            <w:tcBorders>
              <w:top w:val="single" w:sz="4" w:space="0" w:color="000001"/>
              <w:left w:val="single" w:sz="4" w:space="0" w:color="000001"/>
              <w:bottom w:val="single" w:sz="4" w:space="0" w:color="000001"/>
              <w:right w:val="single" w:sz="4" w:space="0" w:color="000001"/>
            </w:tcBorders>
            <w:shd w:val="clear" w:color="auto" w:fill="CCFFCC"/>
            <w:tcMar>
              <w:left w:w="98" w:type="dxa"/>
            </w:tcMar>
          </w:tcPr>
          <w:p w14:paraId="41EC13C1" w14:textId="77777777" w:rsidR="00AA05E0" w:rsidRDefault="004646BE">
            <w:pPr>
              <w:spacing w:before="20" w:after="20"/>
              <w:rPr>
                <w:rFonts w:hint="eastAsia"/>
              </w:rPr>
            </w:pPr>
            <w:r>
              <w:rPr>
                <w:rFonts w:cs="Calibri"/>
              </w:rPr>
              <w:t>Popis</w:t>
            </w:r>
          </w:p>
        </w:tc>
      </w:tr>
      <w:tr w:rsidR="00AA05E0" w14:paraId="64704619" w14:textId="77777777">
        <w:tc>
          <w:tcPr>
            <w:tcW w:w="2382" w:type="dxa"/>
            <w:tcBorders>
              <w:top w:val="single" w:sz="4" w:space="0" w:color="000001"/>
              <w:left w:val="single" w:sz="4" w:space="0" w:color="000001"/>
              <w:bottom w:val="single" w:sz="4" w:space="0" w:color="000001"/>
            </w:tcBorders>
            <w:shd w:val="clear" w:color="auto" w:fill="auto"/>
            <w:tcMar>
              <w:left w:w="98" w:type="dxa"/>
            </w:tcMar>
            <w:vAlign w:val="center"/>
          </w:tcPr>
          <w:p w14:paraId="6687D81A" w14:textId="77777777" w:rsidR="00AA05E0" w:rsidRDefault="004646BE">
            <w:pPr>
              <w:spacing w:before="20" w:after="20"/>
              <w:rPr>
                <w:rFonts w:hint="eastAsia"/>
              </w:rPr>
            </w:pPr>
            <w:r>
              <w:rPr>
                <w:rFonts w:cs="Calibri"/>
                <w:b/>
              </w:rPr>
              <w:t>Práva a Role</w:t>
            </w:r>
          </w:p>
        </w:tc>
        <w:tc>
          <w:tcPr>
            <w:tcW w:w="680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47A5735" w14:textId="77777777" w:rsidR="00AA05E0" w:rsidRDefault="004646BE">
            <w:pPr>
              <w:spacing w:before="20" w:after="20"/>
              <w:rPr>
                <w:rFonts w:hint="eastAsia"/>
              </w:rPr>
            </w:pPr>
            <w:r>
              <w:rPr>
                <w:rFonts w:cs="Calibri"/>
              </w:rPr>
              <w:t>Základní práva k ovládání aplikace jsou sdružována do rolí, které jsou pak přidělovány skupinám pracovníků podle požadovaného oprávnění.</w:t>
            </w:r>
          </w:p>
        </w:tc>
      </w:tr>
      <w:tr w:rsidR="00AA05E0" w14:paraId="61A0337C" w14:textId="77777777">
        <w:tc>
          <w:tcPr>
            <w:tcW w:w="2382" w:type="dxa"/>
            <w:tcBorders>
              <w:top w:val="single" w:sz="4" w:space="0" w:color="000001"/>
              <w:left w:val="single" w:sz="4" w:space="0" w:color="000001"/>
              <w:bottom w:val="single" w:sz="4" w:space="0" w:color="000001"/>
            </w:tcBorders>
            <w:shd w:val="clear" w:color="auto" w:fill="auto"/>
            <w:tcMar>
              <w:left w:w="98" w:type="dxa"/>
            </w:tcMar>
            <w:vAlign w:val="center"/>
          </w:tcPr>
          <w:p w14:paraId="423E0F9D" w14:textId="77777777" w:rsidR="00AA05E0" w:rsidRDefault="004646BE">
            <w:pPr>
              <w:spacing w:before="20" w:after="20"/>
              <w:rPr>
                <w:rFonts w:hint="eastAsia"/>
              </w:rPr>
            </w:pPr>
            <w:r>
              <w:rPr>
                <w:rFonts w:cs="Calibri"/>
                <w:b/>
              </w:rPr>
              <w:t>Skupiny a Pracovníci</w:t>
            </w:r>
          </w:p>
        </w:tc>
        <w:tc>
          <w:tcPr>
            <w:tcW w:w="680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1E9CE67" w14:textId="77777777" w:rsidR="00AA05E0" w:rsidRDefault="004646BE">
            <w:pPr>
              <w:spacing w:before="20" w:after="20"/>
              <w:rPr>
                <w:rFonts w:hint="eastAsia"/>
              </w:rPr>
            </w:pPr>
            <w:r>
              <w:rPr>
                <w:rFonts w:cs="Calibri"/>
              </w:rPr>
              <w:t>Slouží pro vytvoření skupin podle stejně poskytovaných služeb a přidělení pracovníků včetně jejich identifikace.</w:t>
            </w:r>
          </w:p>
        </w:tc>
      </w:tr>
      <w:tr w:rsidR="00AA05E0" w14:paraId="2C9BFEA3" w14:textId="77777777">
        <w:tc>
          <w:tcPr>
            <w:tcW w:w="2382" w:type="dxa"/>
            <w:tcBorders>
              <w:top w:val="single" w:sz="4" w:space="0" w:color="000001"/>
              <w:left w:val="single" w:sz="4" w:space="0" w:color="000001"/>
              <w:bottom w:val="single" w:sz="4" w:space="0" w:color="000001"/>
            </w:tcBorders>
            <w:shd w:val="clear" w:color="auto" w:fill="auto"/>
            <w:tcMar>
              <w:left w:w="98" w:type="dxa"/>
            </w:tcMar>
            <w:vAlign w:val="center"/>
          </w:tcPr>
          <w:p w14:paraId="59E415BB" w14:textId="77777777" w:rsidR="00AA05E0" w:rsidRDefault="004646BE">
            <w:pPr>
              <w:spacing w:before="20" w:after="20"/>
              <w:rPr>
                <w:rFonts w:hint="eastAsia"/>
              </w:rPr>
            </w:pPr>
            <w:r>
              <w:rPr>
                <w:rFonts w:cs="Calibri"/>
                <w:b/>
              </w:rPr>
              <w:t>Služby a Kategorie</w:t>
            </w:r>
          </w:p>
        </w:tc>
        <w:tc>
          <w:tcPr>
            <w:tcW w:w="680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E22802D" w14:textId="77777777" w:rsidR="00AA05E0" w:rsidRDefault="004646BE">
            <w:pPr>
              <w:spacing w:before="20" w:after="20"/>
              <w:rPr>
                <w:rFonts w:hint="eastAsia"/>
              </w:rPr>
            </w:pPr>
            <w:r>
              <w:rPr>
                <w:rFonts w:cs="Calibri"/>
              </w:rPr>
              <w:t>Definuje poskytované služby a jejich dekompozici na kategorie podle řešitelů včetně typů požadavků.</w:t>
            </w:r>
          </w:p>
        </w:tc>
      </w:tr>
      <w:tr w:rsidR="00AA05E0" w14:paraId="73085F64" w14:textId="77777777">
        <w:tc>
          <w:tcPr>
            <w:tcW w:w="2382" w:type="dxa"/>
            <w:tcBorders>
              <w:top w:val="single" w:sz="4" w:space="0" w:color="000001"/>
              <w:left w:val="single" w:sz="4" w:space="0" w:color="000001"/>
              <w:bottom w:val="single" w:sz="4" w:space="0" w:color="000001"/>
            </w:tcBorders>
            <w:shd w:val="clear" w:color="auto" w:fill="auto"/>
            <w:tcMar>
              <w:left w:w="98" w:type="dxa"/>
            </w:tcMar>
            <w:vAlign w:val="center"/>
          </w:tcPr>
          <w:p w14:paraId="77848735" w14:textId="77777777" w:rsidR="00AA05E0" w:rsidRDefault="004646BE">
            <w:pPr>
              <w:spacing w:before="20" w:after="20"/>
              <w:rPr>
                <w:rFonts w:hint="eastAsia"/>
              </w:rPr>
            </w:pPr>
            <w:r>
              <w:rPr>
                <w:rFonts w:cs="Calibri"/>
                <w:b/>
              </w:rPr>
              <w:t>Procesy a Stavy</w:t>
            </w:r>
          </w:p>
        </w:tc>
        <w:tc>
          <w:tcPr>
            <w:tcW w:w="680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243EDD9" w14:textId="77777777" w:rsidR="00AA05E0" w:rsidRDefault="004646BE">
            <w:pPr>
              <w:spacing w:before="20" w:after="20"/>
              <w:rPr>
                <w:rFonts w:hint="eastAsia"/>
              </w:rPr>
            </w:pPr>
            <w:r>
              <w:rPr>
                <w:rFonts w:cs="Calibri"/>
              </w:rPr>
              <w:t>Nastavuje procesy řešení požadavků a definici stavů požadavků včetně oprávnění rolí k jejich změně.</w:t>
            </w:r>
          </w:p>
        </w:tc>
      </w:tr>
      <w:tr w:rsidR="00AA05E0" w14:paraId="390A3001" w14:textId="77777777">
        <w:tc>
          <w:tcPr>
            <w:tcW w:w="2382" w:type="dxa"/>
            <w:tcBorders>
              <w:top w:val="single" w:sz="4" w:space="0" w:color="000001"/>
              <w:left w:val="single" w:sz="4" w:space="0" w:color="000001"/>
              <w:bottom w:val="single" w:sz="4" w:space="0" w:color="000001"/>
            </w:tcBorders>
            <w:shd w:val="clear" w:color="auto" w:fill="auto"/>
            <w:tcMar>
              <w:left w:w="98" w:type="dxa"/>
            </w:tcMar>
            <w:vAlign w:val="center"/>
          </w:tcPr>
          <w:p w14:paraId="23407D0F" w14:textId="77777777" w:rsidR="00AA05E0" w:rsidRDefault="004646BE">
            <w:pPr>
              <w:spacing w:before="20" w:after="20"/>
              <w:rPr>
                <w:rFonts w:hint="eastAsia"/>
              </w:rPr>
            </w:pPr>
            <w:r>
              <w:rPr>
                <w:rFonts w:cs="Calibri"/>
                <w:b/>
              </w:rPr>
              <w:t>Priority a Doby</w:t>
            </w:r>
          </w:p>
        </w:tc>
        <w:tc>
          <w:tcPr>
            <w:tcW w:w="680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C0A7A7E" w14:textId="77777777" w:rsidR="00AA05E0" w:rsidRDefault="004646BE">
            <w:pPr>
              <w:spacing w:before="20" w:after="20"/>
              <w:rPr>
                <w:rFonts w:hint="eastAsia"/>
              </w:rPr>
            </w:pPr>
            <w:r>
              <w:rPr>
                <w:rFonts w:cs="Calibri"/>
              </w:rPr>
              <w:t>Slouží k definici priorit pro řešení požadavků, kterým je přidělen typ podpory a odpovídají doba reakce a řešení.</w:t>
            </w:r>
          </w:p>
        </w:tc>
      </w:tr>
      <w:tr w:rsidR="00AA05E0" w14:paraId="28C9C885" w14:textId="77777777">
        <w:tc>
          <w:tcPr>
            <w:tcW w:w="2382" w:type="dxa"/>
            <w:tcBorders>
              <w:top w:val="single" w:sz="4" w:space="0" w:color="000001"/>
              <w:left w:val="single" w:sz="4" w:space="0" w:color="000001"/>
              <w:bottom w:val="single" w:sz="4" w:space="0" w:color="000001"/>
            </w:tcBorders>
            <w:shd w:val="clear" w:color="auto" w:fill="auto"/>
            <w:tcMar>
              <w:left w:w="98" w:type="dxa"/>
            </w:tcMar>
            <w:vAlign w:val="center"/>
          </w:tcPr>
          <w:p w14:paraId="56E0767F" w14:textId="77777777" w:rsidR="00AA05E0" w:rsidRDefault="004646BE">
            <w:pPr>
              <w:spacing w:before="20" w:after="20"/>
              <w:rPr>
                <w:rFonts w:hint="eastAsia"/>
              </w:rPr>
            </w:pPr>
            <w:r>
              <w:rPr>
                <w:rFonts w:cs="Calibri"/>
                <w:b/>
              </w:rPr>
              <w:t>Zadavatelé a Uživatelé</w:t>
            </w:r>
          </w:p>
        </w:tc>
        <w:tc>
          <w:tcPr>
            <w:tcW w:w="680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C2EC1B2" w14:textId="77777777" w:rsidR="00AA05E0" w:rsidRDefault="004646BE">
            <w:pPr>
              <w:spacing w:before="20" w:after="20"/>
              <w:rPr>
                <w:rFonts w:hint="eastAsia"/>
              </w:rPr>
            </w:pPr>
            <w:r>
              <w:rPr>
                <w:rFonts w:cs="Calibri"/>
              </w:rPr>
              <w:t>Určuje, který zadavatel (pracovník zadávající požadavek) může zadat za kterého uživatele (pracovník s problémem).</w:t>
            </w:r>
          </w:p>
        </w:tc>
      </w:tr>
      <w:tr w:rsidR="00AA05E0" w14:paraId="44B6632D" w14:textId="77777777">
        <w:tc>
          <w:tcPr>
            <w:tcW w:w="2382" w:type="dxa"/>
            <w:tcBorders>
              <w:top w:val="single" w:sz="4" w:space="0" w:color="000001"/>
              <w:left w:val="single" w:sz="4" w:space="0" w:color="000001"/>
              <w:bottom w:val="single" w:sz="4" w:space="0" w:color="000001"/>
            </w:tcBorders>
            <w:shd w:val="clear" w:color="auto" w:fill="auto"/>
            <w:tcMar>
              <w:left w:w="98" w:type="dxa"/>
            </w:tcMar>
            <w:vAlign w:val="center"/>
          </w:tcPr>
          <w:p w14:paraId="601E5DB9" w14:textId="77777777" w:rsidR="00AA05E0" w:rsidRDefault="004646BE">
            <w:pPr>
              <w:spacing w:before="20" w:after="20"/>
              <w:rPr>
                <w:rFonts w:hint="eastAsia"/>
              </w:rPr>
            </w:pPr>
            <w:r>
              <w:rPr>
                <w:rFonts w:cs="Calibri"/>
                <w:b/>
              </w:rPr>
              <w:t>Podmínky a Akce</w:t>
            </w:r>
          </w:p>
        </w:tc>
        <w:tc>
          <w:tcPr>
            <w:tcW w:w="680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7FE6005" w14:textId="77777777" w:rsidR="00AA05E0" w:rsidRDefault="004646BE">
            <w:pPr>
              <w:spacing w:before="20" w:after="20"/>
              <w:rPr>
                <w:rFonts w:hint="eastAsia"/>
              </w:rPr>
            </w:pPr>
            <w:r>
              <w:rPr>
                <w:rFonts w:cs="Calibri"/>
              </w:rPr>
              <w:t>Specifikuje podmínky a akce, které probíhají při změnách stavů (např. vyplnění polí, posílání mailů, apod.).</w:t>
            </w:r>
          </w:p>
        </w:tc>
      </w:tr>
      <w:tr w:rsidR="00AA05E0" w14:paraId="04D2DF0E" w14:textId="77777777">
        <w:tc>
          <w:tcPr>
            <w:tcW w:w="2382" w:type="dxa"/>
            <w:tcBorders>
              <w:top w:val="single" w:sz="4" w:space="0" w:color="000001"/>
              <w:left w:val="single" w:sz="4" w:space="0" w:color="000001"/>
              <w:bottom w:val="single" w:sz="4" w:space="0" w:color="000001"/>
            </w:tcBorders>
            <w:shd w:val="clear" w:color="auto" w:fill="auto"/>
            <w:tcMar>
              <w:left w:w="98" w:type="dxa"/>
            </w:tcMar>
            <w:vAlign w:val="center"/>
          </w:tcPr>
          <w:p w14:paraId="24079A81" w14:textId="77777777" w:rsidR="00AA05E0" w:rsidRDefault="004646BE">
            <w:pPr>
              <w:spacing w:before="20" w:after="20"/>
              <w:rPr>
                <w:rFonts w:hint="eastAsia"/>
              </w:rPr>
            </w:pPr>
            <w:r>
              <w:rPr>
                <w:rFonts w:cs="Calibri"/>
                <w:b/>
              </w:rPr>
              <w:t>Struktura emailu</w:t>
            </w:r>
          </w:p>
        </w:tc>
        <w:tc>
          <w:tcPr>
            <w:tcW w:w="680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2BF0295" w14:textId="77777777" w:rsidR="00AA05E0" w:rsidRDefault="004646BE">
            <w:pPr>
              <w:spacing w:before="20" w:after="20"/>
              <w:rPr>
                <w:rFonts w:cs="Calibri" w:hint="eastAsia"/>
              </w:rPr>
            </w:pPr>
            <w:r>
              <w:rPr>
                <w:rFonts w:cs="Calibri"/>
              </w:rPr>
              <w:t>Oblast definuje strukturu upozorňovacího mailu, je možné použít veškeré proměnné z datové struktury požadavku.</w:t>
            </w:r>
          </w:p>
        </w:tc>
      </w:tr>
    </w:tbl>
    <w:p w14:paraId="28C3D628" w14:textId="77777777" w:rsidR="00AA05E0" w:rsidRDefault="004646BE">
      <w:pPr>
        <w:pStyle w:val="Nadpis2"/>
        <w:keepLines/>
        <w:numPr>
          <w:ilvl w:val="1"/>
          <w:numId w:val="3"/>
        </w:numPr>
        <w:suppressAutoHyphens/>
        <w:spacing w:before="240" w:after="60" w:line="240" w:lineRule="auto"/>
        <w:rPr>
          <w:rFonts w:cs="Arial"/>
        </w:rPr>
      </w:pPr>
      <w:bookmarkStart w:id="2" w:name="__RefHeading___Toc464739730"/>
      <w:bookmarkEnd w:id="2"/>
      <w:r>
        <w:rPr>
          <w:rFonts w:cs="Arial"/>
        </w:rPr>
        <w:lastRenderedPageBreak/>
        <w:t xml:space="preserve">Vybrané vlastnosti aplikace </w:t>
      </w:r>
      <w:proofErr w:type="spellStart"/>
      <w:r>
        <w:rPr>
          <w:rFonts w:cs="Arial"/>
        </w:rPr>
        <w:t>SmartDESK</w:t>
      </w:r>
      <w:proofErr w:type="spellEnd"/>
    </w:p>
    <w:p w14:paraId="7BFB8D9A" w14:textId="77777777" w:rsidR="00AA05E0" w:rsidRDefault="00AA05E0">
      <w:pPr>
        <w:rPr>
          <w:rFonts w:hint="eastAsia"/>
        </w:rPr>
      </w:pPr>
    </w:p>
    <w:p w14:paraId="7C743B50" w14:textId="77777777" w:rsidR="00AA05E0" w:rsidRDefault="004646BE">
      <w:pPr>
        <w:rPr>
          <w:rFonts w:ascii="Arial" w:hAnsi="Arial"/>
        </w:rPr>
      </w:pPr>
      <w:r>
        <w:rPr>
          <w:rFonts w:ascii="Arial" w:hAnsi="Arial"/>
        </w:rPr>
        <w:t>Metodika implementace ICT procesů vychází z rámce a doporučení ITSM (</w:t>
      </w:r>
      <w:proofErr w:type="spellStart"/>
      <w:r>
        <w:rPr>
          <w:rFonts w:ascii="Arial" w:hAnsi="Arial"/>
          <w:i/>
          <w:iCs/>
        </w:rPr>
        <w:t>Information</w:t>
      </w:r>
      <w:proofErr w:type="spellEnd"/>
      <w:r>
        <w:rPr>
          <w:rFonts w:ascii="Arial" w:hAnsi="Arial"/>
          <w:i/>
          <w:iCs/>
        </w:rPr>
        <w:t xml:space="preserve"> Technology </w:t>
      </w:r>
      <w:proofErr w:type="spellStart"/>
      <w:r>
        <w:rPr>
          <w:rFonts w:ascii="Arial" w:hAnsi="Arial"/>
          <w:i/>
          <w:iCs/>
        </w:rPr>
        <w:t>Service</w:t>
      </w:r>
      <w:proofErr w:type="spellEnd"/>
      <w:r>
        <w:rPr>
          <w:rFonts w:ascii="Arial" w:hAnsi="Arial"/>
          <w:i/>
          <w:iCs/>
        </w:rPr>
        <w:t xml:space="preserve"> Management</w:t>
      </w:r>
      <w:r>
        <w:rPr>
          <w:rFonts w:ascii="Arial" w:hAnsi="Arial"/>
        </w:rPr>
        <w:t xml:space="preserve">),  ITIL v3 </w:t>
      </w:r>
      <w:r>
        <w:rPr>
          <w:rFonts w:ascii="Arial" w:hAnsi="Arial"/>
          <w:i/>
          <w:iCs/>
        </w:rPr>
        <w:t>(</w:t>
      </w:r>
      <w:proofErr w:type="spellStart"/>
      <w:r>
        <w:rPr>
          <w:rFonts w:ascii="Arial" w:hAnsi="Arial"/>
          <w:i/>
          <w:iCs/>
        </w:rPr>
        <w:t>Information</w:t>
      </w:r>
      <w:proofErr w:type="spellEnd"/>
      <w:r>
        <w:rPr>
          <w:rFonts w:ascii="Arial" w:hAnsi="Arial"/>
          <w:i/>
          <w:iCs/>
        </w:rPr>
        <w:t xml:space="preserve"> Technology </w:t>
      </w:r>
      <w:proofErr w:type="spellStart"/>
      <w:r>
        <w:rPr>
          <w:rFonts w:ascii="Arial" w:hAnsi="Arial"/>
          <w:i/>
          <w:iCs/>
        </w:rPr>
        <w:t>Infrastructure</w:t>
      </w:r>
      <w:proofErr w:type="spellEnd"/>
      <w:r>
        <w:rPr>
          <w:rFonts w:ascii="Arial" w:hAnsi="Arial"/>
          <w:i/>
          <w:iCs/>
        </w:rPr>
        <w:t xml:space="preserve"> </w:t>
      </w:r>
      <w:proofErr w:type="spellStart"/>
      <w:r>
        <w:rPr>
          <w:rFonts w:ascii="Arial" w:hAnsi="Arial"/>
          <w:i/>
          <w:iCs/>
        </w:rPr>
        <w:t>Library</w:t>
      </w:r>
      <w:proofErr w:type="spellEnd"/>
      <w:r>
        <w:rPr>
          <w:rFonts w:ascii="Arial" w:hAnsi="Arial"/>
          <w:i/>
          <w:iCs/>
        </w:rPr>
        <w:t xml:space="preserve">) </w:t>
      </w:r>
      <w:r>
        <w:rPr>
          <w:rFonts w:ascii="Arial" w:hAnsi="Arial"/>
        </w:rPr>
        <w:t>a souvisejících norem (BS 15000-1, BS 15000-2, ISO 27001). Hlavním přínosem řešení je centrální řízení požadavků včetně mailového upozorňovacího systému, nastavení prostředí pro outsourcing služeb a vyhodnocovací nástroje pro řízení.</w:t>
      </w:r>
    </w:p>
    <w:p w14:paraId="12145B56" w14:textId="77777777" w:rsidR="00AA05E0" w:rsidRDefault="00AA05E0">
      <w:pPr>
        <w:rPr>
          <w:rFonts w:ascii="Arial" w:hAnsi="Arial"/>
        </w:rPr>
      </w:pPr>
    </w:p>
    <w:p w14:paraId="32009BAE" w14:textId="77777777" w:rsidR="00AA05E0" w:rsidRDefault="004646BE">
      <w:pPr>
        <w:rPr>
          <w:rFonts w:ascii="Arial" w:hAnsi="Arial"/>
        </w:rPr>
      </w:pPr>
      <w:r>
        <w:rPr>
          <w:rFonts w:ascii="Arial" w:hAnsi="Arial"/>
        </w:rPr>
        <w:t xml:space="preserve">V důsledku toho pak dochází k optimalizaci nákladů na správu informačního systému, zvýšení pracovní disponibility řešitelů i uživatelů, snížení nákladů na komunikaci a zvýšení úrovně řízení na základě reportů a statistik. V rámci tohoto projektu bude implementován proces řízení incidentů (Incident Management). Níže následuje stručný výčet vlastností aplikace </w:t>
      </w:r>
      <w:proofErr w:type="spellStart"/>
      <w:r>
        <w:rPr>
          <w:rFonts w:ascii="Arial" w:hAnsi="Arial"/>
        </w:rPr>
        <w:t>SmartDESK</w:t>
      </w:r>
      <w:proofErr w:type="spellEnd"/>
      <w:r>
        <w:rPr>
          <w:rFonts w:ascii="Arial" w:hAnsi="Arial"/>
        </w:rPr>
        <w:t>:</w:t>
      </w:r>
    </w:p>
    <w:p w14:paraId="5C6126D8" w14:textId="77777777" w:rsidR="00AA05E0" w:rsidRDefault="004646BE">
      <w:pPr>
        <w:numPr>
          <w:ilvl w:val="0"/>
          <w:numId w:val="1"/>
        </w:numPr>
        <w:ind w:left="357" w:hanging="357"/>
        <w:jc w:val="both"/>
        <w:textAlignment w:val="auto"/>
        <w:rPr>
          <w:rFonts w:ascii="Arial" w:hAnsi="Arial"/>
        </w:rPr>
      </w:pPr>
      <w:r>
        <w:rPr>
          <w:rFonts w:ascii="Arial" w:hAnsi="Arial"/>
          <w:lang w:eastAsia="zh-TW"/>
        </w:rPr>
        <w:t xml:space="preserve">nastavení procesů pro hlášení a řešení incidentů, havárií a požadavků </w:t>
      </w:r>
    </w:p>
    <w:p w14:paraId="161C14FF" w14:textId="77777777" w:rsidR="00AA05E0" w:rsidRDefault="004646BE">
      <w:pPr>
        <w:numPr>
          <w:ilvl w:val="0"/>
          <w:numId w:val="1"/>
        </w:numPr>
        <w:ind w:left="357" w:hanging="357"/>
        <w:jc w:val="both"/>
        <w:textAlignment w:val="auto"/>
        <w:rPr>
          <w:rFonts w:ascii="Arial" w:hAnsi="Arial"/>
        </w:rPr>
      </w:pPr>
      <w:r>
        <w:rPr>
          <w:rFonts w:ascii="Arial" w:hAnsi="Arial"/>
          <w:lang w:eastAsia="zh-TW"/>
        </w:rPr>
        <w:t>směrování požadavků podle kategorie na příslušné operátory</w:t>
      </w:r>
    </w:p>
    <w:p w14:paraId="4E5E3D06" w14:textId="77777777" w:rsidR="00AA05E0" w:rsidRDefault="004646BE">
      <w:pPr>
        <w:numPr>
          <w:ilvl w:val="0"/>
          <w:numId w:val="1"/>
        </w:numPr>
        <w:ind w:left="357" w:hanging="357"/>
        <w:jc w:val="both"/>
        <w:textAlignment w:val="auto"/>
        <w:rPr>
          <w:rFonts w:ascii="Arial" w:hAnsi="Arial"/>
        </w:rPr>
      </w:pPr>
      <w:r>
        <w:rPr>
          <w:rFonts w:ascii="Arial" w:hAnsi="Arial"/>
          <w:lang w:eastAsia="zh-TW"/>
        </w:rPr>
        <w:t>založení požadavku emailem (s obsahem v příloze)</w:t>
      </w:r>
    </w:p>
    <w:p w14:paraId="1057E679" w14:textId="77777777" w:rsidR="00AA05E0" w:rsidRDefault="004646BE">
      <w:pPr>
        <w:numPr>
          <w:ilvl w:val="0"/>
          <w:numId w:val="1"/>
        </w:numPr>
        <w:ind w:left="357" w:hanging="357"/>
        <w:jc w:val="both"/>
        <w:textAlignment w:val="auto"/>
        <w:rPr>
          <w:rFonts w:ascii="Arial" w:hAnsi="Arial"/>
        </w:rPr>
      </w:pPr>
      <w:r>
        <w:rPr>
          <w:rFonts w:ascii="Arial" w:hAnsi="Arial"/>
          <w:lang w:eastAsia="zh-TW"/>
        </w:rPr>
        <w:t>systém dob reakcí a řešení podle priorit v daných kategoriích služeb</w:t>
      </w:r>
    </w:p>
    <w:p w14:paraId="17317AE3" w14:textId="77777777" w:rsidR="00AA05E0" w:rsidRDefault="004646BE">
      <w:pPr>
        <w:numPr>
          <w:ilvl w:val="0"/>
          <w:numId w:val="1"/>
        </w:numPr>
        <w:ind w:left="357" w:hanging="357"/>
        <w:jc w:val="both"/>
        <w:textAlignment w:val="auto"/>
        <w:rPr>
          <w:rFonts w:ascii="Arial" w:hAnsi="Arial"/>
        </w:rPr>
      </w:pPr>
      <w:r>
        <w:rPr>
          <w:rFonts w:ascii="Arial" w:hAnsi="Arial"/>
          <w:lang w:eastAsia="zh-TW"/>
        </w:rPr>
        <w:t>vytváření jediné fronty požadavků z různých oblastí na daného řešitele</w:t>
      </w:r>
    </w:p>
    <w:p w14:paraId="60442284" w14:textId="77777777" w:rsidR="00AA05E0" w:rsidRDefault="004646BE">
      <w:pPr>
        <w:numPr>
          <w:ilvl w:val="0"/>
          <w:numId w:val="1"/>
        </w:numPr>
        <w:ind w:left="357" w:hanging="357"/>
        <w:jc w:val="both"/>
        <w:textAlignment w:val="auto"/>
        <w:rPr>
          <w:rFonts w:ascii="Arial" w:hAnsi="Arial"/>
        </w:rPr>
      </w:pPr>
      <w:r>
        <w:rPr>
          <w:rFonts w:ascii="Arial" w:hAnsi="Arial"/>
          <w:lang w:eastAsia="zh-TW"/>
        </w:rPr>
        <w:t xml:space="preserve">notifikační nástroj pro upozorňování formou emailových zpráv a </w:t>
      </w:r>
      <w:proofErr w:type="spellStart"/>
      <w:r>
        <w:rPr>
          <w:rFonts w:ascii="Arial" w:hAnsi="Arial"/>
          <w:lang w:eastAsia="zh-TW"/>
        </w:rPr>
        <w:t>sms</w:t>
      </w:r>
      <w:proofErr w:type="spellEnd"/>
    </w:p>
    <w:p w14:paraId="30ED09CE" w14:textId="77777777" w:rsidR="00AA05E0" w:rsidRDefault="004646BE">
      <w:pPr>
        <w:numPr>
          <w:ilvl w:val="0"/>
          <w:numId w:val="1"/>
        </w:numPr>
        <w:ind w:left="357" w:hanging="357"/>
        <w:jc w:val="both"/>
        <w:textAlignment w:val="auto"/>
        <w:rPr>
          <w:rFonts w:ascii="Arial" w:hAnsi="Arial"/>
        </w:rPr>
      </w:pPr>
      <w:r>
        <w:rPr>
          <w:rFonts w:ascii="Arial" w:hAnsi="Arial"/>
          <w:lang w:eastAsia="zh-TW"/>
        </w:rPr>
        <w:t>automatická eskalace tiketu pomocí časových limitů řešení</w:t>
      </w:r>
    </w:p>
    <w:p w14:paraId="109DF43D" w14:textId="77777777" w:rsidR="00AA05E0" w:rsidRDefault="004646BE">
      <w:pPr>
        <w:numPr>
          <w:ilvl w:val="0"/>
          <w:numId w:val="1"/>
        </w:numPr>
        <w:ind w:left="357" w:hanging="357"/>
        <w:jc w:val="both"/>
        <w:textAlignment w:val="auto"/>
        <w:rPr>
          <w:rFonts w:ascii="Arial" w:hAnsi="Arial"/>
        </w:rPr>
      </w:pPr>
      <w:r>
        <w:rPr>
          <w:rFonts w:ascii="Arial" w:hAnsi="Arial"/>
          <w:lang w:eastAsia="zh-TW"/>
        </w:rPr>
        <w:t xml:space="preserve">poskytování reportů a statistik pro dokumentování zásahů a podporu řízení </w:t>
      </w:r>
    </w:p>
    <w:p w14:paraId="16AF77D1" w14:textId="77777777" w:rsidR="00AA05E0" w:rsidRDefault="004646BE">
      <w:pPr>
        <w:numPr>
          <w:ilvl w:val="0"/>
          <w:numId w:val="1"/>
        </w:numPr>
        <w:ind w:left="357" w:hanging="357"/>
        <w:jc w:val="both"/>
        <w:textAlignment w:val="auto"/>
        <w:rPr>
          <w:rFonts w:ascii="Arial" w:hAnsi="Arial"/>
        </w:rPr>
      </w:pPr>
      <w:r>
        <w:rPr>
          <w:rFonts w:ascii="Arial" w:hAnsi="Arial"/>
          <w:lang w:eastAsia="zh-TW"/>
        </w:rPr>
        <w:t>možnost integrace externích dodavatelů do procesu správy (v procesu delegováno)</w:t>
      </w:r>
    </w:p>
    <w:p w14:paraId="6494547B" w14:textId="77777777" w:rsidR="00AA05E0" w:rsidRDefault="004646BE">
      <w:pPr>
        <w:numPr>
          <w:ilvl w:val="0"/>
          <w:numId w:val="1"/>
        </w:numPr>
        <w:ind w:left="357" w:hanging="357"/>
        <w:jc w:val="both"/>
        <w:textAlignment w:val="auto"/>
        <w:rPr>
          <w:rFonts w:ascii="Arial" w:hAnsi="Arial"/>
        </w:rPr>
      </w:pPr>
      <w:r>
        <w:rPr>
          <w:rFonts w:ascii="Arial" w:hAnsi="Arial"/>
          <w:lang w:eastAsia="zh-TW"/>
        </w:rPr>
        <w:t xml:space="preserve">možnost tvorby vazeb mezi jednotlivými tikety </w:t>
      </w:r>
    </w:p>
    <w:p w14:paraId="2979DE6F" w14:textId="77777777" w:rsidR="00AA05E0" w:rsidRDefault="004646BE">
      <w:pPr>
        <w:numPr>
          <w:ilvl w:val="0"/>
          <w:numId w:val="1"/>
        </w:numPr>
        <w:ind w:left="357" w:hanging="357"/>
        <w:jc w:val="both"/>
        <w:textAlignment w:val="auto"/>
        <w:rPr>
          <w:rFonts w:ascii="Arial" w:hAnsi="Arial"/>
        </w:rPr>
      </w:pPr>
      <w:r>
        <w:rPr>
          <w:rFonts w:ascii="Arial" w:hAnsi="Arial"/>
          <w:lang w:eastAsia="zh-TW"/>
        </w:rPr>
        <w:t>možnost interní neveřejné komunikace mezi řešiteli v rámci tiketu</w:t>
      </w:r>
    </w:p>
    <w:p w14:paraId="43570371" w14:textId="77777777" w:rsidR="00AA05E0" w:rsidRDefault="004646BE">
      <w:pPr>
        <w:spacing w:before="240"/>
        <w:rPr>
          <w:rFonts w:ascii="Arial" w:hAnsi="Arial"/>
        </w:rPr>
      </w:pPr>
      <w:r>
        <w:rPr>
          <w:rFonts w:ascii="Arial" w:hAnsi="Arial"/>
        </w:rPr>
        <w:t xml:space="preserve">Základem pro nastavení procesních pravidel poskytování služeb </w:t>
      </w:r>
      <w:proofErr w:type="spellStart"/>
      <w:r>
        <w:rPr>
          <w:rFonts w:ascii="Arial" w:hAnsi="Arial"/>
        </w:rPr>
        <w:t>SmartDESK</w:t>
      </w:r>
      <w:proofErr w:type="spellEnd"/>
      <w:r>
        <w:rPr>
          <w:rFonts w:ascii="Arial" w:hAnsi="Arial"/>
        </w:rPr>
        <w:t xml:space="preserve"> je katalog služeb, který definuje jaké služby a v jaké dostupnosti budou poskytovány a servisní smlouva, která stanoví doby reakcí a řešení pro jednotlivé typy uživatelů a služeb. Každé službě je přidělen proces řešení a pracovníci zodpovědní za řešení. Parametry jsou pak nastaveny v aplikaci a formou statistik lze sledovat, zda jsou pravidla plněna a v jakém rozsahu. Je to nezbytný podklad pro řízení, na jehož základě lze stanovit rovnováhu mezi nároky na dostupnost služeb a potřebnou kapacitou na jejich naplnění.</w:t>
      </w:r>
    </w:p>
    <w:p w14:paraId="7C2BEBF3" w14:textId="77777777" w:rsidR="00AA05E0" w:rsidRDefault="004646BE">
      <w:pPr>
        <w:pStyle w:val="Nadpis2"/>
        <w:keepLines/>
        <w:numPr>
          <w:ilvl w:val="1"/>
          <w:numId w:val="3"/>
        </w:numPr>
        <w:suppressAutoHyphens/>
        <w:spacing w:before="240" w:after="60" w:line="240" w:lineRule="auto"/>
        <w:rPr>
          <w:rFonts w:cs="Arial"/>
        </w:rPr>
      </w:pPr>
      <w:bookmarkStart w:id="3" w:name="__RefHeading___Toc464739731"/>
      <w:bookmarkEnd w:id="3"/>
      <w:r>
        <w:rPr>
          <w:rFonts w:cs="Arial"/>
        </w:rPr>
        <w:t>Katalog služeb</w:t>
      </w:r>
    </w:p>
    <w:p w14:paraId="3C07CAAE" w14:textId="77777777" w:rsidR="00AA05E0" w:rsidRDefault="00AA05E0">
      <w:pPr>
        <w:rPr>
          <w:rFonts w:hint="eastAsia"/>
        </w:rPr>
      </w:pPr>
    </w:p>
    <w:p w14:paraId="11F7435D" w14:textId="77777777" w:rsidR="00AA05E0" w:rsidRDefault="004646BE">
      <w:pPr>
        <w:rPr>
          <w:rFonts w:ascii="Arial" w:hAnsi="Arial"/>
        </w:rPr>
      </w:pPr>
      <w:r>
        <w:rPr>
          <w:rFonts w:ascii="Arial" w:hAnsi="Arial"/>
        </w:rPr>
        <w:t xml:space="preserve">Servisní katalog je dokument, který obsahuje výčet a popis služeb, které budou poskytovány a v jakém rozsahu bude poskytován servis. Cílem je předejít požadavkům na služby, které sice uživatel potřebuje, ale nejsou součástí portfolia, respektive je požaduje v jiné prioritě. Takové požadavky jsou pak řešeny jako výjimka a slouží pro revizi katalogu. Pro každou službu je stanoveno: </w:t>
      </w:r>
    </w:p>
    <w:p w14:paraId="55E00B91" w14:textId="77777777" w:rsidR="00AA05E0" w:rsidRDefault="00AA05E0">
      <w:pPr>
        <w:rPr>
          <w:rFonts w:ascii="Arial" w:hAnsi="Arial"/>
          <w:b/>
        </w:rPr>
      </w:pPr>
    </w:p>
    <w:p w14:paraId="0F28B024" w14:textId="77777777" w:rsidR="00AA05E0" w:rsidRDefault="004646BE">
      <w:pPr>
        <w:rPr>
          <w:rFonts w:ascii="Arial" w:hAnsi="Arial"/>
        </w:rPr>
      </w:pPr>
      <w:r>
        <w:rPr>
          <w:rFonts w:ascii="Arial" w:hAnsi="Arial"/>
          <w:b/>
        </w:rPr>
        <w:t>Kategorie</w:t>
      </w:r>
      <w:r>
        <w:rPr>
          <w:rFonts w:ascii="Arial" w:hAnsi="Arial"/>
        </w:rPr>
        <w:t>:</w:t>
      </w:r>
      <w:r>
        <w:rPr>
          <w:rFonts w:ascii="Arial" w:hAnsi="Arial"/>
        </w:rPr>
        <w:tab/>
      </w:r>
    </w:p>
    <w:p w14:paraId="26FA0F39" w14:textId="77777777" w:rsidR="00AA05E0" w:rsidRDefault="004646BE">
      <w:pPr>
        <w:rPr>
          <w:rFonts w:ascii="Arial" w:hAnsi="Arial"/>
        </w:rPr>
      </w:pPr>
      <w:r>
        <w:rPr>
          <w:rFonts w:ascii="Arial" w:hAnsi="Arial"/>
        </w:rPr>
        <w:t>Název oblasti, do které je daná služba zařazena</w:t>
      </w:r>
    </w:p>
    <w:p w14:paraId="6226D5BF" w14:textId="77777777" w:rsidR="00AA05E0" w:rsidRDefault="00AA05E0">
      <w:pPr>
        <w:rPr>
          <w:rFonts w:ascii="Arial" w:hAnsi="Arial"/>
          <w:b/>
        </w:rPr>
      </w:pPr>
    </w:p>
    <w:p w14:paraId="06E2EAA4" w14:textId="77777777" w:rsidR="00AA05E0" w:rsidRDefault="004646BE">
      <w:pPr>
        <w:rPr>
          <w:rFonts w:ascii="Arial" w:hAnsi="Arial"/>
        </w:rPr>
      </w:pPr>
      <w:r>
        <w:rPr>
          <w:rFonts w:ascii="Arial" w:hAnsi="Arial"/>
          <w:b/>
        </w:rPr>
        <w:t>Název služby</w:t>
      </w:r>
      <w:r>
        <w:rPr>
          <w:rFonts w:ascii="Arial" w:hAnsi="Arial"/>
        </w:rPr>
        <w:t>:</w:t>
      </w:r>
    </w:p>
    <w:p w14:paraId="4A50386B" w14:textId="77777777" w:rsidR="00AA05E0" w:rsidRDefault="004646BE">
      <w:pPr>
        <w:rPr>
          <w:rFonts w:ascii="Arial" w:hAnsi="Arial"/>
        </w:rPr>
      </w:pPr>
      <w:r>
        <w:rPr>
          <w:rFonts w:ascii="Arial" w:hAnsi="Arial"/>
        </w:rPr>
        <w:t>Obecné jméno služby</w:t>
      </w:r>
    </w:p>
    <w:p w14:paraId="02914C79" w14:textId="77777777" w:rsidR="00AA05E0" w:rsidRDefault="00AA05E0">
      <w:pPr>
        <w:rPr>
          <w:rFonts w:ascii="Arial" w:hAnsi="Arial"/>
          <w:b/>
        </w:rPr>
      </w:pPr>
    </w:p>
    <w:p w14:paraId="1B2F6B24" w14:textId="77777777" w:rsidR="00AA05E0" w:rsidRDefault="004646BE">
      <w:pPr>
        <w:rPr>
          <w:rFonts w:ascii="Arial" w:hAnsi="Arial"/>
        </w:rPr>
      </w:pPr>
      <w:r>
        <w:rPr>
          <w:rFonts w:ascii="Arial" w:hAnsi="Arial"/>
          <w:b/>
        </w:rPr>
        <w:t>Popis</w:t>
      </w:r>
      <w:r>
        <w:rPr>
          <w:rFonts w:ascii="Arial" w:hAnsi="Arial"/>
        </w:rPr>
        <w:t>:</w:t>
      </w:r>
    </w:p>
    <w:p w14:paraId="052E0BDE" w14:textId="77777777" w:rsidR="00AA05E0" w:rsidRDefault="004646BE">
      <w:pPr>
        <w:rPr>
          <w:rFonts w:ascii="Arial" w:hAnsi="Arial"/>
        </w:rPr>
      </w:pPr>
      <w:r>
        <w:rPr>
          <w:rFonts w:ascii="Arial" w:hAnsi="Arial"/>
        </w:rPr>
        <w:t>Popis činností, které spadají do obsahu této služby</w:t>
      </w:r>
    </w:p>
    <w:p w14:paraId="5289E836" w14:textId="77777777" w:rsidR="00AA05E0" w:rsidRDefault="004646BE">
      <w:pPr>
        <w:rPr>
          <w:rFonts w:ascii="Arial" w:hAnsi="Arial"/>
        </w:rPr>
      </w:pPr>
      <w:r>
        <w:rPr>
          <w:rFonts w:ascii="Arial" w:hAnsi="Arial"/>
        </w:rPr>
        <w:t>Je to základní a nezbytný dokument, na jehož podkladě probíhá další specifikace, v tomto případě se jedná o stanovení servisní smlouvy.</w:t>
      </w:r>
    </w:p>
    <w:p w14:paraId="0F9E5209" w14:textId="77777777" w:rsidR="00AA05E0" w:rsidRDefault="004646BE">
      <w:pPr>
        <w:pStyle w:val="Nadpis2"/>
        <w:keepLines/>
        <w:numPr>
          <w:ilvl w:val="1"/>
          <w:numId w:val="3"/>
        </w:numPr>
        <w:suppressAutoHyphens/>
        <w:spacing w:before="240" w:after="60" w:line="240" w:lineRule="auto"/>
        <w:rPr>
          <w:rFonts w:cs="Arial"/>
        </w:rPr>
      </w:pPr>
      <w:bookmarkStart w:id="4" w:name="__RefHeading___Toc464739732"/>
      <w:bookmarkEnd w:id="4"/>
      <w:r>
        <w:rPr>
          <w:rFonts w:cs="Arial"/>
        </w:rPr>
        <w:lastRenderedPageBreak/>
        <w:t>Servisní podmínky (SLA)</w:t>
      </w:r>
    </w:p>
    <w:p w14:paraId="47BDE4C2" w14:textId="77777777" w:rsidR="00AA05E0" w:rsidRDefault="00AA05E0">
      <w:pPr>
        <w:rPr>
          <w:rFonts w:hint="eastAsia"/>
        </w:rPr>
      </w:pPr>
    </w:p>
    <w:p w14:paraId="5AFDB6E0" w14:textId="77777777" w:rsidR="00AA05E0" w:rsidRDefault="004646BE">
      <w:pPr>
        <w:rPr>
          <w:rFonts w:ascii="Arial" w:hAnsi="Arial"/>
        </w:rPr>
      </w:pPr>
      <w:r>
        <w:rPr>
          <w:rFonts w:ascii="Arial" w:hAnsi="Arial"/>
        </w:rPr>
        <w:t>Servisní podmínky vychází z definovaných služeb, kterým přiřazuje uživatele, kterým bude služba poskytována a v jaké prioritě. Cílem je vytvoření matice tak, aby pro uživatele bylo jednoznačně stanoveno právo službu požadovat, a s jakou dobou reakce a řešení. Tento způsob umožňuje efektivní plánování kapacity řešitelů podle požadované dostupnosti služeb. Servisní podmínky obsahují:</w:t>
      </w:r>
    </w:p>
    <w:p w14:paraId="525D8564" w14:textId="77777777" w:rsidR="00AA05E0" w:rsidRDefault="004646BE">
      <w:pPr>
        <w:numPr>
          <w:ilvl w:val="0"/>
          <w:numId w:val="2"/>
        </w:numPr>
        <w:spacing w:before="60" w:after="60"/>
        <w:ind w:left="426" w:hanging="426"/>
        <w:jc w:val="both"/>
        <w:textAlignment w:val="auto"/>
        <w:rPr>
          <w:rFonts w:ascii="Arial" w:hAnsi="Arial"/>
        </w:rPr>
      </w:pPr>
      <w:r>
        <w:rPr>
          <w:rFonts w:ascii="Arial" w:hAnsi="Arial"/>
        </w:rPr>
        <w:t>obecná ujednání včetně struktury uživatelů</w:t>
      </w:r>
    </w:p>
    <w:p w14:paraId="68D33B3F" w14:textId="77777777" w:rsidR="00AA05E0" w:rsidRDefault="004646BE">
      <w:pPr>
        <w:numPr>
          <w:ilvl w:val="0"/>
          <w:numId w:val="2"/>
        </w:numPr>
        <w:spacing w:before="60" w:after="60"/>
        <w:ind w:left="426" w:hanging="426"/>
        <w:jc w:val="both"/>
        <w:textAlignment w:val="auto"/>
        <w:rPr>
          <w:rFonts w:ascii="Arial" w:hAnsi="Arial"/>
        </w:rPr>
      </w:pPr>
      <w:r>
        <w:rPr>
          <w:rFonts w:ascii="Arial" w:hAnsi="Arial"/>
        </w:rPr>
        <w:t>dostupnost služeb, dobu reakce, dobu řešení</w:t>
      </w:r>
    </w:p>
    <w:p w14:paraId="0A94CBA3" w14:textId="77777777" w:rsidR="00AA05E0" w:rsidRDefault="004646BE">
      <w:pPr>
        <w:numPr>
          <w:ilvl w:val="0"/>
          <w:numId w:val="2"/>
        </w:numPr>
        <w:spacing w:before="60" w:after="60"/>
        <w:ind w:left="426" w:hanging="426"/>
        <w:jc w:val="both"/>
        <w:textAlignment w:val="auto"/>
        <w:rPr>
          <w:rFonts w:ascii="Arial" w:hAnsi="Arial"/>
        </w:rPr>
      </w:pPr>
      <w:r>
        <w:rPr>
          <w:rFonts w:ascii="Arial" w:hAnsi="Arial"/>
        </w:rPr>
        <w:t>servisní dobu a období</w:t>
      </w:r>
    </w:p>
    <w:p w14:paraId="0954E756" w14:textId="77777777" w:rsidR="00AA05E0" w:rsidRDefault="004646BE">
      <w:pPr>
        <w:numPr>
          <w:ilvl w:val="0"/>
          <w:numId w:val="2"/>
        </w:numPr>
        <w:spacing w:before="60" w:after="60"/>
        <w:ind w:left="426" w:hanging="426"/>
        <w:jc w:val="both"/>
        <w:textAlignment w:val="auto"/>
        <w:rPr>
          <w:rFonts w:ascii="Arial" w:hAnsi="Arial"/>
        </w:rPr>
      </w:pPr>
      <w:r>
        <w:rPr>
          <w:rFonts w:ascii="Arial" w:hAnsi="Arial"/>
        </w:rPr>
        <w:t>způsob řešení nestandardních situací (režim mimořádné události)</w:t>
      </w:r>
    </w:p>
    <w:p w14:paraId="193B8DC9" w14:textId="77777777" w:rsidR="00AA05E0" w:rsidRDefault="00AA05E0">
      <w:pPr>
        <w:spacing w:before="60" w:after="60"/>
        <w:ind w:left="426"/>
        <w:jc w:val="both"/>
        <w:rPr>
          <w:rFonts w:ascii="Arial" w:hAnsi="Arial"/>
        </w:rPr>
      </w:pPr>
    </w:p>
    <w:p w14:paraId="1CBB0CB2" w14:textId="77777777" w:rsidR="00AA05E0" w:rsidRDefault="004646BE">
      <w:pPr>
        <w:rPr>
          <w:rFonts w:ascii="Arial" w:hAnsi="Arial"/>
        </w:rPr>
      </w:pPr>
      <w:r>
        <w:rPr>
          <w:rFonts w:ascii="Arial" w:hAnsi="Arial"/>
        </w:rPr>
        <w:t xml:space="preserve">Servisní smlouva tvoří spojovací článek mezi poskytovatelem a odběratelem služeb </w:t>
      </w:r>
      <w:proofErr w:type="spellStart"/>
      <w:r>
        <w:rPr>
          <w:rFonts w:ascii="Arial" w:hAnsi="Arial"/>
        </w:rPr>
        <w:t>SmartDESK</w:t>
      </w:r>
      <w:proofErr w:type="spellEnd"/>
      <w:r>
        <w:rPr>
          <w:rFonts w:ascii="Arial" w:hAnsi="Arial"/>
        </w:rPr>
        <w:t>. Jejich jasná definice přináší zaměření činností úseků ICT na klíčové potřeby společnosti a lepší vztahy s uživateli. Kvalita IT služeb může pak být sledována, měřena a tedy i vylepšována.</w:t>
      </w:r>
    </w:p>
    <w:p w14:paraId="4EE2D6BD" w14:textId="77777777" w:rsidR="00AA05E0" w:rsidRDefault="004646BE">
      <w:pPr>
        <w:rPr>
          <w:rFonts w:ascii="Arial" w:hAnsi="Arial"/>
        </w:rPr>
      </w:pPr>
      <w:r>
        <w:rPr>
          <w:rFonts w:ascii="Arial" w:hAnsi="Arial"/>
        </w:rPr>
        <w:t>Podstatné je jasné stanovení odpovědností všech stran při poskytování IT služeb. Pokud je systém nastaven podle předem dohodnutých pravidel, nelze zpochybňovat jeho výstupy. Tím se předchází subjektivním vjemům o „rychlosti a kvalitě“ poskytované služby.</w:t>
      </w:r>
    </w:p>
    <w:p w14:paraId="6F54F4D6" w14:textId="77777777" w:rsidR="00AA05E0" w:rsidRDefault="004646BE">
      <w:pPr>
        <w:pStyle w:val="Nadpis2"/>
        <w:keepLines/>
        <w:numPr>
          <w:ilvl w:val="1"/>
          <w:numId w:val="3"/>
        </w:numPr>
        <w:suppressAutoHyphens/>
        <w:spacing w:before="240" w:after="60" w:line="240" w:lineRule="auto"/>
        <w:rPr>
          <w:rFonts w:cs="Arial"/>
        </w:rPr>
      </w:pPr>
      <w:bookmarkStart w:id="5" w:name="__RefHeading___Toc464739733"/>
      <w:bookmarkEnd w:id="5"/>
      <w:r>
        <w:rPr>
          <w:rFonts w:cs="Arial"/>
        </w:rPr>
        <w:t>Role a Práva</w:t>
      </w:r>
    </w:p>
    <w:p w14:paraId="2941B054" w14:textId="77777777" w:rsidR="00AA05E0" w:rsidRDefault="00AA05E0">
      <w:pPr>
        <w:rPr>
          <w:rFonts w:hint="eastAsia"/>
        </w:rPr>
      </w:pPr>
    </w:p>
    <w:p w14:paraId="58164049" w14:textId="77777777" w:rsidR="00AA05E0" w:rsidRDefault="004646BE">
      <w:pPr>
        <w:rPr>
          <w:rFonts w:ascii="Arial" w:hAnsi="Arial"/>
        </w:rPr>
      </w:pPr>
      <w:r>
        <w:rPr>
          <w:rFonts w:ascii="Arial" w:hAnsi="Arial"/>
        </w:rPr>
        <w:t>Základní práva určují, co smí a nesmí být v aplikaci provedeno např. změnit prioritu, směrovat požadavek apod. Práva jsou podle potřeby sdružována do rolí a ty jsou pak přidělovány skupinám resp. pracovníkům podle požadovaného oprávnění. Každý pracovník může mít více rolí, práva jsou pak stanovena součtem práv všech jeho rolí. Ve standardním nastavení jsou tyto role:</w:t>
      </w:r>
    </w:p>
    <w:p w14:paraId="68AD0C14" w14:textId="77777777" w:rsidR="00AA05E0" w:rsidRDefault="00AA05E0">
      <w:pPr>
        <w:rPr>
          <w:rFonts w:ascii="Arial" w:hAnsi="Arial"/>
        </w:rPr>
      </w:pPr>
    </w:p>
    <w:p w14:paraId="51B55A1E" w14:textId="77777777" w:rsidR="00AA05E0" w:rsidRDefault="004646BE">
      <w:pPr>
        <w:numPr>
          <w:ilvl w:val="0"/>
          <w:numId w:val="2"/>
        </w:numPr>
        <w:spacing w:before="60" w:after="60"/>
        <w:ind w:left="426" w:hanging="426"/>
        <w:jc w:val="both"/>
        <w:textAlignment w:val="auto"/>
        <w:rPr>
          <w:rFonts w:ascii="Arial" w:hAnsi="Arial"/>
        </w:rPr>
      </w:pPr>
      <w:r>
        <w:rPr>
          <w:rFonts w:ascii="Arial" w:hAnsi="Arial"/>
        </w:rPr>
        <w:t>Zadavatel – smí zadávat požadavky</w:t>
      </w:r>
    </w:p>
    <w:p w14:paraId="354F1E98" w14:textId="77777777" w:rsidR="00AA05E0" w:rsidRDefault="004646BE">
      <w:pPr>
        <w:numPr>
          <w:ilvl w:val="0"/>
          <w:numId w:val="2"/>
        </w:numPr>
        <w:spacing w:before="60" w:after="60"/>
        <w:ind w:left="426" w:hanging="426"/>
        <w:jc w:val="both"/>
        <w:textAlignment w:val="auto"/>
        <w:rPr>
          <w:rFonts w:ascii="Arial" w:hAnsi="Arial"/>
        </w:rPr>
      </w:pPr>
      <w:r>
        <w:rPr>
          <w:rFonts w:ascii="Arial" w:hAnsi="Arial"/>
        </w:rPr>
        <w:t xml:space="preserve">Uživatel – smí čerpat přidělené služby </w:t>
      </w:r>
    </w:p>
    <w:p w14:paraId="37558410" w14:textId="77777777" w:rsidR="00AA05E0" w:rsidRDefault="004646BE">
      <w:pPr>
        <w:numPr>
          <w:ilvl w:val="0"/>
          <w:numId w:val="2"/>
        </w:numPr>
        <w:spacing w:before="60" w:after="60"/>
        <w:ind w:left="426" w:hanging="426"/>
        <w:jc w:val="both"/>
        <w:textAlignment w:val="auto"/>
        <w:rPr>
          <w:rFonts w:ascii="Arial" w:hAnsi="Arial"/>
        </w:rPr>
      </w:pPr>
      <w:r>
        <w:rPr>
          <w:rFonts w:ascii="Arial" w:hAnsi="Arial"/>
        </w:rPr>
        <w:t>Operátor – přijímá požadavky na přidělené služby</w:t>
      </w:r>
    </w:p>
    <w:p w14:paraId="66B8214B" w14:textId="77777777" w:rsidR="00AA05E0" w:rsidRDefault="004646BE">
      <w:pPr>
        <w:numPr>
          <w:ilvl w:val="0"/>
          <w:numId w:val="2"/>
        </w:numPr>
        <w:spacing w:before="60" w:after="60"/>
        <w:ind w:left="426" w:hanging="426"/>
        <w:jc w:val="both"/>
        <w:textAlignment w:val="auto"/>
        <w:rPr>
          <w:rFonts w:ascii="Arial" w:hAnsi="Arial"/>
        </w:rPr>
      </w:pPr>
      <w:r>
        <w:rPr>
          <w:rFonts w:ascii="Arial" w:hAnsi="Arial"/>
        </w:rPr>
        <w:t>Řešitel – řeší požadavky v přidělených kategoriích</w:t>
      </w:r>
    </w:p>
    <w:p w14:paraId="40E21F06" w14:textId="77777777" w:rsidR="00AA05E0" w:rsidRDefault="004646BE">
      <w:pPr>
        <w:numPr>
          <w:ilvl w:val="0"/>
          <w:numId w:val="2"/>
        </w:numPr>
        <w:spacing w:before="60" w:after="60"/>
        <w:ind w:left="426" w:hanging="426"/>
        <w:jc w:val="both"/>
        <w:textAlignment w:val="auto"/>
        <w:rPr>
          <w:rFonts w:ascii="Arial" w:hAnsi="Arial"/>
        </w:rPr>
      </w:pPr>
      <w:r>
        <w:rPr>
          <w:rFonts w:ascii="Arial" w:hAnsi="Arial"/>
        </w:rPr>
        <w:t>Specialista – typicky plní úkoly přidělené řešitelem</w:t>
      </w:r>
    </w:p>
    <w:p w14:paraId="3DCD0EC8" w14:textId="77777777" w:rsidR="00AA05E0" w:rsidRDefault="004646BE">
      <w:pPr>
        <w:numPr>
          <w:ilvl w:val="0"/>
          <w:numId w:val="2"/>
        </w:numPr>
        <w:spacing w:before="60" w:after="60"/>
        <w:ind w:left="426" w:hanging="426"/>
        <w:jc w:val="both"/>
        <w:textAlignment w:val="auto"/>
        <w:rPr>
          <w:rFonts w:ascii="Arial" w:hAnsi="Arial"/>
        </w:rPr>
      </w:pPr>
      <w:r>
        <w:rPr>
          <w:rFonts w:ascii="Arial" w:hAnsi="Arial"/>
        </w:rPr>
        <w:t>Manažer – má rozšířený přístup např. ke statistikám</w:t>
      </w:r>
    </w:p>
    <w:p w14:paraId="7EBCF42E" w14:textId="77777777" w:rsidR="00AA05E0" w:rsidRDefault="004646BE">
      <w:pPr>
        <w:spacing w:before="240"/>
        <w:rPr>
          <w:rFonts w:ascii="Arial" w:hAnsi="Arial"/>
        </w:rPr>
      </w:pPr>
      <w:r>
        <w:rPr>
          <w:rFonts w:ascii="Arial" w:hAnsi="Arial"/>
        </w:rPr>
        <w:t>Například vedoucí IT oddělení má všechny role, může tedy zadávat požadavky, je operátorem pro stanovené služby, v určitých je i řešitelem a jako manažer má přístup k reportům za doménu služeb Informatika. Kombinací rolí pak vzniká například Operátor – Řešitel (přijímá požadavky, přiděluje řešitele a sám je také řešitelem). V případě nutnosti lze nastavit zastoupení role jinému uživateli.</w:t>
      </w:r>
    </w:p>
    <w:p w14:paraId="31F08DA3" w14:textId="77777777" w:rsidR="00AA05E0" w:rsidRDefault="004646BE">
      <w:pPr>
        <w:pStyle w:val="Nadpis2"/>
        <w:keepLines/>
        <w:numPr>
          <w:ilvl w:val="1"/>
          <w:numId w:val="3"/>
        </w:numPr>
        <w:suppressAutoHyphens/>
        <w:spacing w:before="240" w:after="60" w:line="240" w:lineRule="auto"/>
        <w:rPr>
          <w:rFonts w:cs="Arial"/>
        </w:rPr>
      </w:pPr>
      <w:bookmarkStart w:id="6" w:name="__RefHeading___Toc464739734"/>
      <w:bookmarkEnd w:id="6"/>
      <w:r>
        <w:rPr>
          <w:rFonts w:cs="Arial"/>
        </w:rPr>
        <w:t>Skupiny a Pracovníci</w:t>
      </w:r>
    </w:p>
    <w:p w14:paraId="747662AE" w14:textId="77777777" w:rsidR="00AA05E0" w:rsidRDefault="00AA05E0">
      <w:pPr>
        <w:rPr>
          <w:rFonts w:hint="eastAsia"/>
        </w:rPr>
      </w:pPr>
    </w:p>
    <w:p w14:paraId="7CB49D73" w14:textId="77777777" w:rsidR="00AA05E0" w:rsidRDefault="004646BE">
      <w:pPr>
        <w:rPr>
          <w:rFonts w:ascii="Arial" w:hAnsi="Arial"/>
        </w:rPr>
      </w:pPr>
      <w:r>
        <w:rPr>
          <w:rFonts w:ascii="Arial" w:hAnsi="Arial"/>
        </w:rPr>
        <w:t xml:space="preserve">Nastavení spočívá v přiřazení pracovníků do skupin, podle obdobně čerpaných služeb. Typicky se jedná o referát s několika referenty, skupinu obchodníků, apod. Výsledkem je vytvoření skupin, do kterých jsou zařazeni příslušní pracovníci. Tabulka zároveň obsahuje lokalitu, přihlašovací údaje a mail pracovníka. </w:t>
      </w:r>
    </w:p>
    <w:p w14:paraId="380948E0" w14:textId="77777777" w:rsidR="00AA05E0" w:rsidRDefault="004646BE">
      <w:pPr>
        <w:pStyle w:val="Nadpis2"/>
        <w:keepLines/>
        <w:numPr>
          <w:ilvl w:val="1"/>
          <w:numId w:val="3"/>
        </w:numPr>
        <w:suppressAutoHyphens/>
        <w:spacing w:before="240" w:after="60" w:line="240" w:lineRule="auto"/>
        <w:rPr>
          <w:rFonts w:cs="Arial"/>
        </w:rPr>
      </w:pPr>
      <w:bookmarkStart w:id="7" w:name="__RefHeading___Toc464739735"/>
      <w:bookmarkEnd w:id="7"/>
      <w:r>
        <w:rPr>
          <w:rFonts w:cs="Arial"/>
        </w:rPr>
        <w:lastRenderedPageBreak/>
        <w:t>Služby a Kategorie</w:t>
      </w:r>
    </w:p>
    <w:p w14:paraId="573D9C34" w14:textId="77777777" w:rsidR="00AA05E0" w:rsidRDefault="00AA05E0">
      <w:pPr>
        <w:rPr>
          <w:rFonts w:hint="eastAsia"/>
        </w:rPr>
      </w:pPr>
    </w:p>
    <w:p w14:paraId="719E6721" w14:textId="77777777" w:rsidR="00AA05E0" w:rsidRDefault="004646BE">
      <w:pPr>
        <w:rPr>
          <w:rFonts w:ascii="Arial" w:hAnsi="Arial"/>
        </w:rPr>
      </w:pPr>
      <w:r>
        <w:rPr>
          <w:rFonts w:ascii="Arial" w:hAnsi="Arial"/>
        </w:rPr>
        <w:t>Součástí oblasti je definice Typu požadavku. Slouží k rozlišení požadavku, zda šlo o nefunkční službu (Incident) nebo o neznalost uživatele (Servis). Dále je možné požadavky dělit na Událost (mezní stavy IS), Žádost (nový požadavek), apod.</w:t>
      </w:r>
    </w:p>
    <w:p w14:paraId="64E760EF" w14:textId="77777777" w:rsidR="00AA05E0" w:rsidRDefault="00AA05E0">
      <w:pPr>
        <w:rPr>
          <w:rFonts w:ascii="Arial" w:hAnsi="Arial"/>
        </w:rPr>
      </w:pPr>
    </w:p>
    <w:p w14:paraId="1B7EAC15" w14:textId="77777777" w:rsidR="00AA05E0" w:rsidRDefault="00AA05E0">
      <w:pPr>
        <w:rPr>
          <w:rFonts w:ascii="Arial" w:hAnsi="Arial"/>
        </w:rPr>
      </w:pPr>
    </w:p>
    <w:p w14:paraId="659C73C0" w14:textId="77777777" w:rsidR="00AA05E0" w:rsidRDefault="00AA05E0">
      <w:pPr>
        <w:rPr>
          <w:rFonts w:ascii="Arial" w:hAnsi="Arial"/>
        </w:rPr>
      </w:pPr>
    </w:p>
    <w:p w14:paraId="3E116996" w14:textId="77777777" w:rsidR="00AA05E0" w:rsidRDefault="004646BE">
      <w:pPr>
        <w:rPr>
          <w:rFonts w:ascii="Arial" w:hAnsi="Arial"/>
        </w:rPr>
      </w:pPr>
      <w:r>
        <w:rPr>
          <w:rFonts w:ascii="Arial" w:hAnsi="Arial"/>
        </w:rPr>
        <w:t>Dále se v této oblasti definují Služby, které budou uživatelům poskytovány a jejich dekompozice na Kategorie. Služba je definována jako ucelený soubor funkcí informačního systému, který uživatel využívá a je schopen rozlišit. Kategorie jsou prvky zajišťující chod služby, případně jsou řešeny různými řešiteli.</w:t>
      </w:r>
    </w:p>
    <w:p w14:paraId="3D0C7B5B" w14:textId="77777777" w:rsidR="00AA05E0" w:rsidRDefault="004646BE">
      <w:pPr>
        <w:rPr>
          <w:rFonts w:ascii="Arial" w:hAnsi="Arial"/>
        </w:rPr>
      </w:pPr>
      <w:r>
        <w:rPr>
          <w:rFonts w:ascii="Arial" w:hAnsi="Arial"/>
        </w:rPr>
        <w:t>Jednotlivým kategoriím jsou přiřazeny role a skupiny. Tím je definováno, který pracovník bude pro danou službu mít roli Manažer, Operátor nebo Řešitel.</w:t>
      </w:r>
    </w:p>
    <w:p w14:paraId="22E52010" w14:textId="77777777" w:rsidR="00AA05E0" w:rsidRDefault="004646BE">
      <w:pPr>
        <w:pStyle w:val="Nadpis2"/>
        <w:keepLines/>
        <w:numPr>
          <w:ilvl w:val="1"/>
          <w:numId w:val="3"/>
        </w:numPr>
        <w:suppressAutoHyphens/>
        <w:spacing w:before="240" w:after="60" w:line="240" w:lineRule="auto"/>
        <w:rPr>
          <w:rFonts w:cs="Arial"/>
        </w:rPr>
      </w:pPr>
      <w:bookmarkStart w:id="8" w:name="__RefHeading___Toc464739736"/>
      <w:bookmarkEnd w:id="8"/>
      <w:r>
        <w:rPr>
          <w:rFonts w:cs="Arial"/>
        </w:rPr>
        <w:t>Procesy a Stavy</w:t>
      </w:r>
    </w:p>
    <w:p w14:paraId="4B0BBCA9" w14:textId="77777777" w:rsidR="00AA05E0" w:rsidRDefault="00AA05E0">
      <w:pPr>
        <w:rPr>
          <w:rFonts w:hint="eastAsia"/>
        </w:rPr>
      </w:pPr>
    </w:p>
    <w:p w14:paraId="1C5177BD" w14:textId="77777777" w:rsidR="00AA05E0" w:rsidRDefault="004646BE">
      <w:pPr>
        <w:rPr>
          <w:rFonts w:ascii="Arial" w:hAnsi="Arial"/>
        </w:rPr>
      </w:pPr>
      <w:r>
        <w:rPr>
          <w:rFonts w:ascii="Arial" w:hAnsi="Arial"/>
        </w:rPr>
        <w:t>Procesy se skládají z posloupnosti Stavů požadavku při jeho řešení a definují tak jeho tok. Každému stavu je přiřazena Role, která má oprávnění s požadavkem v daném stavu pracovat.</w:t>
      </w:r>
    </w:p>
    <w:p w14:paraId="7C6B470D" w14:textId="77777777" w:rsidR="00AA05E0" w:rsidRDefault="00AA05E0">
      <w:pPr>
        <w:rPr>
          <w:rFonts w:ascii="Arial" w:hAnsi="Arial"/>
        </w:rPr>
      </w:pPr>
    </w:p>
    <w:p w14:paraId="3A91C32C" w14:textId="77777777" w:rsidR="00AA05E0" w:rsidRDefault="004646BE">
      <w:pPr>
        <w:rPr>
          <w:rFonts w:cs="Calibri" w:hint="eastAsia"/>
          <w:lang w:eastAsia="cs-CZ"/>
        </w:rPr>
      </w:pPr>
      <w:r>
        <w:rPr>
          <w:noProof/>
          <w:lang w:eastAsia="cs-CZ" w:bidi="ar-SA"/>
        </w:rPr>
        <w:drawing>
          <wp:inline distT="0" distB="0" distL="0" distR="0" wp14:anchorId="2F79EEFF" wp14:editId="73D26A99">
            <wp:extent cx="4621530" cy="324040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8"/>
                    <a:stretch>
                      <a:fillRect/>
                    </a:stretch>
                  </pic:blipFill>
                  <pic:spPr bwMode="auto">
                    <a:xfrm>
                      <a:off x="0" y="0"/>
                      <a:ext cx="4621530" cy="3240405"/>
                    </a:xfrm>
                    <a:prstGeom prst="rect">
                      <a:avLst/>
                    </a:prstGeom>
                  </pic:spPr>
                </pic:pic>
              </a:graphicData>
            </a:graphic>
          </wp:inline>
        </w:drawing>
      </w:r>
    </w:p>
    <w:p w14:paraId="04F935CC" w14:textId="77777777" w:rsidR="00AA05E0" w:rsidRDefault="00AA05E0">
      <w:pPr>
        <w:rPr>
          <w:rFonts w:cs="Calibri" w:hint="eastAsia"/>
        </w:rPr>
      </w:pPr>
    </w:p>
    <w:p w14:paraId="6791792C" w14:textId="77777777" w:rsidR="00AA05E0" w:rsidRDefault="004646BE">
      <w:pPr>
        <w:rPr>
          <w:rFonts w:ascii="Arial" w:hAnsi="Arial"/>
        </w:rPr>
      </w:pPr>
      <w:r>
        <w:rPr>
          <w:rFonts w:ascii="Arial" w:hAnsi="Arial"/>
        </w:rPr>
        <w:t xml:space="preserve">Standardní proces tedy obsahuje pět stavů, šipky znamenají směr změny, případně provedení akce ve stejném stavu, </w:t>
      </w:r>
      <w:proofErr w:type="gramStart"/>
      <w:r>
        <w:rPr>
          <w:rFonts w:ascii="Arial" w:hAnsi="Arial"/>
        </w:rPr>
        <w:t>písmena Z, U, Ř, O jsou</w:t>
      </w:r>
      <w:proofErr w:type="gramEnd"/>
      <w:r>
        <w:rPr>
          <w:rFonts w:ascii="Arial" w:hAnsi="Arial"/>
        </w:rPr>
        <w:t xml:space="preserve"> zkratky oprávněných rolí. Interpretace Stavů ve standardním nastavení:</w:t>
      </w:r>
    </w:p>
    <w:p w14:paraId="52E27150" w14:textId="77777777" w:rsidR="00AA05E0" w:rsidRDefault="004646BE">
      <w:pPr>
        <w:numPr>
          <w:ilvl w:val="0"/>
          <w:numId w:val="2"/>
        </w:numPr>
        <w:spacing w:before="60" w:after="60"/>
        <w:ind w:left="426" w:hanging="426"/>
        <w:jc w:val="both"/>
        <w:textAlignment w:val="auto"/>
        <w:rPr>
          <w:rFonts w:ascii="Arial" w:hAnsi="Arial"/>
        </w:rPr>
      </w:pPr>
      <w:r>
        <w:rPr>
          <w:rFonts w:ascii="Arial" w:hAnsi="Arial"/>
        </w:rPr>
        <w:t>Zadáno: Nový požadavek je zadán, Operátor i Zadavatel mohou upřesňovat požadavek</w:t>
      </w:r>
    </w:p>
    <w:p w14:paraId="5421EC38" w14:textId="77777777" w:rsidR="00AA05E0" w:rsidRDefault="004646BE">
      <w:pPr>
        <w:numPr>
          <w:ilvl w:val="0"/>
          <w:numId w:val="2"/>
        </w:numPr>
        <w:spacing w:before="60" w:after="60"/>
        <w:ind w:left="426" w:hanging="426"/>
        <w:jc w:val="both"/>
        <w:textAlignment w:val="auto"/>
        <w:rPr>
          <w:rFonts w:ascii="Arial" w:hAnsi="Arial"/>
        </w:rPr>
      </w:pPr>
      <w:r>
        <w:rPr>
          <w:rFonts w:ascii="Arial" w:hAnsi="Arial"/>
        </w:rPr>
        <w:t>Přijato: Přijímá Operátor, upřesňuje požadavek, vyřeší nebo přidělí Řešiteli</w:t>
      </w:r>
    </w:p>
    <w:p w14:paraId="346FF83C" w14:textId="77777777" w:rsidR="00AA05E0" w:rsidRDefault="004646BE">
      <w:pPr>
        <w:numPr>
          <w:ilvl w:val="0"/>
          <w:numId w:val="2"/>
        </w:numPr>
        <w:spacing w:before="60" w:after="60"/>
        <w:ind w:left="426" w:hanging="426"/>
        <w:jc w:val="both"/>
        <w:textAlignment w:val="auto"/>
        <w:rPr>
          <w:rFonts w:ascii="Arial" w:hAnsi="Arial"/>
        </w:rPr>
      </w:pPr>
      <w:r>
        <w:rPr>
          <w:rFonts w:ascii="Arial" w:hAnsi="Arial"/>
        </w:rPr>
        <w:t>Přiděleno: Přiděluje Operátor, Řešitel upřesňuje, vyřeší nebo vrátí Operátorovi</w:t>
      </w:r>
    </w:p>
    <w:p w14:paraId="4692F21C" w14:textId="77777777" w:rsidR="00AA05E0" w:rsidRDefault="004646BE">
      <w:pPr>
        <w:numPr>
          <w:ilvl w:val="0"/>
          <w:numId w:val="2"/>
        </w:numPr>
        <w:spacing w:before="60" w:after="60"/>
        <w:ind w:left="426" w:hanging="426"/>
        <w:jc w:val="both"/>
        <w:textAlignment w:val="auto"/>
        <w:rPr>
          <w:rFonts w:ascii="Arial" w:hAnsi="Arial"/>
        </w:rPr>
      </w:pPr>
      <w:r>
        <w:rPr>
          <w:rFonts w:ascii="Arial" w:hAnsi="Arial"/>
        </w:rPr>
        <w:t>Vyřešeno: Požadavek je vyřešen</w:t>
      </w:r>
    </w:p>
    <w:p w14:paraId="0E5EED9F" w14:textId="77777777" w:rsidR="00AA05E0" w:rsidRDefault="004646BE">
      <w:pPr>
        <w:numPr>
          <w:ilvl w:val="0"/>
          <w:numId w:val="2"/>
        </w:numPr>
        <w:spacing w:before="60" w:after="60"/>
        <w:ind w:left="426" w:hanging="426"/>
        <w:jc w:val="both"/>
        <w:textAlignment w:val="auto"/>
        <w:rPr>
          <w:rFonts w:ascii="Arial" w:hAnsi="Arial"/>
        </w:rPr>
      </w:pPr>
      <w:r>
        <w:rPr>
          <w:rFonts w:ascii="Arial" w:hAnsi="Arial"/>
        </w:rPr>
        <w:t>Zrušeno: Požadavek je zrušen před zahájením řešení</w:t>
      </w:r>
    </w:p>
    <w:p w14:paraId="6ACEB13E" w14:textId="77777777" w:rsidR="00AA05E0" w:rsidRDefault="00AA05E0">
      <w:pPr>
        <w:spacing w:before="60" w:after="60"/>
        <w:ind w:left="426"/>
        <w:jc w:val="both"/>
        <w:textAlignment w:val="auto"/>
        <w:rPr>
          <w:rFonts w:ascii="Arial" w:hAnsi="Arial"/>
        </w:rPr>
      </w:pPr>
    </w:p>
    <w:p w14:paraId="1672987A" w14:textId="77777777" w:rsidR="00AA05E0" w:rsidRDefault="004646BE">
      <w:pPr>
        <w:pStyle w:val="Nadpis2"/>
        <w:keepLines/>
        <w:numPr>
          <w:ilvl w:val="1"/>
          <w:numId w:val="3"/>
        </w:numPr>
        <w:suppressAutoHyphens/>
        <w:spacing w:before="240" w:after="60" w:line="240" w:lineRule="auto"/>
        <w:rPr>
          <w:rFonts w:cs="Arial"/>
        </w:rPr>
      </w:pPr>
      <w:bookmarkStart w:id="9" w:name="__RefHeading___Toc464739737"/>
      <w:bookmarkEnd w:id="9"/>
      <w:r>
        <w:rPr>
          <w:rFonts w:cs="Arial"/>
        </w:rPr>
        <w:lastRenderedPageBreak/>
        <w:t>Priority a Doby</w:t>
      </w:r>
    </w:p>
    <w:p w14:paraId="45504B06" w14:textId="77777777" w:rsidR="00AA05E0" w:rsidRDefault="00AA05E0">
      <w:pPr>
        <w:rPr>
          <w:rFonts w:hint="eastAsia"/>
        </w:rPr>
      </w:pPr>
    </w:p>
    <w:p w14:paraId="345B02B1" w14:textId="77777777" w:rsidR="00AA05E0" w:rsidRDefault="004646BE">
      <w:pPr>
        <w:rPr>
          <w:rFonts w:ascii="Arial" w:hAnsi="Arial"/>
        </w:rPr>
      </w:pPr>
      <w:r>
        <w:rPr>
          <w:rFonts w:ascii="Arial" w:hAnsi="Arial"/>
        </w:rPr>
        <w:t>Pro každou službu a prioritu je stanoven způsob podpory včetně doby reakce (do kdy se musí někdo problémem začít zabývat) a doby řešení (do kdy musí být požadavek vyřešen). Ve standardním nastavení jsou pro všechny kategorie použity stejné priority se stejnými dobami reakce a řešení.</w:t>
      </w:r>
    </w:p>
    <w:p w14:paraId="22830E27" w14:textId="77777777" w:rsidR="00AA05E0" w:rsidRDefault="00AA05E0">
      <w:pPr>
        <w:pStyle w:val="Nadpis2"/>
        <w:keepLines/>
        <w:suppressAutoHyphens/>
        <w:spacing w:before="240" w:after="60" w:line="240" w:lineRule="auto"/>
        <w:ind w:left="851"/>
        <w:rPr>
          <w:rFonts w:cs="Arial"/>
        </w:rPr>
      </w:pPr>
      <w:bookmarkStart w:id="10" w:name="__RefHeading___Toc464739738"/>
      <w:bookmarkEnd w:id="10"/>
    </w:p>
    <w:p w14:paraId="18C2BD72" w14:textId="77777777" w:rsidR="00AA05E0" w:rsidRDefault="004646BE">
      <w:pPr>
        <w:pStyle w:val="Nadpis2"/>
        <w:keepLines/>
        <w:numPr>
          <w:ilvl w:val="1"/>
          <w:numId w:val="3"/>
        </w:numPr>
        <w:tabs>
          <w:tab w:val="left" w:pos="0"/>
        </w:tabs>
        <w:suppressAutoHyphens/>
        <w:spacing w:before="240" w:after="60" w:line="240" w:lineRule="auto"/>
        <w:ind w:left="851" w:hanging="491"/>
        <w:rPr>
          <w:rFonts w:cs="Arial"/>
        </w:rPr>
      </w:pPr>
      <w:r>
        <w:rPr>
          <w:rFonts w:cs="Arial"/>
        </w:rPr>
        <w:t>Podmínky a Akce</w:t>
      </w:r>
    </w:p>
    <w:p w14:paraId="01EA78A3" w14:textId="77777777" w:rsidR="00AA05E0" w:rsidRDefault="00AA05E0">
      <w:pPr>
        <w:rPr>
          <w:rFonts w:hint="eastAsia"/>
        </w:rPr>
      </w:pPr>
    </w:p>
    <w:p w14:paraId="1B22BDDD" w14:textId="77777777" w:rsidR="00AA05E0" w:rsidRDefault="004646BE">
      <w:pPr>
        <w:rPr>
          <w:rFonts w:ascii="Arial" w:hAnsi="Arial"/>
        </w:rPr>
      </w:pPr>
      <w:r>
        <w:rPr>
          <w:rFonts w:ascii="Arial" w:hAnsi="Arial"/>
        </w:rPr>
        <w:t>Podmínky určují, zda změna stavu bude provedena. Typicky se používá pro kontrolu vyplnění všech povinných polí, přidělení řešitele apod. Pokud jsou podmínky splněny, mohou být spuštěny předdefinované Akce, typicky odeslání upozorňovacího mailu na definované role.</w:t>
      </w:r>
    </w:p>
    <w:p w14:paraId="1EDA870E" w14:textId="77777777" w:rsidR="00AA05E0" w:rsidRDefault="004646BE">
      <w:pPr>
        <w:pStyle w:val="Nadpis2"/>
        <w:keepLines/>
        <w:numPr>
          <w:ilvl w:val="1"/>
          <w:numId w:val="3"/>
        </w:numPr>
        <w:tabs>
          <w:tab w:val="left" w:pos="0"/>
        </w:tabs>
        <w:suppressAutoHyphens/>
        <w:spacing w:before="240" w:after="60" w:line="240" w:lineRule="auto"/>
        <w:ind w:left="851" w:hanging="491"/>
        <w:rPr>
          <w:rFonts w:cs="Arial"/>
        </w:rPr>
      </w:pPr>
      <w:bookmarkStart w:id="11" w:name="__RefHeading___Toc464739739"/>
      <w:bookmarkEnd w:id="11"/>
      <w:r>
        <w:rPr>
          <w:rFonts w:cs="Arial"/>
        </w:rPr>
        <w:t>Struktura emailu</w:t>
      </w:r>
    </w:p>
    <w:p w14:paraId="407BDE4E" w14:textId="77777777" w:rsidR="00AA05E0" w:rsidRDefault="00AA05E0">
      <w:pPr>
        <w:rPr>
          <w:rFonts w:hint="eastAsia"/>
        </w:rPr>
      </w:pPr>
    </w:p>
    <w:p w14:paraId="6B0C3558" w14:textId="77777777" w:rsidR="00AA05E0" w:rsidRDefault="004646BE">
      <w:pPr>
        <w:rPr>
          <w:rFonts w:ascii="Arial" w:hAnsi="Arial"/>
        </w:rPr>
      </w:pPr>
      <w:r>
        <w:rPr>
          <w:rFonts w:ascii="Arial" w:hAnsi="Arial"/>
        </w:rPr>
        <w:t xml:space="preserve">Jako všechny oblasti i upozorňovací maily jsou plně konfigurovatelné. Ve standardním nastavení jsou použity čtyři typy formulářů, v závorce jsou uvedené kódy mailů, které jsou posílány na základě provedené akce: </w:t>
      </w:r>
    </w:p>
    <w:p w14:paraId="4E675718" w14:textId="77777777" w:rsidR="00AA05E0" w:rsidRDefault="004646BE">
      <w:pPr>
        <w:numPr>
          <w:ilvl w:val="0"/>
          <w:numId w:val="2"/>
        </w:numPr>
        <w:spacing w:before="60" w:after="60"/>
        <w:ind w:left="426" w:hanging="426"/>
        <w:jc w:val="both"/>
        <w:textAlignment w:val="auto"/>
        <w:rPr>
          <w:rFonts w:ascii="Arial" w:hAnsi="Arial"/>
        </w:rPr>
      </w:pPr>
      <w:r>
        <w:rPr>
          <w:rFonts w:ascii="Arial" w:hAnsi="Arial"/>
        </w:rPr>
        <w:t>Zadání nového požadavku (Nový)</w:t>
      </w:r>
    </w:p>
    <w:p w14:paraId="6D8523BC" w14:textId="77777777" w:rsidR="00AA05E0" w:rsidRDefault="004646BE">
      <w:pPr>
        <w:numPr>
          <w:ilvl w:val="0"/>
          <w:numId w:val="2"/>
        </w:numPr>
        <w:spacing w:before="60" w:after="60"/>
        <w:ind w:left="426" w:hanging="426"/>
        <w:jc w:val="both"/>
        <w:textAlignment w:val="auto"/>
        <w:rPr>
          <w:rFonts w:ascii="Arial" w:hAnsi="Arial"/>
        </w:rPr>
      </w:pPr>
      <w:r>
        <w:rPr>
          <w:rFonts w:ascii="Arial" w:hAnsi="Arial"/>
        </w:rPr>
        <w:t>Změna stavu požadavku (Změna)</w:t>
      </w:r>
    </w:p>
    <w:p w14:paraId="27B8D258" w14:textId="77777777" w:rsidR="00AA05E0" w:rsidRDefault="004646BE">
      <w:pPr>
        <w:numPr>
          <w:ilvl w:val="0"/>
          <w:numId w:val="2"/>
        </w:numPr>
        <w:spacing w:before="60" w:after="60"/>
        <w:ind w:left="426" w:hanging="426"/>
        <w:jc w:val="both"/>
        <w:textAlignment w:val="auto"/>
        <w:rPr>
          <w:rFonts w:ascii="Arial" w:hAnsi="Arial"/>
        </w:rPr>
      </w:pPr>
      <w:r>
        <w:rPr>
          <w:rFonts w:ascii="Arial" w:hAnsi="Arial"/>
        </w:rPr>
        <w:t>Doplnění informací k řešení požadavku (Informace)</w:t>
      </w:r>
    </w:p>
    <w:p w14:paraId="786A34EF" w14:textId="77777777" w:rsidR="00AA05E0" w:rsidRDefault="004646BE">
      <w:pPr>
        <w:numPr>
          <w:ilvl w:val="0"/>
          <w:numId w:val="2"/>
        </w:numPr>
        <w:spacing w:before="60" w:after="60"/>
        <w:ind w:left="426" w:hanging="426"/>
        <w:jc w:val="both"/>
        <w:textAlignment w:val="auto"/>
        <w:rPr>
          <w:rFonts w:ascii="Arial" w:hAnsi="Arial"/>
        </w:rPr>
      </w:pPr>
      <w:r>
        <w:rPr>
          <w:rFonts w:ascii="Arial" w:hAnsi="Arial"/>
        </w:rPr>
        <w:t>Vyřešení požadavku (Řešení)</w:t>
      </w:r>
    </w:p>
    <w:p w14:paraId="1D7DB328" w14:textId="77777777" w:rsidR="00AA05E0" w:rsidRDefault="004646BE">
      <w:pPr>
        <w:pStyle w:val="Nadpis2"/>
        <w:keepLines/>
        <w:numPr>
          <w:ilvl w:val="1"/>
          <w:numId w:val="3"/>
        </w:numPr>
        <w:suppressAutoHyphens/>
        <w:spacing w:before="240" w:after="60" w:line="240" w:lineRule="auto"/>
        <w:ind w:left="851" w:hanging="491"/>
        <w:rPr>
          <w:rFonts w:cs="Arial"/>
        </w:rPr>
      </w:pPr>
      <w:bookmarkStart w:id="12" w:name="__RefHeading___Toc464739740"/>
      <w:bookmarkEnd w:id="12"/>
      <w:r>
        <w:rPr>
          <w:rFonts w:cs="Arial"/>
        </w:rPr>
        <w:t>Reporting a statistiky</w:t>
      </w:r>
    </w:p>
    <w:p w14:paraId="7A4EC298" w14:textId="77777777" w:rsidR="00AA05E0" w:rsidRDefault="00AA05E0">
      <w:pPr>
        <w:rPr>
          <w:rFonts w:hint="eastAsia"/>
        </w:rPr>
      </w:pPr>
    </w:p>
    <w:p w14:paraId="3A8C42D8" w14:textId="77777777" w:rsidR="00AA05E0" w:rsidRDefault="004646BE">
      <w:pPr>
        <w:rPr>
          <w:rFonts w:ascii="Arial" w:hAnsi="Arial"/>
        </w:rPr>
      </w:pPr>
      <w:r>
        <w:rPr>
          <w:rFonts w:ascii="Arial" w:hAnsi="Arial"/>
        </w:rPr>
        <w:t>V této oblasti přidaná hodnota spočívá hlavně ve využívání systému reportů a statistik, které dávají aktuální a pravdivý obraz o zdrojích incidentů, problémů, jejich zadavatelích, řešitelích a pracnosti na jejich odstranění.</w:t>
      </w:r>
    </w:p>
    <w:p w14:paraId="31ED3B9A" w14:textId="77777777" w:rsidR="00AA05E0" w:rsidRDefault="004646BE">
      <w:pPr>
        <w:rPr>
          <w:rFonts w:ascii="Arial" w:hAnsi="Arial"/>
        </w:rPr>
      </w:pPr>
      <w:r>
        <w:rPr>
          <w:rFonts w:ascii="Arial" w:hAnsi="Arial"/>
        </w:rPr>
        <w:t>Výstupem je pak podklad pro kvalifikované rozhodnutí o tom, zda jsou způsobeny nesprávnou funkcí či kapacitou informačního systému nebo se jedná o nedostatečné znalosti uživatelů nebo řešitelů. Nastavení reportů umožní přiřadit záznamy prvkům informačního systému a uživatelům sdruženým do skupin podle organizačních jednotek.</w:t>
      </w:r>
    </w:p>
    <w:p w14:paraId="75144255" w14:textId="77777777" w:rsidR="00AA05E0" w:rsidRDefault="00AA05E0">
      <w:pPr>
        <w:rPr>
          <w:rFonts w:ascii="Arial" w:hAnsi="Arial"/>
        </w:rPr>
      </w:pPr>
    </w:p>
    <w:p w14:paraId="2541AA58" w14:textId="77777777" w:rsidR="00AA05E0" w:rsidRDefault="004646BE">
      <w:pPr>
        <w:rPr>
          <w:rFonts w:ascii="Arial" w:hAnsi="Arial"/>
        </w:rPr>
      </w:pPr>
      <w:r>
        <w:rPr>
          <w:rFonts w:ascii="Arial" w:hAnsi="Arial"/>
        </w:rPr>
        <w:t xml:space="preserve">Lze pak stanovit, kdo a jakým způsobem vytěžuje řešitele a navrhnout opatření. V důsledku to přinese uvolnění pracovního času řešitelů, který je nyní potřebný na řešení opakovaných incidentů. Uvolněný čas lze použít pro plnění jiných úkolů případně uspoření pracovní síly. Reporty umožňují manažerovi </w:t>
      </w:r>
      <w:proofErr w:type="spellStart"/>
      <w:r>
        <w:rPr>
          <w:rFonts w:ascii="Arial" w:hAnsi="Arial"/>
        </w:rPr>
        <w:t>SmartDESKu</w:t>
      </w:r>
      <w:proofErr w:type="spellEnd"/>
      <w:r>
        <w:rPr>
          <w:rFonts w:ascii="Arial" w:hAnsi="Arial"/>
        </w:rPr>
        <w:t xml:space="preserve"> každodenní operativní řízení s výhledem na blízkou budoucnost.</w:t>
      </w:r>
    </w:p>
    <w:p w14:paraId="6330C85C" w14:textId="77777777" w:rsidR="00AA05E0" w:rsidRDefault="00AA05E0">
      <w:pPr>
        <w:rPr>
          <w:rFonts w:ascii="Arial" w:hAnsi="Arial"/>
        </w:rPr>
      </w:pPr>
    </w:p>
    <w:p w14:paraId="61835BD1" w14:textId="77777777" w:rsidR="00AA05E0" w:rsidRDefault="004646BE">
      <w:pPr>
        <w:rPr>
          <w:rFonts w:hint="eastAsia"/>
          <w:sz w:val="22"/>
          <w:szCs w:val="22"/>
        </w:rPr>
      </w:pPr>
      <w:r>
        <w:br w:type="page"/>
      </w:r>
    </w:p>
    <w:p w14:paraId="07665E6F" w14:textId="77777777" w:rsidR="00AA05E0" w:rsidRDefault="004646BE">
      <w:pPr>
        <w:pStyle w:val="Nadpis1"/>
      </w:pPr>
      <w:r>
        <w:lastRenderedPageBreak/>
        <w:t>Příloha č. 2: Cenová struktura</w:t>
      </w:r>
    </w:p>
    <w:p w14:paraId="7D418550" w14:textId="77777777" w:rsidR="00AA05E0" w:rsidRDefault="00AA05E0">
      <w:pPr>
        <w:rPr>
          <w:rFonts w:hint="eastAsia"/>
          <w:sz w:val="22"/>
          <w:szCs w:val="22"/>
        </w:rPr>
      </w:pPr>
    </w:p>
    <w:tbl>
      <w:tblPr>
        <w:tblW w:w="9091" w:type="dxa"/>
        <w:tblInd w:w="60" w:type="dxa"/>
        <w:tblBorders>
          <w:top w:val="single" w:sz="8" w:space="0" w:color="000001"/>
          <w:left w:val="single" w:sz="8" w:space="0" w:color="000001"/>
          <w:bottom w:val="single" w:sz="8" w:space="0" w:color="000001"/>
          <w:insideH w:val="single" w:sz="8" w:space="0" w:color="000001"/>
        </w:tblBorders>
        <w:tblCellMar>
          <w:left w:w="50" w:type="dxa"/>
          <w:right w:w="70" w:type="dxa"/>
        </w:tblCellMar>
        <w:tblLook w:val="0000" w:firstRow="0" w:lastRow="0" w:firstColumn="0" w:lastColumn="0" w:noHBand="0" w:noVBand="0"/>
      </w:tblPr>
      <w:tblGrid>
        <w:gridCol w:w="3400"/>
        <w:gridCol w:w="1417"/>
        <w:gridCol w:w="1418"/>
        <w:gridCol w:w="1416"/>
        <w:gridCol w:w="1440"/>
      </w:tblGrid>
      <w:tr w:rsidR="00AA05E0" w14:paraId="5F3BDA40" w14:textId="77777777">
        <w:trPr>
          <w:trHeight w:val="450"/>
        </w:trPr>
        <w:tc>
          <w:tcPr>
            <w:tcW w:w="3400" w:type="dxa"/>
            <w:tcBorders>
              <w:top w:val="single" w:sz="8" w:space="0" w:color="000001"/>
              <w:left w:val="single" w:sz="8" w:space="0" w:color="000001"/>
              <w:bottom w:val="single" w:sz="8" w:space="0" w:color="000001"/>
            </w:tcBorders>
            <w:shd w:val="clear" w:color="auto" w:fill="948A54"/>
            <w:tcMar>
              <w:left w:w="50" w:type="dxa"/>
            </w:tcMar>
            <w:vAlign w:val="center"/>
          </w:tcPr>
          <w:p w14:paraId="55A448B8" w14:textId="77777777" w:rsidR="00AA05E0" w:rsidRDefault="004646BE">
            <w:pPr>
              <w:rPr>
                <w:rFonts w:hint="eastAsia"/>
              </w:rPr>
            </w:pPr>
            <w:r>
              <w:rPr>
                <w:rFonts w:cs="Calibri"/>
                <w:b/>
                <w:bCs/>
                <w:color w:val="FFFFFF"/>
                <w:sz w:val="18"/>
                <w:szCs w:val="18"/>
              </w:rPr>
              <w:t>Oblast / činnost</w:t>
            </w:r>
          </w:p>
        </w:tc>
        <w:tc>
          <w:tcPr>
            <w:tcW w:w="1417" w:type="dxa"/>
            <w:tcBorders>
              <w:top w:val="single" w:sz="8" w:space="0" w:color="000001"/>
              <w:left w:val="single" w:sz="8" w:space="0" w:color="000001"/>
              <w:bottom w:val="single" w:sz="8" w:space="0" w:color="000001"/>
            </w:tcBorders>
            <w:shd w:val="clear" w:color="auto" w:fill="948A54"/>
            <w:tcMar>
              <w:left w:w="50" w:type="dxa"/>
            </w:tcMar>
            <w:vAlign w:val="center"/>
          </w:tcPr>
          <w:p w14:paraId="1A86A206" w14:textId="77777777" w:rsidR="00AA05E0" w:rsidRDefault="004646BE">
            <w:pPr>
              <w:jc w:val="right"/>
              <w:rPr>
                <w:rFonts w:hint="eastAsia"/>
              </w:rPr>
            </w:pPr>
            <w:r>
              <w:rPr>
                <w:rFonts w:cs="Calibri"/>
                <w:color w:val="FFFFFF"/>
                <w:sz w:val="18"/>
                <w:szCs w:val="18"/>
              </w:rPr>
              <w:t> </w:t>
            </w:r>
          </w:p>
        </w:tc>
        <w:tc>
          <w:tcPr>
            <w:tcW w:w="1418" w:type="dxa"/>
            <w:tcBorders>
              <w:top w:val="single" w:sz="8" w:space="0" w:color="000001"/>
              <w:left w:val="single" w:sz="8" w:space="0" w:color="000001"/>
              <w:bottom w:val="single" w:sz="8" w:space="0" w:color="000001"/>
            </w:tcBorders>
            <w:shd w:val="clear" w:color="auto" w:fill="948A54"/>
            <w:tcMar>
              <w:left w:w="50" w:type="dxa"/>
            </w:tcMar>
            <w:vAlign w:val="center"/>
          </w:tcPr>
          <w:p w14:paraId="3A02783A" w14:textId="77777777" w:rsidR="00AA05E0" w:rsidRDefault="004646BE">
            <w:pPr>
              <w:jc w:val="right"/>
              <w:rPr>
                <w:rFonts w:hint="eastAsia"/>
              </w:rPr>
            </w:pPr>
            <w:r>
              <w:rPr>
                <w:rFonts w:cs="Calibri"/>
                <w:color w:val="FFFFFF"/>
                <w:sz w:val="18"/>
                <w:szCs w:val="18"/>
              </w:rPr>
              <w:t> </w:t>
            </w:r>
          </w:p>
        </w:tc>
        <w:tc>
          <w:tcPr>
            <w:tcW w:w="1416" w:type="dxa"/>
            <w:tcBorders>
              <w:top w:val="single" w:sz="8" w:space="0" w:color="000001"/>
              <w:left w:val="single" w:sz="8" w:space="0" w:color="000001"/>
              <w:bottom w:val="single" w:sz="8" w:space="0" w:color="000001"/>
            </w:tcBorders>
            <w:shd w:val="clear" w:color="auto" w:fill="948A54"/>
            <w:tcMar>
              <w:left w:w="50" w:type="dxa"/>
            </w:tcMar>
            <w:vAlign w:val="center"/>
          </w:tcPr>
          <w:p w14:paraId="0BCB1DD1" w14:textId="77777777" w:rsidR="00AA05E0" w:rsidRDefault="004646BE">
            <w:pPr>
              <w:jc w:val="right"/>
              <w:rPr>
                <w:rFonts w:hint="eastAsia"/>
              </w:rPr>
            </w:pPr>
            <w:r>
              <w:rPr>
                <w:rFonts w:cs="Calibri"/>
                <w:color w:val="FFFFFF"/>
                <w:sz w:val="18"/>
                <w:szCs w:val="18"/>
              </w:rPr>
              <w:t>Cena bez DPH</w:t>
            </w:r>
          </w:p>
        </w:tc>
        <w:tc>
          <w:tcPr>
            <w:tcW w:w="1440" w:type="dxa"/>
            <w:tcBorders>
              <w:top w:val="single" w:sz="8" w:space="0" w:color="000001"/>
              <w:left w:val="single" w:sz="8" w:space="0" w:color="000001"/>
              <w:bottom w:val="single" w:sz="8" w:space="0" w:color="000001"/>
              <w:right w:val="single" w:sz="8" w:space="0" w:color="000001"/>
            </w:tcBorders>
            <w:shd w:val="clear" w:color="auto" w:fill="948A54"/>
            <w:tcMar>
              <w:left w:w="50" w:type="dxa"/>
            </w:tcMar>
            <w:vAlign w:val="center"/>
          </w:tcPr>
          <w:p w14:paraId="0A439F1D" w14:textId="77777777" w:rsidR="00AA05E0" w:rsidRDefault="004646BE">
            <w:pPr>
              <w:jc w:val="right"/>
              <w:rPr>
                <w:rFonts w:hint="eastAsia"/>
              </w:rPr>
            </w:pPr>
            <w:r>
              <w:rPr>
                <w:rFonts w:cs="Calibri"/>
                <w:color w:val="FFFFFF"/>
                <w:sz w:val="18"/>
                <w:szCs w:val="18"/>
              </w:rPr>
              <w:t>Cena s DPH</w:t>
            </w:r>
          </w:p>
        </w:tc>
      </w:tr>
      <w:tr w:rsidR="00AA05E0" w14:paraId="1F9446B6" w14:textId="77777777">
        <w:trPr>
          <w:trHeight w:val="315"/>
        </w:trPr>
        <w:tc>
          <w:tcPr>
            <w:tcW w:w="3400" w:type="dxa"/>
            <w:tcBorders>
              <w:top w:val="single" w:sz="8" w:space="0" w:color="000001"/>
              <w:left w:val="single" w:sz="8" w:space="0" w:color="000001"/>
              <w:bottom w:val="single" w:sz="8" w:space="0" w:color="000001"/>
            </w:tcBorders>
            <w:shd w:val="clear" w:color="auto" w:fill="C0C0C0"/>
            <w:tcMar>
              <w:left w:w="50" w:type="dxa"/>
            </w:tcMar>
            <w:vAlign w:val="center"/>
          </w:tcPr>
          <w:p w14:paraId="1630A45E" w14:textId="77777777" w:rsidR="00AA05E0" w:rsidRDefault="004646BE">
            <w:pPr>
              <w:rPr>
                <w:rFonts w:hint="eastAsia"/>
              </w:rPr>
            </w:pPr>
            <w:r>
              <w:rPr>
                <w:b/>
                <w:bCs/>
                <w:color w:val="000000"/>
              </w:rPr>
              <w:t>Serverová l</w:t>
            </w:r>
            <w:r>
              <w:rPr>
                <w:rFonts w:cs="Calibri"/>
                <w:b/>
                <w:bCs/>
                <w:color w:val="000000"/>
              </w:rPr>
              <w:t>icence</w:t>
            </w:r>
          </w:p>
        </w:tc>
        <w:tc>
          <w:tcPr>
            <w:tcW w:w="1417" w:type="dxa"/>
            <w:tcBorders>
              <w:top w:val="single" w:sz="8" w:space="0" w:color="000001"/>
              <w:left w:val="single" w:sz="8" w:space="0" w:color="000001"/>
              <w:bottom w:val="single" w:sz="8" w:space="0" w:color="000001"/>
            </w:tcBorders>
            <w:shd w:val="clear" w:color="auto" w:fill="C0C0C0"/>
            <w:tcMar>
              <w:left w:w="50" w:type="dxa"/>
            </w:tcMar>
            <w:vAlign w:val="center"/>
          </w:tcPr>
          <w:p w14:paraId="631E58D4" w14:textId="77777777" w:rsidR="00AA05E0" w:rsidRDefault="004646BE">
            <w:pPr>
              <w:jc w:val="right"/>
              <w:rPr>
                <w:rFonts w:hint="eastAsia"/>
              </w:rPr>
            </w:pPr>
            <w:r>
              <w:rPr>
                <w:rFonts w:cs="Calibri"/>
                <w:color w:val="000000"/>
              </w:rPr>
              <w:t>Kč / ks</w:t>
            </w:r>
          </w:p>
        </w:tc>
        <w:tc>
          <w:tcPr>
            <w:tcW w:w="1418" w:type="dxa"/>
            <w:tcBorders>
              <w:top w:val="single" w:sz="8" w:space="0" w:color="000001"/>
              <w:left w:val="single" w:sz="8" w:space="0" w:color="000001"/>
              <w:bottom w:val="single" w:sz="8" w:space="0" w:color="000001"/>
            </w:tcBorders>
            <w:shd w:val="clear" w:color="auto" w:fill="C0C0C0"/>
            <w:tcMar>
              <w:left w:w="50" w:type="dxa"/>
            </w:tcMar>
            <w:vAlign w:val="center"/>
          </w:tcPr>
          <w:p w14:paraId="1E429D13" w14:textId="77777777" w:rsidR="00AA05E0" w:rsidRDefault="004646BE">
            <w:pPr>
              <w:jc w:val="right"/>
              <w:rPr>
                <w:rFonts w:hint="eastAsia"/>
              </w:rPr>
            </w:pPr>
            <w:r>
              <w:rPr>
                <w:rFonts w:cs="Calibri"/>
                <w:color w:val="000000"/>
              </w:rPr>
              <w:t>Počet ks</w:t>
            </w:r>
          </w:p>
        </w:tc>
        <w:tc>
          <w:tcPr>
            <w:tcW w:w="1416" w:type="dxa"/>
            <w:tcBorders>
              <w:top w:val="single" w:sz="8" w:space="0" w:color="000001"/>
              <w:left w:val="single" w:sz="8" w:space="0" w:color="000001"/>
              <w:bottom w:val="single" w:sz="8" w:space="0" w:color="000001"/>
            </w:tcBorders>
            <w:shd w:val="clear" w:color="auto" w:fill="C0C0C0"/>
            <w:tcMar>
              <w:left w:w="50" w:type="dxa"/>
            </w:tcMar>
            <w:vAlign w:val="center"/>
          </w:tcPr>
          <w:p w14:paraId="7C90B67E" w14:textId="77777777" w:rsidR="00AA05E0" w:rsidRDefault="004646BE">
            <w:pPr>
              <w:jc w:val="right"/>
              <w:rPr>
                <w:rFonts w:hint="eastAsia"/>
              </w:rPr>
            </w:pPr>
            <w:r>
              <w:rPr>
                <w:rFonts w:cs="Calibri"/>
                <w:color w:val="000000"/>
              </w:rPr>
              <w:t> </w:t>
            </w:r>
          </w:p>
        </w:tc>
        <w:tc>
          <w:tcPr>
            <w:tcW w:w="1440" w:type="dxa"/>
            <w:tcBorders>
              <w:top w:val="single" w:sz="8" w:space="0" w:color="000001"/>
              <w:left w:val="single" w:sz="8" w:space="0" w:color="000001"/>
              <w:bottom w:val="single" w:sz="8" w:space="0" w:color="000001"/>
              <w:right w:val="single" w:sz="8" w:space="0" w:color="000001"/>
            </w:tcBorders>
            <w:shd w:val="clear" w:color="auto" w:fill="C0C0C0"/>
            <w:tcMar>
              <w:left w:w="50" w:type="dxa"/>
            </w:tcMar>
            <w:vAlign w:val="center"/>
          </w:tcPr>
          <w:p w14:paraId="56B602BF" w14:textId="77777777" w:rsidR="00AA05E0" w:rsidRDefault="004646BE">
            <w:pPr>
              <w:jc w:val="right"/>
              <w:rPr>
                <w:rFonts w:hint="eastAsia"/>
              </w:rPr>
            </w:pPr>
            <w:r>
              <w:rPr>
                <w:rFonts w:cs="Calibri"/>
                <w:color w:val="000000"/>
              </w:rPr>
              <w:t> </w:t>
            </w:r>
          </w:p>
        </w:tc>
      </w:tr>
      <w:tr w:rsidR="00AA05E0" w14:paraId="01205113" w14:textId="77777777">
        <w:trPr>
          <w:trHeight w:val="645"/>
        </w:trPr>
        <w:tc>
          <w:tcPr>
            <w:tcW w:w="3400" w:type="dxa"/>
            <w:tcBorders>
              <w:top w:val="single" w:sz="8" w:space="0" w:color="000001"/>
              <w:left w:val="single" w:sz="8" w:space="0" w:color="000001"/>
              <w:bottom w:val="single" w:sz="8" w:space="0" w:color="000001"/>
            </w:tcBorders>
            <w:shd w:val="clear" w:color="auto" w:fill="auto"/>
            <w:tcMar>
              <w:left w:w="50" w:type="dxa"/>
            </w:tcMar>
            <w:vAlign w:val="center"/>
          </w:tcPr>
          <w:p w14:paraId="1669681F" w14:textId="77777777" w:rsidR="00AA05E0" w:rsidRDefault="004646BE">
            <w:pPr>
              <w:rPr>
                <w:rFonts w:hint="eastAsia"/>
              </w:rPr>
            </w:pPr>
            <w:r>
              <w:rPr>
                <w:rFonts w:cs="Calibri"/>
                <w:color w:val="000000"/>
              </w:rPr>
              <w:t xml:space="preserve">Cena za serverový </w:t>
            </w:r>
            <w:proofErr w:type="spellStart"/>
            <w:proofErr w:type="gramStart"/>
            <w:r>
              <w:rPr>
                <w:rFonts w:cs="Calibri"/>
                <w:color w:val="000000"/>
              </w:rPr>
              <w:t>engine</w:t>
            </w:r>
            <w:proofErr w:type="spellEnd"/>
            <w:r>
              <w:rPr>
                <w:rFonts w:cs="Calibri"/>
                <w:color w:val="000000"/>
              </w:rPr>
              <w:t xml:space="preserve">  aplikace</w:t>
            </w:r>
            <w:proofErr w:type="gramEnd"/>
            <w:r>
              <w:rPr>
                <w:rFonts w:cs="Calibri"/>
                <w:color w:val="000000"/>
              </w:rPr>
              <w:t xml:space="preserve"> </w:t>
            </w:r>
            <w:proofErr w:type="spellStart"/>
            <w:r>
              <w:rPr>
                <w:rFonts w:cs="Calibri"/>
                <w:color w:val="000000"/>
              </w:rPr>
              <w:t>SmartDESK</w:t>
            </w:r>
            <w:proofErr w:type="spellEnd"/>
          </w:p>
        </w:tc>
        <w:tc>
          <w:tcPr>
            <w:tcW w:w="1417" w:type="dxa"/>
            <w:tcBorders>
              <w:top w:val="single" w:sz="8" w:space="0" w:color="000001"/>
              <w:left w:val="single" w:sz="8" w:space="0" w:color="000001"/>
              <w:bottom w:val="single" w:sz="8" w:space="0" w:color="000001"/>
            </w:tcBorders>
            <w:shd w:val="clear" w:color="auto" w:fill="auto"/>
            <w:tcMar>
              <w:left w:w="50" w:type="dxa"/>
            </w:tcMar>
            <w:vAlign w:val="center"/>
          </w:tcPr>
          <w:p w14:paraId="64CC22FC" w14:textId="77777777" w:rsidR="00AA05E0" w:rsidRDefault="004646BE">
            <w:pPr>
              <w:jc w:val="right"/>
              <w:rPr>
                <w:rFonts w:hint="eastAsia"/>
              </w:rPr>
            </w:pPr>
            <w:r>
              <w:rPr>
                <w:rFonts w:cs="Calibri"/>
                <w:color w:val="000000"/>
              </w:rPr>
              <w:t>38 000 Kč</w:t>
            </w:r>
          </w:p>
        </w:tc>
        <w:tc>
          <w:tcPr>
            <w:tcW w:w="1418" w:type="dxa"/>
            <w:tcBorders>
              <w:top w:val="single" w:sz="8" w:space="0" w:color="000001"/>
              <w:left w:val="single" w:sz="8" w:space="0" w:color="000001"/>
              <w:bottom w:val="single" w:sz="8" w:space="0" w:color="000001"/>
            </w:tcBorders>
            <w:shd w:val="clear" w:color="auto" w:fill="auto"/>
            <w:tcMar>
              <w:left w:w="50" w:type="dxa"/>
            </w:tcMar>
            <w:vAlign w:val="center"/>
          </w:tcPr>
          <w:p w14:paraId="06670075" w14:textId="77777777" w:rsidR="00AA05E0" w:rsidRDefault="004646BE">
            <w:pPr>
              <w:jc w:val="right"/>
              <w:rPr>
                <w:rFonts w:hint="eastAsia"/>
              </w:rPr>
            </w:pPr>
            <w:r>
              <w:rPr>
                <w:rFonts w:cs="Calibri"/>
                <w:color w:val="000000"/>
              </w:rPr>
              <w:t>1</w:t>
            </w:r>
          </w:p>
        </w:tc>
        <w:tc>
          <w:tcPr>
            <w:tcW w:w="1416" w:type="dxa"/>
            <w:tcBorders>
              <w:top w:val="single" w:sz="8" w:space="0" w:color="000001"/>
              <w:left w:val="single" w:sz="8" w:space="0" w:color="000001"/>
              <w:bottom w:val="single" w:sz="8" w:space="0" w:color="000001"/>
            </w:tcBorders>
            <w:shd w:val="clear" w:color="auto" w:fill="auto"/>
            <w:tcMar>
              <w:left w:w="50" w:type="dxa"/>
            </w:tcMar>
            <w:vAlign w:val="center"/>
          </w:tcPr>
          <w:p w14:paraId="388932FD" w14:textId="77777777" w:rsidR="00AA05E0" w:rsidRDefault="004646BE">
            <w:pPr>
              <w:jc w:val="right"/>
              <w:rPr>
                <w:rFonts w:hint="eastAsia"/>
              </w:rPr>
            </w:pPr>
            <w:r>
              <w:rPr>
                <w:rFonts w:cs="Calibri"/>
                <w:color w:val="000000"/>
              </w:rPr>
              <w:t>38 000 Kč</w:t>
            </w:r>
          </w:p>
        </w:tc>
        <w:tc>
          <w:tcPr>
            <w:tcW w:w="1440" w:type="dxa"/>
            <w:tcBorders>
              <w:top w:val="single" w:sz="8" w:space="0" w:color="000001"/>
              <w:left w:val="single" w:sz="8" w:space="0" w:color="000001"/>
              <w:bottom w:val="single" w:sz="8" w:space="0" w:color="000001"/>
              <w:right w:val="single" w:sz="8" w:space="0" w:color="000001"/>
            </w:tcBorders>
            <w:shd w:val="clear" w:color="auto" w:fill="auto"/>
            <w:tcMar>
              <w:left w:w="50" w:type="dxa"/>
            </w:tcMar>
            <w:vAlign w:val="center"/>
          </w:tcPr>
          <w:p w14:paraId="0275ED61" w14:textId="77777777" w:rsidR="00AA05E0" w:rsidRDefault="004646BE">
            <w:pPr>
              <w:jc w:val="right"/>
              <w:rPr>
                <w:rFonts w:hint="eastAsia"/>
              </w:rPr>
            </w:pPr>
            <w:r>
              <w:rPr>
                <w:rFonts w:cs="Calibri"/>
                <w:color w:val="000000"/>
              </w:rPr>
              <w:t>45 980 Kč</w:t>
            </w:r>
          </w:p>
        </w:tc>
      </w:tr>
      <w:tr w:rsidR="00AA05E0" w14:paraId="2BEA884D" w14:textId="77777777">
        <w:trPr>
          <w:trHeight w:val="315"/>
        </w:trPr>
        <w:tc>
          <w:tcPr>
            <w:tcW w:w="3400" w:type="dxa"/>
            <w:tcBorders>
              <w:top w:val="single" w:sz="8" w:space="0" w:color="000001"/>
              <w:left w:val="single" w:sz="8" w:space="0" w:color="000001"/>
              <w:bottom w:val="single" w:sz="8" w:space="0" w:color="000001"/>
            </w:tcBorders>
            <w:shd w:val="clear" w:color="auto" w:fill="BFBFBF"/>
            <w:tcMar>
              <w:left w:w="50" w:type="dxa"/>
            </w:tcMar>
            <w:vAlign w:val="center"/>
          </w:tcPr>
          <w:p w14:paraId="4FD2E72C" w14:textId="77777777" w:rsidR="00AA05E0" w:rsidRDefault="004646BE">
            <w:pPr>
              <w:rPr>
                <w:rFonts w:hint="eastAsia"/>
              </w:rPr>
            </w:pPr>
            <w:r>
              <w:rPr>
                <w:rFonts w:cs="Calibri"/>
                <w:b/>
                <w:bCs/>
                <w:color w:val="000000"/>
              </w:rPr>
              <w:t xml:space="preserve">Uživatelská licence </w:t>
            </w:r>
          </w:p>
        </w:tc>
        <w:tc>
          <w:tcPr>
            <w:tcW w:w="1417" w:type="dxa"/>
            <w:tcBorders>
              <w:top w:val="single" w:sz="8" w:space="0" w:color="000001"/>
              <w:left w:val="single" w:sz="8" w:space="0" w:color="000001"/>
              <w:bottom w:val="single" w:sz="8" w:space="0" w:color="000001"/>
            </w:tcBorders>
            <w:shd w:val="clear" w:color="auto" w:fill="C0C0C0"/>
            <w:tcMar>
              <w:left w:w="50" w:type="dxa"/>
            </w:tcMar>
            <w:vAlign w:val="center"/>
          </w:tcPr>
          <w:p w14:paraId="68FB6655" w14:textId="77777777" w:rsidR="00AA05E0" w:rsidRDefault="004646BE">
            <w:pPr>
              <w:jc w:val="right"/>
              <w:rPr>
                <w:rFonts w:hint="eastAsia"/>
              </w:rPr>
            </w:pPr>
            <w:r>
              <w:rPr>
                <w:rFonts w:cs="Calibri"/>
                <w:color w:val="000000"/>
              </w:rPr>
              <w:t>Kč/ks</w:t>
            </w:r>
          </w:p>
        </w:tc>
        <w:tc>
          <w:tcPr>
            <w:tcW w:w="1418" w:type="dxa"/>
            <w:tcBorders>
              <w:top w:val="single" w:sz="8" w:space="0" w:color="000001"/>
              <w:left w:val="single" w:sz="8" w:space="0" w:color="000001"/>
              <w:bottom w:val="single" w:sz="8" w:space="0" w:color="000001"/>
            </w:tcBorders>
            <w:shd w:val="clear" w:color="auto" w:fill="C0C0C0"/>
            <w:tcMar>
              <w:left w:w="50" w:type="dxa"/>
            </w:tcMar>
            <w:vAlign w:val="center"/>
          </w:tcPr>
          <w:p w14:paraId="0F91B26F" w14:textId="77777777" w:rsidR="00AA05E0" w:rsidRDefault="004646BE">
            <w:pPr>
              <w:jc w:val="right"/>
              <w:rPr>
                <w:rFonts w:hint="eastAsia"/>
              </w:rPr>
            </w:pPr>
            <w:r>
              <w:rPr>
                <w:rFonts w:cs="Calibri"/>
                <w:color w:val="000000"/>
              </w:rPr>
              <w:t>Počet ks</w:t>
            </w:r>
          </w:p>
        </w:tc>
        <w:tc>
          <w:tcPr>
            <w:tcW w:w="1416" w:type="dxa"/>
            <w:tcBorders>
              <w:top w:val="single" w:sz="8" w:space="0" w:color="000001"/>
              <w:left w:val="single" w:sz="8" w:space="0" w:color="000001"/>
              <w:bottom w:val="single" w:sz="8" w:space="0" w:color="000001"/>
            </w:tcBorders>
            <w:shd w:val="clear" w:color="auto" w:fill="C0C0C0"/>
            <w:tcMar>
              <w:left w:w="50" w:type="dxa"/>
            </w:tcMar>
            <w:vAlign w:val="center"/>
          </w:tcPr>
          <w:p w14:paraId="637700D9" w14:textId="77777777" w:rsidR="00AA05E0" w:rsidRDefault="00AA05E0">
            <w:pPr>
              <w:jc w:val="right"/>
              <w:rPr>
                <w:rFonts w:cs="Calibri" w:hint="eastAsia"/>
                <w:color w:val="000000"/>
              </w:rPr>
            </w:pPr>
          </w:p>
        </w:tc>
        <w:tc>
          <w:tcPr>
            <w:tcW w:w="1440" w:type="dxa"/>
            <w:tcBorders>
              <w:top w:val="single" w:sz="8" w:space="0" w:color="000001"/>
              <w:left w:val="single" w:sz="8" w:space="0" w:color="000001"/>
              <w:bottom w:val="single" w:sz="8" w:space="0" w:color="000001"/>
              <w:right w:val="single" w:sz="8" w:space="0" w:color="000001"/>
            </w:tcBorders>
            <w:shd w:val="clear" w:color="auto" w:fill="C0C0C0"/>
            <w:tcMar>
              <w:left w:w="50" w:type="dxa"/>
            </w:tcMar>
            <w:vAlign w:val="center"/>
          </w:tcPr>
          <w:p w14:paraId="67686B55" w14:textId="77777777" w:rsidR="00AA05E0" w:rsidRDefault="00AA05E0">
            <w:pPr>
              <w:jc w:val="right"/>
              <w:rPr>
                <w:rFonts w:cs="Calibri" w:hint="eastAsia"/>
                <w:color w:val="000000"/>
              </w:rPr>
            </w:pPr>
          </w:p>
        </w:tc>
      </w:tr>
      <w:tr w:rsidR="00AA05E0" w14:paraId="7A102D84" w14:textId="77777777">
        <w:trPr>
          <w:trHeight w:val="315"/>
        </w:trPr>
        <w:tc>
          <w:tcPr>
            <w:tcW w:w="3400" w:type="dxa"/>
            <w:tcBorders>
              <w:top w:val="single" w:sz="8" w:space="0" w:color="000001"/>
              <w:left w:val="single" w:sz="8" w:space="0" w:color="000001"/>
              <w:bottom w:val="single" w:sz="8" w:space="0" w:color="000001"/>
            </w:tcBorders>
            <w:shd w:val="clear" w:color="auto" w:fill="auto"/>
            <w:tcMar>
              <w:left w:w="50" w:type="dxa"/>
            </w:tcMar>
            <w:vAlign w:val="center"/>
          </w:tcPr>
          <w:p w14:paraId="5F7BC571" w14:textId="77777777" w:rsidR="00AA05E0" w:rsidRDefault="004646BE">
            <w:pPr>
              <w:rPr>
                <w:rFonts w:hint="eastAsia"/>
              </w:rPr>
            </w:pPr>
            <w:r>
              <w:rPr>
                <w:rFonts w:cs="Calibri"/>
                <w:color w:val="000000"/>
              </w:rPr>
              <w:t>Cena za uživatelské licence</w:t>
            </w:r>
          </w:p>
        </w:tc>
        <w:tc>
          <w:tcPr>
            <w:tcW w:w="1417" w:type="dxa"/>
            <w:tcBorders>
              <w:top w:val="single" w:sz="8" w:space="0" w:color="000001"/>
              <w:left w:val="single" w:sz="8" w:space="0" w:color="000001"/>
              <w:bottom w:val="single" w:sz="8" w:space="0" w:color="000001"/>
            </w:tcBorders>
            <w:shd w:val="clear" w:color="auto" w:fill="auto"/>
            <w:tcMar>
              <w:left w:w="50" w:type="dxa"/>
            </w:tcMar>
            <w:vAlign w:val="center"/>
          </w:tcPr>
          <w:p w14:paraId="2A52673B" w14:textId="77777777" w:rsidR="00AA05E0" w:rsidRDefault="004646BE">
            <w:pPr>
              <w:jc w:val="right"/>
              <w:rPr>
                <w:rFonts w:hint="eastAsia"/>
              </w:rPr>
            </w:pPr>
            <w:r>
              <w:rPr>
                <w:rFonts w:cs="Calibri"/>
                <w:color w:val="000000"/>
              </w:rPr>
              <w:t>380 Kč</w:t>
            </w:r>
          </w:p>
        </w:tc>
        <w:tc>
          <w:tcPr>
            <w:tcW w:w="1418" w:type="dxa"/>
            <w:tcBorders>
              <w:top w:val="single" w:sz="8" w:space="0" w:color="000001"/>
              <w:left w:val="single" w:sz="8" w:space="0" w:color="000001"/>
              <w:bottom w:val="single" w:sz="8" w:space="0" w:color="000001"/>
            </w:tcBorders>
            <w:shd w:val="clear" w:color="auto" w:fill="auto"/>
            <w:tcMar>
              <w:left w:w="50" w:type="dxa"/>
            </w:tcMar>
            <w:vAlign w:val="center"/>
          </w:tcPr>
          <w:p w14:paraId="364EFA7B" w14:textId="77777777" w:rsidR="00AA05E0" w:rsidRDefault="004646BE">
            <w:pPr>
              <w:jc w:val="right"/>
              <w:rPr>
                <w:rFonts w:hint="eastAsia"/>
              </w:rPr>
            </w:pPr>
            <w:r>
              <w:rPr>
                <w:rFonts w:cs="Calibri"/>
                <w:color w:val="000000"/>
              </w:rPr>
              <w:t>500</w:t>
            </w:r>
          </w:p>
        </w:tc>
        <w:tc>
          <w:tcPr>
            <w:tcW w:w="1416" w:type="dxa"/>
            <w:tcBorders>
              <w:top w:val="single" w:sz="8" w:space="0" w:color="000001"/>
              <w:left w:val="single" w:sz="8" w:space="0" w:color="000001"/>
              <w:bottom w:val="single" w:sz="8" w:space="0" w:color="000001"/>
            </w:tcBorders>
            <w:shd w:val="clear" w:color="auto" w:fill="auto"/>
            <w:tcMar>
              <w:left w:w="50" w:type="dxa"/>
            </w:tcMar>
            <w:vAlign w:val="center"/>
          </w:tcPr>
          <w:p w14:paraId="0EEC156E" w14:textId="77777777" w:rsidR="00AA05E0" w:rsidRDefault="004646BE">
            <w:pPr>
              <w:jc w:val="right"/>
              <w:rPr>
                <w:rFonts w:hint="eastAsia"/>
              </w:rPr>
            </w:pPr>
            <w:r>
              <w:rPr>
                <w:rFonts w:cs="Calibri"/>
                <w:color w:val="000000"/>
              </w:rPr>
              <w:t>190 000 Kč</w:t>
            </w:r>
          </w:p>
        </w:tc>
        <w:tc>
          <w:tcPr>
            <w:tcW w:w="1440" w:type="dxa"/>
            <w:tcBorders>
              <w:top w:val="single" w:sz="8" w:space="0" w:color="000001"/>
              <w:left w:val="single" w:sz="8" w:space="0" w:color="000001"/>
              <w:bottom w:val="single" w:sz="8" w:space="0" w:color="000001"/>
              <w:right w:val="single" w:sz="8" w:space="0" w:color="000001"/>
            </w:tcBorders>
            <w:shd w:val="clear" w:color="auto" w:fill="auto"/>
            <w:tcMar>
              <w:left w:w="50" w:type="dxa"/>
            </w:tcMar>
            <w:vAlign w:val="center"/>
          </w:tcPr>
          <w:p w14:paraId="11FEE126" w14:textId="77777777" w:rsidR="00AA05E0" w:rsidRDefault="004646BE">
            <w:pPr>
              <w:jc w:val="right"/>
              <w:rPr>
                <w:rFonts w:hint="eastAsia"/>
              </w:rPr>
            </w:pPr>
            <w:r>
              <w:rPr>
                <w:rFonts w:cs="Calibri"/>
                <w:color w:val="000000"/>
              </w:rPr>
              <w:t>229 900 Kč</w:t>
            </w:r>
          </w:p>
        </w:tc>
      </w:tr>
      <w:tr w:rsidR="00AA05E0" w14:paraId="00D17873" w14:textId="77777777">
        <w:trPr>
          <w:trHeight w:val="315"/>
        </w:trPr>
        <w:tc>
          <w:tcPr>
            <w:tcW w:w="3400" w:type="dxa"/>
            <w:tcBorders>
              <w:top w:val="single" w:sz="8" w:space="0" w:color="000001"/>
              <w:left w:val="single" w:sz="8" w:space="0" w:color="000001"/>
              <w:bottom w:val="single" w:sz="8" w:space="0" w:color="000001"/>
            </w:tcBorders>
            <w:shd w:val="clear" w:color="auto" w:fill="948A54"/>
            <w:tcMar>
              <w:left w:w="50" w:type="dxa"/>
            </w:tcMar>
            <w:vAlign w:val="center"/>
          </w:tcPr>
          <w:p w14:paraId="59AF226E" w14:textId="77777777" w:rsidR="00AA05E0" w:rsidRDefault="004646BE">
            <w:pPr>
              <w:rPr>
                <w:rFonts w:hint="eastAsia"/>
              </w:rPr>
            </w:pPr>
            <w:r>
              <w:rPr>
                <w:rFonts w:cs="Calibri"/>
                <w:b/>
                <w:bCs/>
                <w:color w:val="FFFFFF"/>
              </w:rPr>
              <w:t> CELKEM LICENCE</w:t>
            </w:r>
          </w:p>
        </w:tc>
        <w:tc>
          <w:tcPr>
            <w:tcW w:w="1417" w:type="dxa"/>
            <w:tcBorders>
              <w:top w:val="single" w:sz="8" w:space="0" w:color="000001"/>
              <w:left w:val="single" w:sz="8" w:space="0" w:color="000001"/>
              <w:bottom w:val="single" w:sz="8" w:space="0" w:color="000001"/>
            </w:tcBorders>
            <w:shd w:val="clear" w:color="auto" w:fill="948A54"/>
            <w:tcMar>
              <w:left w:w="50" w:type="dxa"/>
            </w:tcMar>
            <w:vAlign w:val="center"/>
          </w:tcPr>
          <w:p w14:paraId="2EC8AB02" w14:textId="77777777" w:rsidR="00AA05E0" w:rsidRDefault="004646BE">
            <w:pPr>
              <w:rPr>
                <w:rFonts w:hint="eastAsia"/>
              </w:rPr>
            </w:pPr>
            <w:r>
              <w:rPr>
                <w:rFonts w:cs="Calibri"/>
                <w:b/>
                <w:bCs/>
                <w:color w:val="FFFFFF"/>
              </w:rPr>
              <w:t> </w:t>
            </w:r>
          </w:p>
        </w:tc>
        <w:tc>
          <w:tcPr>
            <w:tcW w:w="1418" w:type="dxa"/>
            <w:tcBorders>
              <w:top w:val="single" w:sz="8" w:space="0" w:color="000001"/>
              <w:left w:val="single" w:sz="8" w:space="0" w:color="000001"/>
              <w:bottom w:val="single" w:sz="8" w:space="0" w:color="000001"/>
            </w:tcBorders>
            <w:shd w:val="clear" w:color="auto" w:fill="948A54"/>
            <w:tcMar>
              <w:left w:w="50" w:type="dxa"/>
            </w:tcMar>
            <w:vAlign w:val="center"/>
          </w:tcPr>
          <w:p w14:paraId="6355256B" w14:textId="77777777" w:rsidR="00AA05E0" w:rsidRDefault="004646BE">
            <w:pPr>
              <w:rPr>
                <w:rFonts w:hint="eastAsia"/>
              </w:rPr>
            </w:pPr>
            <w:r>
              <w:rPr>
                <w:rFonts w:cs="Calibri"/>
                <w:b/>
                <w:bCs/>
                <w:color w:val="FFFFFF"/>
              </w:rPr>
              <w:t> </w:t>
            </w:r>
          </w:p>
        </w:tc>
        <w:tc>
          <w:tcPr>
            <w:tcW w:w="1416" w:type="dxa"/>
            <w:tcBorders>
              <w:top w:val="single" w:sz="8" w:space="0" w:color="000001"/>
              <w:left w:val="single" w:sz="8" w:space="0" w:color="000001"/>
              <w:bottom w:val="single" w:sz="8" w:space="0" w:color="000001"/>
            </w:tcBorders>
            <w:shd w:val="clear" w:color="auto" w:fill="948A54"/>
            <w:tcMar>
              <w:left w:w="50" w:type="dxa"/>
            </w:tcMar>
            <w:vAlign w:val="center"/>
          </w:tcPr>
          <w:p w14:paraId="548974D4" w14:textId="77777777" w:rsidR="00AA05E0" w:rsidRDefault="004646BE">
            <w:pPr>
              <w:jc w:val="right"/>
              <w:rPr>
                <w:rFonts w:hint="eastAsia"/>
              </w:rPr>
            </w:pPr>
            <w:r>
              <w:rPr>
                <w:rFonts w:cs="Calibri"/>
                <w:b/>
                <w:bCs/>
                <w:color w:val="FFFFFF"/>
              </w:rPr>
              <w:t>228 000 Kč</w:t>
            </w:r>
          </w:p>
        </w:tc>
        <w:tc>
          <w:tcPr>
            <w:tcW w:w="1440" w:type="dxa"/>
            <w:tcBorders>
              <w:top w:val="single" w:sz="8" w:space="0" w:color="000001"/>
              <w:left w:val="single" w:sz="8" w:space="0" w:color="000001"/>
              <w:bottom w:val="single" w:sz="8" w:space="0" w:color="000001"/>
              <w:right w:val="single" w:sz="8" w:space="0" w:color="000001"/>
            </w:tcBorders>
            <w:shd w:val="clear" w:color="auto" w:fill="948A54"/>
            <w:tcMar>
              <w:left w:w="50" w:type="dxa"/>
            </w:tcMar>
            <w:vAlign w:val="center"/>
          </w:tcPr>
          <w:p w14:paraId="3853C5A1" w14:textId="77777777" w:rsidR="00AA05E0" w:rsidRDefault="004646BE">
            <w:pPr>
              <w:jc w:val="right"/>
              <w:rPr>
                <w:rFonts w:hint="eastAsia"/>
              </w:rPr>
            </w:pPr>
            <w:r>
              <w:rPr>
                <w:rFonts w:cs="Calibri"/>
                <w:b/>
                <w:bCs/>
                <w:color w:val="FFFFFF"/>
              </w:rPr>
              <w:t>275 880 Kč</w:t>
            </w:r>
          </w:p>
        </w:tc>
      </w:tr>
      <w:tr w:rsidR="00AA05E0" w14:paraId="2AE94BF5" w14:textId="77777777">
        <w:trPr>
          <w:trHeight w:val="315"/>
        </w:trPr>
        <w:tc>
          <w:tcPr>
            <w:tcW w:w="3400" w:type="dxa"/>
            <w:tcBorders>
              <w:top w:val="single" w:sz="8" w:space="0" w:color="000001"/>
              <w:left w:val="single" w:sz="8" w:space="0" w:color="000001"/>
              <w:bottom w:val="single" w:sz="8" w:space="0" w:color="000001"/>
            </w:tcBorders>
            <w:shd w:val="clear" w:color="auto" w:fill="BFBFBF"/>
            <w:tcMar>
              <w:left w:w="50" w:type="dxa"/>
            </w:tcMar>
            <w:vAlign w:val="center"/>
          </w:tcPr>
          <w:p w14:paraId="7F0687C6" w14:textId="77777777" w:rsidR="00AA05E0" w:rsidRDefault="004646BE">
            <w:pPr>
              <w:rPr>
                <w:rFonts w:hint="eastAsia"/>
              </w:rPr>
            </w:pPr>
            <w:r>
              <w:rPr>
                <w:rFonts w:cs="Calibri"/>
                <w:b/>
                <w:bCs/>
                <w:color w:val="000000"/>
              </w:rPr>
              <w:t>Implementace</w:t>
            </w:r>
          </w:p>
        </w:tc>
        <w:tc>
          <w:tcPr>
            <w:tcW w:w="1417" w:type="dxa"/>
            <w:tcBorders>
              <w:top w:val="single" w:sz="8" w:space="0" w:color="000001"/>
              <w:left w:val="single" w:sz="8" w:space="0" w:color="000001"/>
              <w:bottom w:val="single" w:sz="8" w:space="0" w:color="000001"/>
            </w:tcBorders>
            <w:shd w:val="clear" w:color="auto" w:fill="C0C0C0"/>
            <w:tcMar>
              <w:left w:w="50" w:type="dxa"/>
            </w:tcMar>
            <w:vAlign w:val="center"/>
          </w:tcPr>
          <w:p w14:paraId="3893B962" w14:textId="77777777" w:rsidR="00AA05E0" w:rsidRDefault="004646BE">
            <w:pPr>
              <w:jc w:val="right"/>
              <w:rPr>
                <w:rFonts w:hint="eastAsia"/>
              </w:rPr>
            </w:pPr>
            <w:r>
              <w:rPr>
                <w:rFonts w:cs="Calibri"/>
                <w:color w:val="000000"/>
              </w:rPr>
              <w:t>Kč / hod.</w:t>
            </w:r>
          </w:p>
        </w:tc>
        <w:tc>
          <w:tcPr>
            <w:tcW w:w="1418" w:type="dxa"/>
            <w:tcBorders>
              <w:top w:val="single" w:sz="8" w:space="0" w:color="000001"/>
              <w:left w:val="single" w:sz="8" w:space="0" w:color="000001"/>
              <w:bottom w:val="single" w:sz="8" w:space="0" w:color="000001"/>
            </w:tcBorders>
            <w:shd w:val="clear" w:color="auto" w:fill="C0C0C0"/>
            <w:tcMar>
              <w:left w:w="50" w:type="dxa"/>
            </w:tcMar>
            <w:vAlign w:val="center"/>
          </w:tcPr>
          <w:p w14:paraId="163BACC3" w14:textId="77777777" w:rsidR="00AA05E0" w:rsidRDefault="004646BE">
            <w:pPr>
              <w:jc w:val="right"/>
              <w:rPr>
                <w:rFonts w:hint="eastAsia"/>
              </w:rPr>
            </w:pPr>
            <w:r>
              <w:rPr>
                <w:rFonts w:cs="Calibri"/>
                <w:color w:val="000000"/>
              </w:rPr>
              <w:t>Počet hodin</w:t>
            </w:r>
          </w:p>
        </w:tc>
        <w:tc>
          <w:tcPr>
            <w:tcW w:w="1416" w:type="dxa"/>
            <w:tcBorders>
              <w:top w:val="single" w:sz="8" w:space="0" w:color="000001"/>
              <w:left w:val="single" w:sz="8" w:space="0" w:color="000001"/>
              <w:bottom w:val="single" w:sz="8" w:space="0" w:color="000001"/>
            </w:tcBorders>
            <w:shd w:val="clear" w:color="auto" w:fill="C0C0C0"/>
            <w:tcMar>
              <w:left w:w="50" w:type="dxa"/>
            </w:tcMar>
            <w:vAlign w:val="center"/>
          </w:tcPr>
          <w:p w14:paraId="0A5F653F" w14:textId="77777777" w:rsidR="00AA05E0" w:rsidRDefault="004646BE">
            <w:pPr>
              <w:jc w:val="right"/>
              <w:rPr>
                <w:rFonts w:hint="eastAsia"/>
              </w:rPr>
            </w:pPr>
            <w:r>
              <w:rPr>
                <w:rFonts w:cs="Calibri"/>
                <w:color w:val="000000"/>
              </w:rPr>
              <w:t> </w:t>
            </w:r>
          </w:p>
        </w:tc>
        <w:tc>
          <w:tcPr>
            <w:tcW w:w="1440" w:type="dxa"/>
            <w:tcBorders>
              <w:top w:val="single" w:sz="8" w:space="0" w:color="000001"/>
              <w:left w:val="single" w:sz="8" w:space="0" w:color="000001"/>
              <w:bottom w:val="single" w:sz="8" w:space="0" w:color="000001"/>
              <w:right w:val="single" w:sz="8" w:space="0" w:color="000001"/>
            </w:tcBorders>
            <w:shd w:val="clear" w:color="auto" w:fill="C0C0C0"/>
            <w:tcMar>
              <w:left w:w="50" w:type="dxa"/>
            </w:tcMar>
            <w:vAlign w:val="center"/>
          </w:tcPr>
          <w:p w14:paraId="08BBE267" w14:textId="77777777" w:rsidR="00AA05E0" w:rsidRDefault="004646BE">
            <w:pPr>
              <w:jc w:val="right"/>
              <w:rPr>
                <w:rFonts w:hint="eastAsia"/>
              </w:rPr>
            </w:pPr>
            <w:r>
              <w:rPr>
                <w:rFonts w:cs="Calibri"/>
                <w:color w:val="000000"/>
              </w:rPr>
              <w:t> </w:t>
            </w:r>
          </w:p>
        </w:tc>
      </w:tr>
      <w:tr w:rsidR="00AA05E0" w14:paraId="2057E9A8" w14:textId="77777777">
        <w:trPr>
          <w:trHeight w:val="315"/>
        </w:trPr>
        <w:tc>
          <w:tcPr>
            <w:tcW w:w="3400" w:type="dxa"/>
            <w:tcBorders>
              <w:top w:val="single" w:sz="8" w:space="0" w:color="000001"/>
              <w:left w:val="single" w:sz="8" w:space="0" w:color="000001"/>
              <w:bottom w:val="single" w:sz="8" w:space="0" w:color="000001"/>
            </w:tcBorders>
            <w:shd w:val="clear" w:color="auto" w:fill="auto"/>
            <w:tcMar>
              <w:left w:w="50" w:type="dxa"/>
            </w:tcMar>
            <w:vAlign w:val="center"/>
          </w:tcPr>
          <w:p w14:paraId="5313B4DE" w14:textId="77777777" w:rsidR="00AA05E0" w:rsidRDefault="004646BE">
            <w:pPr>
              <w:rPr>
                <w:rFonts w:hint="eastAsia"/>
              </w:rPr>
            </w:pPr>
            <w:r>
              <w:rPr>
                <w:rFonts w:cs="Calibri"/>
                <w:color w:val="000000"/>
              </w:rPr>
              <w:t>Instalace, konfigurace, zaškolení</w:t>
            </w:r>
          </w:p>
        </w:tc>
        <w:tc>
          <w:tcPr>
            <w:tcW w:w="1417" w:type="dxa"/>
            <w:tcBorders>
              <w:top w:val="single" w:sz="8" w:space="0" w:color="000001"/>
              <w:left w:val="single" w:sz="8" w:space="0" w:color="000001"/>
              <w:bottom w:val="single" w:sz="8" w:space="0" w:color="000001"/>
            </w:tcBorders>
            <w:shd w:val="clear" w:color="auto" w:fill="auto"/>
            <w:tcMar>
              <w:left w:w="50" w:type="dxa"/>
            </w:tcMar>
            <w:vAlign w:val="center"/>
          </w:tcPr>
          <w:p w14:paraId="360E91B3" w14:textId="77777777" w:rsidR="00AA05E0" w:rsidRDefault="004646BE">
            <w:pPr>
              <w:jc w:val="right"/>
              <w:rPr>
                <w:rFonts w:hint="eastAsia"/>
              </w:rPr>
            </w:pPr>
            <w:r>
              <w:rPr>
                <w:rFonts w:cs="Calibri"/>
                <w:color w:val="000000"/>
              </w:rPr>
              <w:t>900 Kč</w:t>
            </w:r>
          </w:p>
        </w:tc>
        <w:tc>
          <w:tcPr>
            <w:tcW w:w="1418" w:type="dxa"/>
            <w:tcBorders>
              <w:top w:val="single" w:sz="8" w:space="0" w:color="000001"/>
              <w:left w:val="single" w:sz="8" w:space="0" w:color="000001"/>
              <w:bottom w:val="single" w:sz="8" w:space="0" w:color="000001"/>
            </w:tcBorders>
            <w:shd w:val="clear" w:color="auto" w:fill="auto"/>
            <w:tcMar>
              <w:left w:w="50" w:type="dxa"/>
            </w:tcMar>
            <w:vAlign w:val="center"/>
          </w:tcPr>
          <w:p w14:paraId="67F84CD4" w14:textId="77777777" w:rsidR="00AA05E0" w:rsidRDefault="004646BE">
            <w:pPr>
              <w:jc w:val="right"/>
              <w:rPr>
                <w:rFonts w:hint="eastAsia"/>
              </w:rPr>
            </w:pPr>
            <w:r>
              <w:rPr>
                <w:rFonts w:cs="Calibri"/>
                <w:color w:val="000000"/>
              </w:rPr>
              <w:t>23</w:t>
            </w:r>
          </w:p>
        </w:tc>
        <w:tc>
          <w:tcPr>
            <w:tcW w:w="1416" w:type="dxa"/>
            <w:tcBorders>
              <w:top w:val="single" w:sz="8" w:space="0" w:color="000001"/>
              <w:left w:val="single" w:sz="8" w:space="0" w:color="000001"/>
              <w:bottom w:val="single" w:sz="8" w:space="0" w:color="000001"/>
            </w:tcBorders>
            <w:shd w:val="clear" w:color="auto" w:fill="auto"/>
            <w:tcMar>
              <w:left w:w="50" w:type="dxa"/>
            </w:tcMar>
            <w:vAlign w:val="center"/>
          </w:tcPr>
          <w:p w14:paraId="3BA841D3" w14:textId="77777777" w:rsidR="00AA05E0" w:rsidRDefault="004646BE">
            <w:pPr>
              <w:jc w:val="right"/>
              <w:rPr>
                <w:rFonts w:hint="eastAsia"/>
              </w:rPr>
            </w:pPr>
            <w:r>
              <w:rPr>
                <w:rFonts w:cs="Calibri"/>
                <w:color w:val="000000"/>
              </w:rPr>
              <w:t>20 700 Kč</w:t>
            </w:r>
          </w:p>
        </w:tc>
        <w:tc>
          <w:tcPr>
            <w:tcW w:w="1440" w:type="dxa"/>
            <w:tcBorders>
              <w:top w:val="single" w:sz="8" w:space="0" w:color="000001"/>
              <w:left w:val="single" w:sz="8" w:space="0" w:color="000001"/>
              <w:bottom w:val="single" w:sz="8" w:space="0" w:color="000001"/>
              <w:right w:val="single" w:sz="8" w:space="0" w:color="000001"/>
            </w:tcBorders>
            <w:shd w:val="clear" w:color="auto" w:fill="auto"/>
            <w:tcMar>
              <w:left w:w="50" w:type="dxa"/>
            </w:tcMar>
            <w:vAlign w:val="center"/>
          </w:tcPr>
          <w:p w14:paraId="40F20934" w14:textId="77777777" w:rsidR="00AA05E0" w:rsidRDefault="004646BE">
            <w:pPr>
              <w:jc w:val="right"/>
              <w:rPr>
                <w:rFonts w:hint="eastAsia"/>
              </w:rPr>
            </w:pPr>
            <w:r>
              <w:rPr>
                <w:rFonts w:cs="Calibri"/>
                <w:color w:val="000000"/>
              </w:rPr>
              <w:t>25 047 Kč</w:t>
            </w:r>
          </w:p>
        </w:tc>
      </w:tr>
      <w:tr w:rsidR="00AA05E0" w14:paraId="39630B6E" w14:textId="77777777">
        <w:trPr>
          <w:trHeight w:val="315"/>
        </w:trPr>
        <w:tc>
          <w:tcPr>
            <w:tcW w:w="3400" w:type="dxa"/>
            <w:tcBorders>
              <w:top w:val="single" w:sz="8" w:space="0" w:color="000001"/>
              <w:left w:val="single" w:sz="8" w:space="0" w:color="000001"/>
              <w:bottom w:val="single" w:sz="8" w:space="0" w:color="000001"/>
            </w:tcBorders>
            <w:shd w:val="clear" w:color="auto" w:fill="948A54"/>
            <w:tcMar>
              <w:left w:w="50" w:type="dxa"/>
            </w:tcMar>
            <w:vAlign w:val="center"/>
          </w:tcPr>
          <w:p w14:paraId="67AB9CBC" w14:textId="77777777" w:rsidR="00AA05E0" w:rsidRDefault="004646BE">
            <w:pPr>
              <w:rPr>
                <w:rFonts w:hint="eastAsia"/>
              </w:rPr>
            </w:pPr>
            <w:r>
              <w:rPr>
                <w:rFonts w:cs="Calibri"/>
                <w:b/>
                <w:bCs/>
                <w:color w:val="FFFFFF"/>
              </w:rPr>
              <w:t> </w:t>
            </w:r>
            <w:proofErr w:type="gramStart"/>
            <w:r>
              <w:rPr>
                <w:rFonts w:cs="Calibri"/>
                <w:b/>
                <w:bCs/>
                <w:color w:val="FFFFFF"/>
              </w:rPr>
              <w:t>CELKEM  za</w:t>
            </w:r>
            <w:proofErr w:type="gramEnd"/>
            <w:r>
              <w:rPr>
                <w:rFonts w:cs="Calibri"/>
                <w:b/>
                <w:bCs/>
                <w:color w:val="FFFFFF"/>
              </w:rPr>
              <w:t xml:space="preserve"> dodávku</w:t>
            </w:r>
          </w:p>
        </w:tc>
        <w:tc>
          <w:tcPr>
            <w:tcW w:w="1417" w:type="dxa"/>
            <w:tcBorders>
              <w:top w:val="single" w:sz="8" w:space="0" w:color="000001"/>
              <w:left w:val="single" w:sz="8" w:space="0" w:color="000001"/>
              <w:bottom w:val="single" w:sz="8" w:space="0" w:color="000001"/>
            </w:tcBorders>
            <w:shd w:val="clear" w:color="auto" w:fill="948A54"/>
            <w:tcMar>
              <w:left w:w="50" w:type="dxa"/>
            </w:tcMar>
            <w:vAlign w:val="center"/>
          </w:tcPr>
          <w:p w14:paraId="3DA8B5CF" w14:textId="77777777" w:rsidR="00AA05E0" w:rsidRDefault="004646BE">
            <w:pPr>
              <w:rPr>
                <w:rFonts w:hint="eastAsia"/>
              </w:rPr>
            </w:pPr>
            <w:r>
              <w:rPr>
                <w:rFonts w:cs="Calibri"/>
                <w:b/>
                <w:bCs/>
                <w:color w:val="FFFFFF"/>
              </w:rPr>
              <w:t> </w:t>
            </w:r>
          </w:p>
        </w:tc>
        <w:tc>
          <w:tcPr>
            <w:tcW w:w="1418" w:type="dxa"/>
            <w:tcBorders>
              <w:top w:val="single" w:sz="8" w:space="0" w:color="000001"/>
              <w:left w:val="single" w:sz="8" w:space="0" w:color="000001"/>
              <w:bottom w:val="single" w:sz="8" w:space="0" w:color="000001"/>
            </w:tcBorders>
            <w:shd w:val="clear" w:color="auto" w:fill="948A54"/>
            <w:tcMar>
              <w:left w:w="50" w:type="dxa"/>
            </w:tcMar>
            <w:vAlign w:val="center"/>
          </w:tcPr>
          <w:p w14:paraId="0C53940E" w14:textId="77777777" w:rsidR="00AA05E0" w:rsidRDefault="004646BE">
            <w:pPr>
              <w:rPr>
                <w:rFonts w:hint="eastAsia"/>
              </w:rPr>
            </w:pPr>
            <w:r>
              <w:rPr>
                <w:rFonts w:cs="Calibri"/>
                <w:b/>
                <w:bCs/>
                <w:color w:val="FFFFFF"/>
              </w:rPr>
              <w:t> </w:t>
            </w:r>
          </w:p>
        </w:tc>
        <w:tc>
          <w:tcPr>
            <w:tcW w:w="1416" w:type="dxa"/>
            <w:tcBorders>
              <w:top w:val="single" w:sz="8" w:space="0" w:color="000001"/>
              <w:left w:val="single" w:sz="8" w:space="0" w:color="000001"/>
              <w:bottom w:val="single" w:sz="8" w:space="0" w:color="000001"/>
            </w:tcBorders>
            <w:shd w:val="clear" w:color="auto" w:fill="948A54"/>
            <w:tcMar>
              <w:left w:w="50" w:type="dxa"/>
            </w:tcMar>
            <w:vAlign w:val="center"/>
          </w:tcPr>
          <w:p w14:paraId="7D6385FE" w14:textId="77777777" w:rsidR="00AA05E0" w:rsidRDefault="004646BE">
            <w:pPr>
              <w:jc w:val="right"/>
              <w:rPr>
                <w:rFonts w:hint="eastAsia"/>
              </w:rPr>
            </w:pPr>
            <w:r>
              <w:rPr>
                <w:rFonts w:cs="Calibri"/>
                <w:b/>
                <w:bCs/>
                <w:color w:val="FFFFFF"/>
              </w:rPr>
              <w:t>248 700 Kč</w:t>
            </w:r>
          </w:p>
        </w:tc>
        <w:tc>
          <w:tcPr>
            <w:tcW w:w="1440" w:type="dxa"/>
            <w:tcBorders>
              <w:top w:val="single" w:sz="8" w:space="0" w:color="000001"/>
              <w:left w:val="single" w:sz="8" w:space="0" w:color="000001"/>
              <w:bottom w:val="single" w:sz="8" w:space="0" w:color="000001"/>
              <w:right w:val="single" w:sz="8" w:space="0" w:color="000001"/>
            </w:tcBorders>
            <w:shd w:val="clear" w:color="auto" w:fill="948A54"/>
            <w:tcMar>
              <w:left w:w="50" w:type="dxa"/>
            </w:tcMar>
            <w:vAlign w:val="center"/>
          </w:tcPr>
          <w:p w14:paraId="6E186838" w14:textId="77777777" w:rsidR="00AA05E0" w:rsidRDefault="004646BE">
            <w:pPr>
              <w:jc w:val="right"/>
              <w:rPr>
                <w:rFonts w:hint="eastAsia"/>
              </w:rPr>
            </w:pPr>
            <w:r>
              <w:rPr>
                <w:rFonts w:cs="Calibri"/>
                <w:b/>
                <w:bCs/>
                <w:color w:val="FFFFFF"/>
              </w:rPr>
              <w:t>300 927 Kč</w:t>
            </w:r>
          </w:p>
        </w:tc>
      </w:tr>
    </w:tbl>
    <w:p w14:paraId="27BA41C5" w14:textId="77777777" w:rsidR="00AA05E0" w:rsidRDefault="00AA05E0">
      <w:pPr>
        <w:pStyle w:val="Standard"/>
        <w:rPr>
          <w:rFonts w:hint="eastAsia"/>
        </w:rPr>
      </w:pPr>
    </w:p>
    <w:sectPr w:rsidR="00AA05E0">
      <w:footerReference w:type="default" r:id="rId9"/>
      <w:pgSz w:w="11906" w:h="16838"/>
      <w:pgMar w:top="1134" w:right="1134" w:bottom="1134" w:left="1134" w:header="0" w:footer="593" w:gutter="0"/>
      <w:cols w:space="708"/>
      <w:formProt w:val="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E266C8" w14:textId="77777777" w:rsidR="000D6A25" w:rsidRDefault="000D6A25">
      <w:pPr>
        <w:rPr>
          <w:rFonts w:hint="eastAsia"/>
        </w:rPr>
      </w:pPr>
      <w:r>
        <w:separator/>
      </w:r>
    </w:p>
  </w:endnote>
  <w:endnote w:type="continuationSeparator" w:id="0">
    <w:p w14:paraId="177ED989" w14:textId="77777777" w:rsidR="000D6A25" w:rsidRDefault="000D6A2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EE"/>
    <w:family w:val="roman"/>
    <w:pitch w:val="variable"/>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EE"/>
    <w:family w:val="swiss"/>
    <w:pitch w:val="variable"/>
    <w:sig w:usb0="E10022FF" w:usb1="C000E47F" w:usb2="00000029" w:usb3="00000000" w:csb0="000001D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3779A9" w14:textId="77777777" w:rsidR="00AA05E0" w:rsidRDefault="004646BE">
    <w:pPr>
      <w:pStyle w:val="Zpat"/>
      <w:jc w:val="center"/>
      <w:rPr>
        <w:rFonts w:hint="eastAsia"/>
      </w:rPr>
    </w:pPr>
    <w:r>
      <w:rPr>
        <w:sz w:val="20"/>
        <w:szCs w:val="20"/>
      </w:rPr>
      <w:t xml:space="preserve">Stránka </w:t>
    </w:r>
    <w:r>
      <w:rPr>
        <w:sz w:val="20"/>
        <w:szCs w:val="20"/>
      </w:rPr>
      <w:fldChar w:fldCharType="begin"/>
    </w:r>
    <w:r>
      <w:instrText>PAGE</w:instrText>
    </w:r>
    <w:r>
      <w:fldChar w:fldCharType="separate"/>
    </w:r>
    <w:r w:rsidR="00560BB2">
      <w:rPr>
        <w:rFonts w:hint="eastAsia"/>
        <w:noProof/>
      </w:rPr>
      <w:t>1</w:t>
    </w:r>
    <w:r>
      <w:fldChar w:fldCharType="end"/>
    </w:r>
    <w:r>
      <w:rPr>
        <w:sz w:val="20"/>
        <w:szCs w:val="20"/>
      </w:rPr>
      <w:t xml:space="preserve"> z </w:t>
    </w:r>
    <w:r>
      <w:rPr>
        <w:sz w:val="20"/>
        <w:szCs w:val="20"/>
      </w:rPr>
      <w:fldChar w:fldCharType="begin"/>
    </w:r>
    <w:r>
      <w:instrText>NUMPAGES</w:instrText>
    </w:r>
    <w:r>
      <w:fldChar w:fldCharType="separate"/>
    </w:r>
    <w:r w:rsidR="00560BB2">
      <w:rPr>
        <w:rFonts w:hint="eastAsia"/>
        <w:noProof/>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4E2EFC" w14:textId="77777777" w:rsidR="000D6A25" w:rsidRDefault="000D6A25">
      <w:pPr>
        <w:rPr>
          <w:rFonts w:hint="eastAsia"/>
        </w:rPr>
      </w:pPr>
      <w:r>
        <w:separator/>
      </w:r>
    </w:p>
  </w:footnote>
  <w:footnote w:type="continuationSeparator" w:id="0">
    <w:p w14:paraId="02278300" w14:textId="77777777" w:rsidR="000D6A25" w:rsidRDefault="000D6A25">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568D0"/>
    <w:multiLevelType w:val="multilevel"/>
    <w:tmpl w:val="9A367B9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51AE5698"/>
    <w:multiLevelType w:val="multilevel"/>
    <w:tmpl w:val="8DC2E9BE"/>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5B3B2AE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5714A0C"/>
    <w:multiLevelType w:val="multilevel"/>
    <w:tmpl w:val="D7240D76"/>
    <w:lvl w:ilvl="0">
      <w:start w:val="1"/>
      <w:numFmt w:val="bullet"/>
      <w:lvlText w:val=""/>
      <w:lvlJc w:val="left"/>
      <w:pPr>
        <w:tabs>
          <w:tab w:val="num" w:pos="360"/>
        </w:tabs>
        <w:ind w:left="360" w:hanging="360"/>
      </w:pPr>
      <w:rPr>
        <w:rFonts w:ascii="Symbol" w:hAnsi="Symbol" w:cs="Symbol" w:hint="default"/>
        <w:lang w:eastAsia="zh-T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trackRevisions/>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5E0"/>
    <w:rsid w:val="000D6A25"/>
    <w:rsid w:val="001008EE"/>
    <w:rsid w:val="00183177"/>
    <w:rsid w:val="0025051F"/>
    <w:rsid w:val="002C4E1B"/>
    <w:rsid w:val="003C05E8"/>
    <w:rsid w:val="00421A31"/>
    <w:rsid w:val="004646BE"/>
    <w:rsid w:val="0054661B"/>
    <w:rsid w:val="00560BB2"/>
    <w:rsid w:val="00563581"/>
    <w:rsid w:val="00671FB6"/>
    <w:rsid w:val="00751140"/>
    <w:rsid w:val="007E1D98"/>
    <w:rsid w:val="00817F42"/>
    <w:rsid w:val="00950469"/>
    <w:rsid w:val="009F03DF"/>
    <w:rsid w:val="00AA05E0"/>
    <w:rsid w:val="00AC0613"/>
    <w:rsid w:val="00B96C99"/>
    <w:rsid w:val="00CA6CFD"/>
    <w:rsid w:val="00D00E94"/>
    <w:rsid w:val="00F37DFD"/>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BF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Arial"/>
        <w:szCs w:val="24"/>
        <w:lang w:val="cs-CZ"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textAlignment w:val="baseline"/>
    </w:pPr>
    <w:rPr>
      <w:color w:val="00000A"/>
      <w:sz w:val="24"/>
    </w:rPr>
  </w:style>
  <w:style w:type="paragraph" w:styleId="Nadpis1">
    <w:name w:val="heading 1"/>
    <w:basedOn w:val="Normln"/>
    <w:link w:val="Nadpis1Char"/>
    <w:qFormat/>
    <w:rsid w:val="00823E19"/>
    <w:pPr>
      <w:keepNext/>
      <w:suppressAutoHyphens w:val="0"/>
      <w:spacing w:before="240" w:line="240" w:lineRule="atLeast"/>
      <w:jc w:val="both"/>
      <w:textAlignment w:val="auto"/>
      <w:outlineLvl w:val="0"/>
    </w:pPr>
    <w:rPr>
      <w:rFonts w:ascii="Arial" w:eastAsia="Times New Roman" w:hAnsi="Arial" w:cs="Times New Roman"/>
      <w:b/>
      <w:szCs w:val="20"/>
      <w:lang w:eastAsia="cs-CZ" w:bidi="ar-SA"/>
    </w:rPr>
  </w:style>
  <w:style w:type="paragraph" w:styleId="Nadpis2">
    <w:name w:val="heading 2"/>
    <w:basedOn w:val="Normln"/>
    <w:link w:val="Nadpis2Char"/>
    <w:qFormat/>
    <w:rsid w:val="006606E3"/>
    <w:pPr>
      <w:keepNext/>
      <w:suppressAutoHyphens w:val="0"/>
      <w:spacing w:line="240" w:lineRule="atLeast"/>
      <w:jc w:val="both"/>
      <w:textAlignment w:val="auto"/>
      <w:outlineLvl w:val="1"/>
    </w:pPr>
    <w:rPr>
      <w:rFonts w:ascii="Arial" w:eastAsia="Times New Roman" w:hAnsi="Arial" w:cs="Times New Roman"/>
      <w:b/>
      <w:sz w:val="20"/>
      <w:szCs w:val="20"/>
      <w:u w:val="single"/>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823E19"/>
    <w:rPr>
      <w:rFonts w:ascii="Arial" w:eastAsia="Times New Roman" w:hAnsi="Arial" w:cs="Times New Roman"/>
      <w:b/>
      <w:szCs w:val="20"/>
      <w:lang w:eastAsia="cs-CZ" w:bidi="ar-SA"/>
    </w:rPr>
  </w:style>
  <w:style w:type="character" w:customStyle="1" w:styleId="Nadpis2Char">
    <w:name w:val="Nadpis 2 Char"/>
    <w:basedOn w:val="Standardnpsmoodstavce"/>
    <w:link w:val="Nadpis2"/>
    <w:qFormat/>
    <w:rsid w:val="006606E3"/>
    <w:rPr>
      <w:rFonts w:ascii="Arial" w:eastAsia="Times New Roman" w:hAnsi="Arial" w:cs="Times New Roman"/>
      <w:b/>
      <w:sz w:val="20"/>
      <w:szCs w:val="20"/>
      <w:u w:val="single"/>
      <w:lang w:eastAsia="cs-CZ" w:bidi="ar-SA"/>
    </w:rPr>
  </w:style>
  <w:style w:type="character" w:customStyle="1" w:styleId="StandardChar">
    <w:name w:val="Standard Char"/>
    <w:basedOn w:val="Standardnpsmoodstavce"/>
    <w:link w:val="Standard"/>
    <w:qFormat/>
    <w:rsid w:val="00823E19"/>
  </w:style>
  <w:style w:type="character" w:customStyle="1" w:styleId="Odstavec1Char">
    <w:name w:val="Odstavec 1 Char"/>
    <w:basedOn w:val="StandardChar"/>
    <w:link w:val="Odstavec1"/>
    <w:qFormat/>
    <w:rsid w:val="00823E19"/>
    <w:rPr>
      <w:rFonts w:ascii="Arial" w:hAnsi="Arial"/>
      <w:sz w:val="22"/>
      <w:szCs w:val="22"/>
    </w:rPr>
  </w:style>
  <w:style w:type="character" w:customStyle="1" w:styleId="ZkladntextChar">
    <w:name w:val="Základní text Char"/>
    <w:basedOn w:val="Standardnpsmoodstavce"/>
    <w:link w:val="Zkladntext"/>
    <w:qFormat/>
    <w:rsid w:val="00790577"/>
    <w:rPr>
      <w:rFonts w:ascii="Arial" w:eastAsia="Times New Roman" w:hAnsi="Arial" w:cs="Times New Roman"/>
      <w:sz w:val="16"/>
      <w:szCs w:val="20"/>
      <w:lang w:eastAsia="cs-CZ" w:bidi="ar-SA"/>
    </w:rPr>
  </w:style>
  <w:style w:type="character" w:styleId="Siln">
    <w:name w:val="Strong"/>
    <w:qFormat/>
    <w:rsid w:val="00790577"/>
    <w:rPr>
      <w:b/>
      <w:bCs/>
    </w:rPr>
  </w:style>
  <w:style w:type="character" w:customStyle="1" w:styleId="ZhlavChar">
    <w:name w:val="Záhlaví Char"/>
    <w:basedOn w:val="Standardnpsmoodstavce"/>
    <w:link w:val="Zhlav"/>
    <w:uiPriority w:val="99"/>
    <w:qFormat/>
    <w:rsid w:val="00D03E1B"/>
    <w:rPr>
      <w:rFonts w:cs="Mangal"/>
      <w:szCs w:val="21"/>
    </w:rPr>
  </w:style>
  <w:style w:type="character" w:customStyle="1" w:styleId="ZpatChar">
    <w:name w:val="Zápatí Char"/>
    <w:basedOn w:val="Standardnpsmoodstavce"/>
    <w:link w:val="Zpat"/>
    <w:uiPriority w:val="99"/>
    <w:qFormat/>
    <w:rsid w:val="00D03E1B"/>
    <w:rPr>
      <w:rFonts w:cs="Mangal"/>
      <w:szCs w:val="21"/>
    </w:rPr>
  </w:style>
  <w:style w:type="character" w:customStyle="1" w:styleId="ListLabel1">
    <w:name w:val="ListLabel 1"/>
    <w:qFormat/>
    <w:rPr>
      <w:rFonts w:ascii="Arial" w:hAnsi="Arial" w:cs="Symbol"/>
      <w:lang w:eastAsia="zh-TW"/>
    </w:rPr>
  </w:style>
  <w:style w:type="character" w:customStyle="1" w:styleId="ListLabel2">
    <w:name w:val="ListLabel 2"/>
    <w:qFormat/>
    <w:rPr>
      <w:rFonts w:ascii="Arial" w:hAnsi="Arial" w:cs="Symbol"/>
    </w:rPr>
  </w:style>
  <w:style w:type="character" w:customStyle="1" w:styleId="ListLabel3">
    <w:name w:val="ListLabel 3"/>
    <w:qFormat/>
    <w:rPr>
      <w:rFonts w:ascii="Arial" w:hAnsi="Arial" w:cs="Symbol"/>
      <w:lang w:eastAsia="zh-TW"/>
    </w:rPr>
  </w:style>
  <w:style w:type="character" w:customStyle="1" w:styleId="ListLabel4">
    <w:name w:val="ListLabel 4"/>
    <w:qFormat/>
    <w:rPr>
      <w:rFonts w:ascii="Arial" w:hAnsi="Arial" w:cs="Symbol"/>
    </w:rPr>
  </w:style>
  <w:style w:type="paragraph" w:customStyle="1" w:styleId="Nadpis">
    <w:name w:val="Nadpis"/>
    <w:next w:val="Zkladntext"/>
    <w:qFormat/>
    <w:pPr>
      <w:keepNext/>
      <w:widowControl w:val="0"/>
      <w:spacing w:before="240" w:after="120"/>
    </w:pPr>
    <w:rPr>
      <w:rFonts w:ascii="Liberation Sans" w:eastAsia="Microsoft YaHei" w:hAnsi="Liberation Sans"/>
      <w:sz w:val="28"/>
      <w:szCs w:val="28"/>
    </w:rPr>
  </w:style>
  <w:style w:type="paragraph" w:styleId="Zkladntext">
    <w:name w:val="Body Text"/>
    <w:basedOn w:val="Normln"/>
    <w:link w:val="ZkladntextChar"/>
    <w:rsid w:val="00790577"/>
    <w:pPr>
      <w:suppressAutoHyphens w:val="0"/>
      <w:jc w:val="center"/>
      <w:textAlignment w:val="auto"/>
    </w:pPr>
    <w:rPr>
      <w:rFonts w:ascii="Arial" w:eastAsia="Times New Roman" w:hAnsi="Arial" w:cs="Times New Roman"/>
      <w:sz w:val="16"/>
      <w:szCs w:val="20"/>
      <w:lang w:eastAsia="cs-CZ" w:bidi="ar-SA"/>
    </w:rPr>
  </w:style>
  <w:style w:type="paragraph" w:styleId="Seznam">
    <w:name w:val="List"/>
    <w:pPr>
      <w:widowControl w:val="0"/>
    </w:pPr>
    <w:rPr>
      <w:sz w:val="24"/>
    </w:rPr>
  </w:style>
  <w:style w:type="paragraph" w:styleId="Titulek">
    <w:name w:val="caption"/>
    <w:basedOn w:val="Standard"/>
    <w:qFormat/>
    <w:pPr>
      <w:suppressLineNumbers/>
      <w:spacing w:before="120" w:after="120"/>
    </w:pPr>
    <w:rPr>
      <w:i/>
      <w:iCs/>
    </w:rPr>
  </w:style>
  <w:style w:type="paragraph" w:customStyle="1" w:styleId="Rejstk">
    <w:name w:val="Rejstřík"/>
    <w:qFormat/>
    <w:pPr>
      <w:widowControl w:val="0"/>
      <w:suppressLineNumbers/>
    </w:pPr>
    <w:rPr>
      <w:sz w:val="24"/>
    </w:rPr>
  </w:style>
  <w:style w:type="paragraph" w:customStyle="1" w:styleId="Standard">
    <w:name w:val="Standard"/>
    <w:link w:val="StandardChar"/>
    <w:qFormat/>
    <w:rPr>
      <w:color w:val="00000A"/>
      <w:sz w:val="24"/>
    </w:rPr>
  </w:style>
  <w:style w:type="paragraph" w:customStyle="1" w:styleId="Textbody">
    <w:name w:val="Text body"/>
    <w:basedOn w:val="Standard"/>
    <w:qFormat/>
    <w:pPr>
      <w:spacing w:after="140" w:line="288" w:lineRule="auto"/>
    </w:pPr>
  </w:style>
  <w:style w:type="paragraph" w:customStyle="1" w:styleId="Odstavec1">
    <w:name w:val="Odstavec 1"/>
    <w:basedOn w:val="Standard"/>
    <w:link w:val="Odstavec1Char"/>
    <w:qFormat/>
    <w:rsid w:val="00823E19"/>
    <w:pPr>
      <w:spacing w:before="60" w:after="60"/>
      <w:ind w:left="567" w:hanging="567"/>
    </w:pPr>
    <w:rPr>
      <w:rFonts w:ascii="Arial" w:hAnsi="Arial"/>
      <w:sz w:val="22"/>
      <w:szCs w:val="22"/>
    </w:rPr>
  </w:style>
  <w:style w:type="paragraph" w:styleId="Seznamsodrkami3">
    <w:name w:val="List Bullet 3"/>
    <w:basedOn w:val="Normln"/>
    <w:uiPriority w:val="99"/>
    <w:semiHidden/>
    <w:unhideWhenUsed/>
    <w:qFormat/>
    <w:rsid w:val="00604373"/>
    <w:pPr>
      <w:ind w:left="566" w:hanging="283"/>
      <w:contextualSpacing/>
    </w:pPr>
    <w:rPr>
      <w:rFonts w:cs="Mangal"/>
      <w:szCs w:val="21"/>
    </w:rPr>
  </w:style>
  <w:style w:type="paragraph" w:styleId="Zhlav">
    <w:name w:val="header"/>
    <w:basedOn w:val="Normln"/>
    <w:link w:val="ZhlavChar"/>
    <w:uiPriority w:val="99"/>
    <w:unhideWhenUsed/>
    <w:rsid w:val="00D03E1B"/>
    <w:pPr>
      <w:tabs>
        <w:tab w:val="center" w:pos="4536"/>
        <w:tab w:val="right" w:pos="9072"/>
      </w:tabs>
    </w:pPr>
    <w:rPr>
      <w:rFonts w:cs="Mangal"/>
      <w:szCs w:val="21"/>
    </w:rPr>
  </w:style>
  <w:style w:type="paragraph" w:styleId="Zpat">
    <w:name w:val="footer"/>
    <w:basedOn w:val="Normln"/>
    <w:link w:val="ZpatChar"/>
    <w:uiPriority w:val="99"/>
    <w:unhideWhenUsed/>
    <w:rsid w:val="00D03E1B"/>
    <w:pPr>
      <w:tabs>
        <w:tab w:val="center" w:pos="4536"/>
        <w:tab w:val="right" w:pos="9072"/>
      </w:tabs>
    </w:pPr>
    <w:rPr>
      <w:rFonts w:cs="Mangal"/>
      <w:szCs w:val="21"/>
    </w:rPr>
  </w:style>
  <w:style w:type="character" w:styleId="Odkaznakoment">
    <w:name w:val="annotation reference"/>
    <w:basedOn w:val="Standardnpsmoodstavce"/>
    <w:uiPriority w:val="99"/>
    <w:semiHidden/>
    <w:unhideWhenUsed/>
    <w:rsid w:val="0025051F"/>
    <w:rPr>
      <w:sz w:val="16"/>
      <w:szCs w:val="16"/>
    </w:rPr>
  </w:style>
  <w:style w:type="paragraph" w:styleId="Textkomente">
    <w:name w:val="annotation text"/>
    <w:basedOn w:val="Normln"/>
    <w:link w:val="TextkomenteChar"/>
    <w:uiPriority w:val="99"/>
    <w:semiHidden/>
    <w:unhideWhenUsed/>
    <w:rsid w:val="0025051F"/>
    <w:rPr>
      <w:rFonts w:cs="Mangal"/>
      <w:sz w:val="20"/>
      <w:szCs w:val="18"/>
    </w:rPr>
  </w:style>
  <w:style w:type="character" w:customStyle="1" w:styleId="TextkomenteChar">
    <w:name w:val="Text komentáře Char"/>
    <w:basedOn w:val="Standardnpsmoodstavce"/>
    <w:link w:val="Textkomente"/>
    <w:uiPriority w:val="99"/>
    <w:semiHidden/>
    <w:rsid w:val="0025051F"/>
    <w:rPr>
      <w:rFonts w:cs="Mangal"/>
      <w:color w:val="00000A"/>
      <w:szCs w:val="18"/>
    </w:rPr>
  </w:style>
  <w:style w:type="paragraph" w:styleId="Pedmtkomente">
    <w:name w:val="annotation subject"/>
    <w:basedOn w:val="Textkomente"/>
    <w:next w:val="Textkomente"/>
    <w:link w:val="PedmtkomenteChar"/>
    <w:uiPriority w:val="99"/>
    <w:semiHidden/>
    <w:unhideWhenUsed/>
    <w:rsid w:val="0025051F"/>
    <w:rPr>
      <w:b/>
      <w:bCs/>
    </w:rPr>
  </w:style>
  <w:style w:type="character" w:customStyle="1" w:styleId="PedmtkomenteChar">
    <w:name w:val="Předmět komentáře Char"/>
    <w:basedOn w:val="TextkomenteChar"/>
    <w:link w:val="Pedmtkomente"/>
    <w:uiPriority w:val="99"/>
    <w:semiHidden/>
    <w:rsid w:val="0025051F"/>
    <w:rPr>
      <w:rFonts w:cs="Mangal"/>
      <w:b/>
      <w:bCs/>
      <w:color w:val="00000A"/>
      <w:szCs w:val="18"/>
    </w:rPr>
  </w:style>
  <w:style w:type="paragraph" w:styleId="Textbubliny">
    <w:name w:val="Balloon Text"/>
    <w:basedOn w:val="Normln"/>
    <w:link w:val="TextbublinyChar"/>
    <w:uiPriority w:val="99"/>
    <w:semiHidden/>
    <w:unhideWhenUsed/>
    <w:rsid w:val="0025051F"/>
    <w:rPr>
      <w:rFonts w:ascii="Segoe UI" w:hAnsi="Segoe UI" w:cs="Mangal"/>
      <w:sz w:val="18"/>
      <w:szCs w:val="16"/>
    </w:rPr>
  </w:style>
  <w:style w:type="character" w:customStyle="1" w:styleId="TextbublinyChar">
    <w:name w:val="Text bubliny Char"/>
    <w:basedOn w:val="Standardnpsmoodstavce"/>
    <w:link w:val="Textbubliny"/>
    <w:uiPriority w:val="99"/>
    <w:semiHidden/>
    <w:rsid w:val="0025051F"/>
    <w:rPr>
      <w:rFonts w:ascii="Segoe UI" w:hAnsi="Segoe UI" w:cs="Mangal"/>
      <w:color w:val="00000A"/>
      <w:sz w:val="18"/>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Arial"/>
        <w:szCs w:val="24"/>
        <w:lang w:val="cs-CZ"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textAlignment w:val="baseline"/>
    </w:pPr>
    <w:rPr>
      <w:color w:val="00000A"/>
      <w:sz w:val="24"/>
    </w:rPr>
  </w:style>
  <w:style w:type="paragraph" w:styleId="Nadpis1">
    <w:name w:val="heading 1"/>
    <w:basedOn w:val="Normln"/>
    <w:link w:val="Nadpis1Char"/>
    <w:qFormat/>
    <w:rsid w:val="00823E19"/>
    <w:pPr>
      <w:keepNext/>
      <w:suppressAutoHyphens w:val="0"/>
      <w:spacing w:before="240" w:line="240" w:lineRule="atLeast"/>
      <w:jc w:val="both"/>
      <w:textAlignment w:val="auto"/>
      <w:outlineLvl w:val="0"/>
    </w:pPr>
    <w:rPr>
      <w:rFonts w:ascii="Arial" w:eastAsia="Times New Roman" w:hAnsi="Arial" w:cs="Times New Roman"/>
      <w:b/>
      <w:szCs w:val="20"/>
      <w:lang w:eastAsia="cs-CZ" w:bidi="ar-SA"/>
    </w:rPr>
  </w:style>
  <w:style w:type="paragraph" w:styleId="Nadpis2">
    <w:name w:val="heading 2"/>
    <w:basedOn w:val="Normln"/>
    <w:link w:val="Nadpis2Char"/>
    <w:qFormat/>
    <w:rsid w:val="006606E3"/>
    <w:pPr>
      <w:keepNext/>
      <w:suppressAutoHyphens w:val="0"/>
      <w:spacing w:line="240" w:lineRule="atLeast"/>
      <w:jc w:val="both"/>
      <w:textAlignment w:val="auto"/>
      <w:outlineLvl w:val="1"/>
    </w:pPr>
    <w:rPr>
      <w:rFonts w:ascii="Arial" w:eastAsia="Times New Roman" w:hAnsi="Arial" w:cs="Times New Roman"/>
      <w:b/>
      <w:sz w:val="20"/>
      <w:szCs w:val="20"/>
      <w:u w:val="single"/>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823E19"/>
    <w:rPr>
      <w:rFonts w:ascii="Arial" w:eastAsia="Times New Roman" w:hAnsi="Arial" w:cs="Times New Roman"/>
      <w:b/>
      <w:szCs w:val="20"/>
      <w:lang w:eastAsia="cs-CZ" w:bidi="ar-SA"/>
    </w:rPr>
  </w:style>
  <w:style w:type="character" w:customStyle="1" w:styleId="Nadpis2Char">
    <w:name w:val="Nadpis 2 Char"/>
    <w:basedOn w:val="Standardnpsmoodstavce"/>
    <w:link w:val="Nadpis2"/>
    <w:qFormat/>
    <w:rsid w:val="006606E3"/>
    <w:rPr>
      <w:rFonts w:ascii="Arial" w:eastAsia="Times New Roman" w:hAnsi="Arial" w:cs="Times New Roman"/>
      <w:b/>
      <w:sz w:val="20"/>
      <w:szCs w:val="20"/>
      <w:u w:val="single"/>
      <w:lang w:eastAsia="cs-CZ" w:bidi="ar-SA"/>
    </w:rPr>
  </w:style>
  <w:style w:type="character" w:customStyle="1" w:styleId="StandardChar">
    <w:name w:val="Standard Char"/>
    <w:basedOn w:val="Standardnpsmoodstavce"/>
    <w:link w:val="Standard"/>
    <w:qFormat/>
    <w:rsid w:val="00823E19"/>
  </w:style>
  <w:style w:type="character" w:customStyle="1" w:styleId="Odstavec1Char">
    <w:name w:val="Odstavec 1 Char"/>
    <w:basedOn w:val="StandardChar"/>
    <w:link w:val="Odstavec1"/>
    <w:qFormat/>
    <w:rsid w:val="00823E19"/>
    <w:rPr>
      <w:rFonts w:ascii="Arial" w:hAnsi="Arial"/>
      <w:sz w:val="22"/>
      <w:szCs w:val="22"/>
    </w:rPr>
  </w:style>
  <w:style w:type="character" w:customStyle="1" w:styleId="ZkladntextChar">
    <w:name w:val="Základní text Char"/>
    <w:basedOn w:val="Standardnpsmoodstavce"/>
    <w:link w:val="Zkladntext"/>
    <w:qFormat/>
    <w:rsid w:val="00790577"/>
    <w:rPr>
      <w:rFonts w:ascii="Arial" w:eastAsia="Times New Roman" w:hAnsi="Arial" w:cs="Times New Roman"/>
      <w:sz w:val="16"/>
      <w:szCs w:val="20"/>
      <w:lang w:eastAsia="cs-CZ" w:bidi="ar-SA"/>
    </w:rPr>
  </w:style>
  <w:style w:type="character" w:styleId="Siln">
    <w:name w:val="Strong"/>
    <w:qFormat/>
    <w:rsid w:val="00790577"/>
    <w:rPr>
      <w:b/>
      <w:bCs/>
    </w:rPr>
  </w:style>
  <w:style w:type="character" w:customStyle="1" w:styleId="ZhlavChar">
    <w:name w:val="Záhlaví Char"/>
    <w:basedOn w:val="Standardnpsmoodstavce"/>
    <w:link w:val="Zhlav"/>
    <w:uiPriority w:val="99"/>
    <w:qFormat/>
    <w:rsid w:val="00D03E1B"/>
    <w:rPr>
      <w:rFonts w:cs="Mangal"/>
      <w:szCs w:val="21"/>
    </w:rPr>
  </w:style>
  <w:style w:type="character" w:customStyle="1" w:styleId="ZpatChar">
    <w:name w:val="Zápatí Char"/>
    <w:basedOn w:val="Standardnpsmoodstavce"/>
    <w:link w:val="Zpat"/>
    <w:uiPriority w:val="99"/>
    <w:qFormat/>
    <w:rsid w:val="00D03E1B"/>
    <w:rPr>
      <w:rFonts w:cs="Mangal"/>
      <w:szCs w:val="21"/>
    </w:rPr>
  </w:style>
  <w:style w:type="character" w:customStyle="1" w:styleId="ListLabel1">
    <w:name w:val="ListLabel 1"/>
    <w:qFormat/>
    <w:rPr>
      <w:rFonts w:ascii="Arial" w:hAnsi="Arial" w:cs="Symbol"/>
      <w:lang w:eastAsia="zh-TW"/>
    </w:rPr>
  </w:style>
  <w:style w:type="character" w:customStyle="1" w:styleId="ListLabel2">
    <w:name w:val="ListLabel 2"/>
    <w:qFormat/>
    <w:rPr>
      <w:rFonts w:ascii="Arial" w:hAnsi="Arial" w:cs="Symbol"/>
    </w:rPr>
  </w:style>
  <w:style w:type="character" w:customStyle="1" w:styleId="ListLabel3">
    <w:name w:val="ListLabel 3"/>
    <w:qFormat/>
    <w:rPr>
      <w:rFonts w:ascii="Arial" w:hAnsi="Arial" w:cs="Symbol"/>
      <w:lang w:eastAsia="zh-TW"/>
    </w:rPr>
  </w:style>
  <w:style w:type="character" w:customStyle="1" w:styleId="ListLabel4">
    <w:name w:val="ListLabel 4"/>
    <w:qFormat/>
    <w:rPr>
      <w:rFonts w:ascii="Arial" w:hAnsi="Arial" w:cs="Symbol"/>
    </w:rPr>
  </w:style>
  <w:style w:type="paragraph" w:customStyle="1" w:styleId="Nadpis">
    <w:name w:val="Nadpis"/>
    <w:next w:val="Zkladntext"/>
    <w:qFormat/>
    <w:pPr>
      <w:keepNext/>
      <w:widowControl w:val="0"/>
      <w:spacing w:before="240" w:after="120"/>
    </w:pPr>
    <w:rPr>
      <w:rFonts w:ascii="Liberation Sans" w:eastAsia="Microsoft YaHei" w:hAnsi="Liberation Sans"/>
      <w:sz w:val="28"/>
      <w:szCs w:val="28"/>
    </w:rPr>
  </w:style>
  <w:style w:type="paragraph" w:styleId="Zkladntext">
    <w:name w:val="Body Text"/>
    <w:basedOn w:val="Normln"/>
    <w:link w:val="ZkladntextChar"/>
    <w:rsid w:val="00790577"/>
    <w:pPr>
      <w:suppressAutoHyphens w:val="0"/>
      <w:jc w:val="center"/>
      <w:textAlignment w:val="auto"/>
    </w:pPr>
    <w:rPr>
      <w:rFonts w:ascii="Arial" w:eastAsia="Times New Roman" w:hAnsi="Arial" w:cs="Times New Roman"/>
      <w:sz w:val="16"/>
      <w:szCs w:val="20"/>
      <w:lang w:eastAsia="cs-CZ" w:bidi="ar-SA"/>
    </w:rPr>
  </w:style>
  <w:style w:type="paragraph" w:styleId="Seznam">
    <w:name w:val="List"/>
    <w:pPr>
      <w:widowControl w:val="0"/>
    </w:pPr>
    <w:rPr>
      <w:sz w:val="24"/>
    </w:rPr>
  </w:style>
  <w:style w:type="paragraph" w:styleId="Titulek">
    <w:name w:val="caption"/>
    <w:basedOn w:val="Standard"/>
    <w:qFormat/>
    <w:pPr>
      <w:suppressLineNumbers/>
      <w:spacing w:before="120" w:after="120"/>
    </w:pPr>
    <w:rPr>
      <w:i/>
      <w:iCs/>
    </w:rPr>
  </w:style>
  <w:style w:type="paragraph" w:customStyle="1" w:styleId="Rejstk">
    <w:name w:val="Rejstřík"/>
    <w:qFormat/>
    <w:pPr>
      <w:widowControl w:val="0"/>
      <w:suppressLineNumbers/>
    </w:pPr>
    <w:rPr>
      <w:sz w:val="24"/>
    </w:rPr>
  </w:style>
  <w:style w:type="paragraph" w:customStyle="1" w:styleId="Standard">
    <w:name w:val="Standard"/>
    <w:link w:val="StandardChar"/>
    <w:qFormat/>
    <w:rPr>
      <w:color w:val="00000A"/>
      <w:sz w:val="24"/>
    </w:rPr>
  </w:style>
  <w:style w:type="paragraph" w:customStyle="1" w:styleId="Textbody">
    <w:name w:val="Text body"/>
    <w:basedOn w:val="Standard"/>
    <w:qFormat/>
    <w:pPr>
      <w:spacing w:after="140" w:line="288" w:lineRule="auto"/>
    </w:pPr>
  </w:style>
  <w:style w:type="paragraph" w:customStyle="1" w:styleId="Odstavec1">
    <w:name w:val="Odstavec 1"/>
    <w:basedOn w:val="Standard"/>
    <w:link w:val="Odstavec1Char"/>
    <w:qFormat/>
    <w:rsid w:val="00823E19"/>
    <w:pPr>
      <w:spacing w:before="60" w:after="60"/>
      <w:ind w:left="567" w:hanging="567"/>
    </w:pPr>
    <w:rPr>
      <w:rFonts w:ascii="Arial" w:hAnsi="Arial"/>
      <w:sz w:val="22"/>
      <w:szCs w:val="22"/>
    </w:rPr>
  </w:style>
  <w:style w:type="paragraph" w:styleId="Seznamsodrkami3">
    <w:name w:val="List Bullet 3"/>
    <w:basedOn w:val="Normln"/>
    <w:uiPriority w:val="99"/>
    <w:semiHidden/>
    <w:unhideWhenUsed/>
    <w:qFormat/>
    <w:rsid w:val="00604373"/>
    <w:pPr>
      <w:ind w:left="566" w:hanging="283"/>
      <w:contextualSpacing/>
    </w:pPr>
    <w:rPr>
      <w:rFonts w:cs="Mangal"/>
      <w:szCs w:val="21"/>
    </w:rPr>
  </w:style>
  <w:style w:type="paragraph" w:styleId="Zhlav">
    <w:name w:val="header"/>
    <w:basedOn w:val="Normln"/>
    <w:link w:val="ZhlavChar"/>
    <w:uiPriority w:val="99"/>
    <w:unhideWhenUsed/>
    <w:rsid w:val="00D03E1B"/>
    <w:pPr>
      <w:tabs>
        <w:tab w:val="center" w:pos="4536"/>
        <w:tab w:val="right" w:pos="9072"/>
      </w:tabs>
    </w:pPr>
    <w:rPr>
      <w:rFonts w:cs="Mangal"/>
      <w:szCs w:val="21"/>
    </w:rPr>
  </w:style>
  <w:style w:type="paragraph" w:styleId="Zpat">
    <w:name w:val="footer"/>
    <w:basedOn w:val="Normln"/>
    <w:link w:val="ZpatChar"/>
    <w:uiPriority w:val="99"/>
    <w:unhideWhenUsed/>
    <w:rsid w:val="00D03E1B"/>
    <w:pPr>
      <w:tabs>
        <w:tab w:val="center" w:pos="4536"/>
        <w:tab w:val="right" w:pos="9072"/>
      </w:tabs>
    </w:pPr>
    <w:rPr>
      <w:rFonts w:cs="Mangal"/>
      <w:szCs w:val="21"/>
    </w:rPr>
  </w:style>
  <w:style w:type="character" w:styleId="Odkaznakoment">
    <w:name w:val="annotation reference"/>
    <w:basedOn w:val="Standardnpsmoodstavce"/>
    <w:uiPriority w:val="99"/>
    <w:semiHidden/>
    <w:unhideWhenUsed/>
    <w:rsid w:val="0025051F"/>
    <w:rPr>
      <w:sz w:val="16"/>
      <w:szCs w:val="16"/>
    </w:rPr>
  </w:style>
  <w:style w:type="paragraph" w:styleId="Textkomente">
    <w:name w:val="annotation text"/>
    <w:basedOn w:val="Normln"/>
    <w:link w:val="TextkomenteChar"/>
    <w:uiPriority w:val="99"/>
    <w:semiHidden/>
    <w:unhideWhenUsed/>
    <w:rsid w:val="0025051F"/>
    <w:rPr>
      <w:rFonts w:cs="Mangal"/>
      <w:sz w:val="20"/>
      <w:szCs w:val="18"/>
    </w:rPr>
  </w:style>
  <w:style w:type="character" w:customStyle="1" w:styleId="TextkomenteChar">
    <w:name w:val="Text komentáře Char"/>
    <w:basedOn w:val="Standardnpsmoodstavce"/>
    <w:link w:val="Textkomente"/>
    <w:uiPriority w:val="99"/>
    <w:semiHidden/>
    <w:rsid w:val="0025051F"/>
    <w:rPr>
      <w:rFonts w:cs="Mangal"/>
      <w:color w:val="00000A"/>
      <w:szCs w:val="18"/>
    </w:rPr>
  </w:style>
  <w:style w:type="paragraph" w:styleId="Pedmtkomente">
    <w:name w:val="annotation subject"/>
    <w:basedOn w:val="Textkomente"/>
    <w:next w:val="Textkomente"/>
    <w:link w:val="PedmtkomenteChar"/>
    <w:uiPriority w:val="99"/>
    <w:semiHidden/>
    <w:unhideWhenUsed/>
    <w:rsid w:val="0025051F"/>
    <w:rPr>
      <w:b/>
      <w:bCs/>
    </w:rPr>
  </w:style>
  <w:style w:type="character" w:customStyle="1" w:styleId="PedmtkomenteChar">
    <w:name w:val="Předmět komentáře Char"/>
    <w:basedOn w:val="TextkomenteChar"/>
    <w:link w:val="Pedmtkomente"/>
    <w:uiPriority w:val="99"/>
    <w:semiHidden/>
    <w:rsid w:val="0025051F"/>
    <w:rPr>
      <w:rFonts w:cs="Mangal"/>
      <w:b/>
      <w:bCs/>
      <w:color w:val="00000A"/>
      <w:szCs w:val="18"/>
    </w:rPr>
  </w:style>
  <w:style w:type="paragraph" w:styleId="Textbubliny">
    <w:name w:val="Balloon Text"/>
    <w:basedOn w:val="Normln"/>
    <w:link w:val="TextbublinyChar"/>
    <w:uiPriority w:val="99"/>
    <w:semiHidden/>
    <w:unhideWhenUsed/>
    <w:rsid w:val="0025051F"/>
    <w:rPr>
      <w:rFonts w:ascii="Segoe UI" w:hAnsi="Segoe UI" w:cs="Mangal"/>
      <w:sz w:val="18"/>
      <w:szCs w:val="16"/>
    </w:rPr>
  </w:style>
  <w:style w:type="character" w:customStyle="1" w:styleId="TextbublinyChar">
    <w:name w:val="Text bubliny Char"/>
    <w:basedOn w:val="Standardnpsmoodstavce"/>
    <w:link w:val="Textbubliny"/>
    <w:uiPriority w:val="99"/>
    <w:semiHidden/>
    <w:rsid w:val="0025051F"/>
    <w:rPr>
      <w:rFonts w:ascii="Segoe UI" w:hAnsi="Segoe UI" w:cs="Mangal"/>
      <w:color w:val="00000A"/>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2762</Words>
  <Characters>16302</Characters>
  <Application>Microsoft Office Word</Application>
  <DocSecurity>0</DocSecurity>
  <Lines>135</Lines>
  <Paragraphs>38</Paragraphs>
  <ScaleCrop>false</ScaleCrop>
  <HeadingPairs>
    <vt:vector size="2" baseType="variant">
      <vt:variant>
        <vt:lpstr>Název</vt:lpstr>
      </vt:variant>
      <vt:variant>
        <vt:i4>1</vt:i4>
      </vt:variant>
    </vt:vector>
  </HeadingPairs>
  <TitlesOfParts>
    <vt:vector size="1" baseType="lpstr">
      <vt:lpstr/>
    </vt:vector>
  </TitlesOfParts>
  <Company>AMIRO s.r.o.</Company>
  <LinksUpToDate>false</LinksUpToDate>
  <CharactersWithSpaces>19026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František Kolář</dc:creator>
  <cp:lastModifiedBy>Čudová Lucie</cp:lastModifiedBy>
  <cp:revision>2</cp:revision>
  <dcterms:created xsi:type="dcterms:W3CDTF">2016-11-29T14:19:00Z</dcterms:created>
  <dcterms:modified xsi:type="dcterms:W3CDTF">2016-11-29T14:19:00Z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