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D5" w:rsidRPr="00072D85" w:rsidRDefault="00667258" w:rsidP="005D0E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jc w:val="center"/>
        <w:rPr>
          <w:b/>
          <w:caps/>
          <w:sz w:val="30"/>
          <w:szCs w:val="30"/>
        </w:rPr>
      </w:pPr>
      <w:r w:rsidRPr="00072D85">
        <w:rPr>
          <w:b/>
          <w:caps/>
          <w:sz w:val="30"/>
          <w:szCs w:val="30"/>
        </w:rPr>
        <w:t>Dohoda</w:t>
      </w:r>
    </w:p>
    <w:p w:rsidR="005D0ED5" w:rsidRPr="00072D85" w:rsidRDefault="00667258" w:rsidP="005D0E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jc w:val="center"/>
        <w:rPr>
          <w:b/>
          <w:smallCaps/>
          <w:sz w:val="30"/>
          <w:szCs w:val="30"/>
        </w:rPr>
      </w:pPr>
      <w:r w:rsidRPr="00072D85">
        <w:rPr>
          <w:b/>
          <w:smallCaps/>
          <w:sz w:val="30"/>
          <w:szCs w:val="30"/>
        </w:rPr>
        <w:t xml:space="preserve">o </w:t>
      </w:r>
      <w:r w:rsidR="00684DCA" w:rsidRPr="00072D85">
        <w:rPr>
          <w:b/>
          <w:smallCaps/>
          <w:sz w:val="30"/>
          <w:szCs w:val="30"/>
        </w:rPr>
        <w:t>úhradě vícenákladů na el. energii</w:t>
      </w:r>
    </w:p>
    <w:p w:rsidR="00072D85" w:rsidRPr="001E5905" w:rsidRDefault="00072D85" w:rsidP="005D0ED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jc w:val="center"/>
        <w:rPr>
          <w:sz w:val="26"/>
          <w:szCs w:val="26"/>
        </w:rPr>
      </w:pPr>
      <w:r w:rsidRPr="001E5905">
        <w:rPr>
          <w:sz w:val="26"/>
          <w:szCs w:val="26"/>
        </w:rPr>
        <w:t>(dále jen ,,Dohoda“)</w:t>
      </w:r>
    </w:p>
    <w:p w:rsidR="00F50C93" w:rsidRPr="00C53A23" w:rsidRDefault="005D0ED5" w:rsidP="005D0ED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5D0ED5" w:rsidRDefault="005D0ED5" w:rsidP="005D0ED5">
      <w:pPr>
        <w:pStyle w:val="Nadpis2"/>
        <w:rPr>
          <w:szCs w:val="22"/>
        </w:rPr>
      </w:pPr>
      <w:r>
        <w:rPr>
          <w:szCs w:val="22"/>
        </w:rPr>
        <w:t>SMLUVNÍ STRANY</w:t>
      </w:r>
    </w:p>
    <w:p w:rsidR="005D0ED5" w:rsidRDefault="005D0ED5" w:rsidP="005D0ED5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ED5" w:rsidRDefault="005D0ED5" w:rsidP="005D0ED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A/  </w:t>
      </w:r>
      <w:r>
        <w:rPr>
          <w:b/>
          <w:bCs/>
          <w:sz w:val="22"/>
          <w:szCs w:val="22"/>
        </w:rPr>
        <w:t>Město Litvínov</w:t>
      </w:r>
    </w:p>
    <w:p w:rsidR="005D0ED5" w:rsidRDefault="00DB36DA" w:rsidP="005D0ED5">
      <w:pPr>
        <w:tabs>
          <w:tab w:val="left" w:pos="567"/>
          <w:tab w:val="left" w:pos="1701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zastoupené: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</w:t>
      </w:r>
      <w:r w:rsidR="005D0ED5">
        <w:rPr>
          <w:sz w:val="22"/>
          <w:szCs w:val="22"/>
        </w:rPr>
        <w:t>. Kamilou Bláhovou</w:t>
      </w:r>
      <w:r w:rsidR="00A42291">
        <w:rPr>
          <w:sz w:val="22"/>
          <w:szCs w:val="22"/>
        </w:rPr>
        <w:t>, starostkou města</w:t>
      </w:r>
    </w:p>
    <w:p w:rsidR="005D0ED5" w:rsidRDefault="005D0ED5" w:rsidP="005D0ED5">
      <w:pPr>
        <w:tabs>
          <w:tab w:val="left" w:pos="567"/>
          <w:tab w:val="left" w:pos="1701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náměstí Míru 11, 436 01 Litvínov</w:t>
      </w:r>
    </w:p>
    <w:p w:rsidR="005D0ED5" w:rsidRDefault="005D0ED5" w:rsidP="005D0ED5">
      <w:pPr>
        <w:tabs>
          <w:tab w:val="left" w:pos="567"/>
          <w:tab w:val="left" w:pos="1701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00266027</w:t>
      </w:r>
    </w:p>
    <w:p w:rsidR="005D0ED5" w:rsidRDefault="005D0ED5" w:rsidP="005D0ED5">
      <w:pPr>
        <w:tabs>
          <w:tab w:val="left" w:pos="360"/>
          <w:tab w:val="left" w:pos="1701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CZ00266027</w:t>
      </w:r>
    </w:p>
    <w:p w:rsidR="005D0ED5" w:rsidRDefault="005D0ED5" w:rsidP="005D0ED5">
      <w:pPr>
        <w:tabs>
          <w:tab w:val="left" w:pos="567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bankovní spojení: </w:t>
      </w:r>
      <w:r>
        <w:rPr>
          <w:sz w:val="22"/>
          <w:szCs w:val="22"/>
        </w:rPr>
        <w:tab/>
        <w:t>Komerční banka, a.s., pobočka Most, expozitura Litvínov</w:t>
      </w:r>
    </w:p>
    <w:p w:rsidR="005D0ED5" w:rsidRDefault="005D0ED5" w:rsidP="005D0ED5">
      <w:pPr>
        <w:tabs>
          <w:tab w:val="left" w:pos="567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č.ú.: 19</w:t>
      </w:r>
      <w:r w:rsidR="00392394">
        <w:rPr>
          <w:sz w:val="22"/>
          <w:szCs w:val="22"/>
        </w:rPr>
        <w:t>-</w:t>
      </w:r>
      <w:r>
        <w:rPr>
          <w:sz w:val="22"/>
          <w:szCs w:val="22"/>
        </w:rPr>
        <w:t>0000921491/0100</w:t>
      </w:r>
    </w:p>
    <w:p w:rsidR="005D0ED5" w:rsidRDefault="005D0ED5" w:rsidP="005D0ED5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(dále </w:t>
      </w:r>
      <w:r w:rsidR="00944308">
        <w:rPr>
          <w:sz w:val="22"/>
          <w:szCs w:val="22"/>
        </w:rPr>
        <w:t>jen</w:t>
      </w:r>
      <w:r>
        <w:rPr>
          <w:b/>
          <w:bCs/>
          <w:sz w:val="22"/>
          <w:szCs w:val="22"/>
        </w:rPr>
        <w:t xml:space="preserve"> </w:t>
      </w:r>
      <w:r w:rsidR="00404004">
        <w:rPr>
          <w:b/>
          <w:bCs/>
          <w:sz w:val="22"/>
          <w:szCs w:val="22"/>
        </w:rPr>
        <w:t xml:space="preserve">„Město“ </w:t>
      </w:r>
      <w:r w:rsidR="00404004">
        <w:rPr>
          <w:bCs/>
          <w:sz w:val="22"/>
          <w:szCs w:val="22"/>
        </w:rPr>
        <w:t>na straně jedné</w:t>
      </w:r>
      <w:r>
        <w:rPr>
          <w:sz w:val="22"/>
          <w:szCs w:val="22"/>
        </w:rPr>
        <w:t>)</w:t>
      </w:r>
    </w:p>
    <w:p w:rsidR="005D0ED5" w:rsidRDefault="005D0ED5" w:rsidP="005D0ED5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ED5" w:rsidRDefault="005D0ED5" w:rsidP="005D0ED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D0ED5" w:rsidRDefault="005D0ED5" w:rsidP="005D0E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ED5" w:rsidRPr="00A42291" w:rsidRDefault="0008589E" w:rsidP="00FF7F0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</w:rPr>
      </w:pPr>
      <w:r w:rsidRPr="00A42291">
        <w:rPr>
          <w:sz w:val="22"/>
          <w:szCs w:val="22"/>
        </w:rPr>
        <w:t>B/</w:t>
      </w:r>
      <w:r w:rsidRPr="00A42291">
        <w:rPr>
          <w:b/>
          <w:bCs/>
          <w:sz w:val="22"/>
          <w:szCs w:val="22"/>
        </w:rPr>
        <w:t xml:space="preserve">  </w:t>
      </w:r>
      <w:r w:rsidR="00684DCA" w:rsidRPr="00A42291">
        <w:rPr>
          <w:b/>
          <w:bCs/>
          <w:sz w:val="22"/>
        </w:rPr>
        <w:t>HC VERVA Litvínov, a.s.</w:t>
      </w:r>
      <w:r w:rsidRPr="00A42291">
        <w:rPr>
          <w:b/>
          <w:bCs/>
          <w:sz w:val="22"/>
        </w:rPr>
        <w:t xml:space="preserve"> </w:t>
      </w:r>
    </w:p>
    <w:p w:rsidR="005D0ED5" w:rsidRPr="00A42291" w:rsidRDefault="005D0ED5" w:rsidP="005D0ED5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bCs/>
          <w:sz w:val="22"/>
        </w:rPr>
      </w:pPr>
      <w:r w:rsidRPr="00A42291">
        <w:rPr>
          <w:b/>
          <w:bCs/>
          <w:sz w:val="22"/>
        </w:rPr>
        <w:t xml:space="preserve">      </w:t>
      </w:r>
      <w:r w:rsidR="0066215B" w:rsidRPr="00A42291">
        <w:rPr>
          <w:bCs/>
          <w:sz w:val="22"/>
        </w:rPr>
        <w:t>Zastoupená</w:t>
      </w:r>
      <w:r w:rsidRPr="00A42291">
        <w:rPr>
          <w:bCs/>
          <w:sz w:val="22"/>
        </w:rPr>
        <w:t>:</w:t>
      </w:r>
      <w:r w:rsidRPr="00A42291">
        <w:rPr>
          <w:bCs/>
          <w:sz w:val="22"/>
        </w:rPr>
        <w:tab/>
      </w:r>
      <w:r w:rsidR="001C2E3B" w:rsidRPr="00A42291">
        <w:rPr>
          <w:bCs/>
          <w:sz w:val="22"/>
        </w:rPr>
        <w:t>Jiřím Šlégrem, předsedou představenstva</w:t>
      </w:r>
    </w:p>
    <w:p w:rsidR="001C2E3B" w:rsidRPr="00A42291" w:rsidRDefault="001C2E3B" w:rsidP="005D0ED5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bCs/>
          <w:sz w:val="22"/>
        </w:rPr>
      </w:pPr>
      <w:r w:rsidRPr="00A42291">
        <w:rPr>
          <w:bCs/>
          <w:sz w:val="22"/>
        </w:rPr>
        <w:tab/>
      </w:r>
      <w:r w:rsidRPr="00A42291">
        <w:rPr>
          <w:bCs/>
          <w:sz w:val="22"/>
        </w:rPr>
        <w:tab/>
      </w:r>
      <w:r w:rsidR="00A42291">
        <w:rPr>
          <w:bCs/>
          <w:sz w:val="22"/>
        </w:rPr>
        <w:t>MUDr. Petrem Myšákem, členem představenstva</w:t>
      </w:r>
    </w:p>
    <w:p w:rsidR="005D0ED5" w:rsidRPr="00A42291" w:rsidRDefault="005D0ED5" w:rsidP="005D0ED5">
      <w:pPr>
        <w:tabs>
          <w:tab w:val="left" w:pos="284"/>
          <w:tab w:val="left" w:pos="2268"/>
        </w:tabs>
        <w:autoSpaceDE w:val="0"/>
        <w:autoSpaceDN w:val="0"/>
        <w:adjustRightInd w:val="0"/>
        <w:jc w:val="both"/>
        <w:rPr>
          <w:bCs/>
          <w:sz w:val="22"/>
        </w:rPr>
      </w:pPr>
      <w:r w:rsidRPr="00A42291">
        <w:rPr>
          <w:bCs/>
          <w:sz w:val="22"/>
        </w:rPr>
        <w:t xml:space="preserve">   </w:t>
      </w:r>
      <w:r w:rsidRPr="00A42291">
        <w:rPr>
          <w:bCs/>
          <w:sz w:val="22"/>
        </w:rPr>
        <w:tab/>
        <w:t xml:space="preserve"> sídlo firmy:</w:t>
      </w:r>
      <w:r w:rsidRPr="00A42291">
        <w:rPr>
          <w:bCs/>
          <w:sz w:val="22"/>
        </w:rPr>
        <w:tab/>
      </w:r>
      <w:r w:rsidR="001C2E3B" w:rsidRPr="00A42291">
        <w:rPr>
          <w:bCs/>
          <w:sz w:val="22"/>
        </w:rPr>
        <w:t>S.</w:t>
      </w:r>
      <w:r w:rsidR="001E5905" w:rsidRPr="00A42291">
        <w:rPr>
          <w:bCs/>
          <w:sz w:val="22"/>
        </w:rPr>
        <w:t> </w:t>
      </w:r>
      <w:r w:rsidR="001C2E3B" w:rsidRPr="00A42291">
        <w:rPr>
          <w:bCs/>
          <w:sz w:val="22"/>
        </w:rPr>
        <w:t>K. Neumanna 1598</w:t>
      </w:r>
    </w:p>
    <w:p w:rsidR="005D0ED5" w:rsidRPr="00A42291" w:rsidRDefault="005D0ED5" w:rsidP="005D0ED5">
      <w:pPr>
        <w:tabs>
          <w:tab w:val="left" w:pos="360"/>
          <w:tab w:val="left" w:pos="2268"/>
        </w:tabs>
        <w:autoSpaceDE w:val="0"/>
        <w:autoSpaceDN w:val="0"/>
        <w:adjustRightInd w:val="0"/>
        <w:jc w:val="both"/>
        <w:rPr>
          <w:bCs/>
          <w:sz w:val="22"/>
        </w:rPr>
      </w:pPr>
      <w:r w:rsidRPr="00A42291">
        <w:rPr>
          <w:bCs/>
          <w:sz w:val="22"/>
        </w:rPr>
        <w:tab/>
        <w:t>IČ:</w:t>
      </w:r>
      <w:r w:rsidRPr="00A42291">
        <w:rPr>
          <w:bCs/>
          <w:sz w:val="22"/>
        </w:rPr>
        <w:tab/>
      </w:r>
      <w:r w:rsidR="00E568F7" w:rsidRPr="00A42291">
        <w:rPr>
          <w:bCs/>
          <w:sz w:val="22"/>
        </w:rPr>
        <w:t>64048098</w:t>
      </w:r>
    </w:p>
    <w:p w:rsidR="005D0ED5" w:rsidRPr="00A42291" w:rsidRDefault="005D0ED5" w:rsidP="005D0ED5">
      <w:pPr>
        <w:tabs>
          <w:tab w:val="left" w:pos="360"/>
          <w:tab w:val="left" w:pos="2268"/>
        </w:tabs>
        <w:autoSpaceDE w:val="0"/>
        <w:autoSpaceDN w:val="0"/>
        <w:adjustRightInd w:val="0"/>
        <w:jc w:val="both"/>
        <w:rPr>
          <w:bCs/>
          <w:sz w:val="22"/>
        </w:rPr>
      </w:pPr>
      <w:r w:rsidRPr="00A42291">
        <w:rPr>
          <w:bCs/>
          <w:sz w:val="22"/>
        </w:rPr>
        <w:tab/>
        <w:t>DIČ:</w:t>
      </w:r>
      <w:r w:rsidRPr="00A42291">
        <w:rPr>
          <w:bCs/>
          <w:sz w:val="22"/>
        </w:rPr>
        <w:tab/>
      </w:r>
      <w:r w:rsidR="0066215B" w:rsidRPr="00A42291">
        <w:rPr>
          <w:bCs/>
          <w:sz w:val="22"/>
        </w:rPr>
        <w:t>CZ</w:t>
      </w:r>
      <w:r w:rsidR="00E568F7" w:rsidRPr="00A42291">
        <w:rPr>
          <w:bCs/>
          <w:sz w:val="22"/>
        </w:rPr>
        <w:t>64048098</w:t>
      </w:r>
    </w:p>
    <w:p w:rsidR="005D0ED5" w:rsidRPr="00A42291" w:rsidRDefault="005D0ED5" w:rsidP="005D0ED5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2"/>
        </w:rPr>
      </w:pPr>
      <w:r w:rsidRPr="00A42291">
        <w:rPr>
          <w:bCs/>
          <w:sz w:val="22"/>
        </w:rPr>
        <w:tab/>
        <w:t xml:space="preserve">zapsaná v obchodním rejstříku, vedeném </w:t>
      </w:r>
      <w:r w:rsidR="00E568F7" w:rsidRPr="00A42291">
        <w:rPr>
          <w:bCs/>
          <w:sz w:val="22"/>
        </w:rPr>
        <w:t>Krajským soudem v Ústí nad Labem, oddíl B, vložka 749</w:t>
      </w:r>
    </w:p>
    <w:p w:rsidR="00E568F7" w:rsidRPr="00A42291" w:rsidRDefault="00E568F7" w:rsidP="00E568F7">
      <w:pPr>
        <w:tabs>
          <w:tab w:val="left" w:pos="567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2291">
        <w:rPr>
          <w:sz w:val="22"/>
          <w:szCs w:val="22"/>
        </w:rPr>
        <w:t xml:space="preserve">      bankovní spojení: </w:t>
      </w:r>
      <w:r w:rsidRPr="00A42291">
        <w:rPr>
          <w:sz w:val="22"/>
          <w:szCs w:val="22"/>
        </w:rPr>
        <w:tab/>
      </w:r>
      <w:r w:rsidR="00935700">
        <w:rPr>
          <w:sz w:val="22"/>
          <w:szCs w:val="22"/>
        </w:rPr>
        <w:t>xxxxxxxxx</w:t>
      </w:r>
    </w:p>
    <w:p w:rsidR="00E568F7" w:rsidRDefault="00E568F7" w:rsidP="00E568F7">
      <w:pPr>
        <w:tabs>
          <w:tab w:val="left" w:pos="567"/>
          <w:tab w:val="left" w:pos="226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42291">
        <w:rPr>
          <w:sz w:val="22"/>
          <w:szCs w:val="22"/>
        </w:rPr>
        <w:tab/>
      </w:r>
      <w:r w:rsidRPr="00A42291">
        <w:rPr>
          <w:sz w:val="22"/>
          <w:szCs w:val="22"/>
        </w:rPr>
        <w:tab/>
      </w:r>
      <w:r w:rsidR="00935700">
        <w:rPr>
          <w:sz w:val="22"/>
          <w:szCs w:val="22"/>
        </w:rPr>
        <w:t>xxxxxxxxx</w:t>
      </w:r>
      <w:bookmarkStart w:id="0" w:name="_GoBack"/>
      <w:bookmarkEnd w:id="0"/>
    </w:p>
    <w:p w:rsidR="00E568F7" w:rsidRDefault="00E568F7" w:rsidP="005D0ED5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ED5" w:rsidRDefault="005D0ED5" w:rsidP="005D0ED5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(dále</w:t>
      </w:r>
      <w:r w:rsidR="00944308">
        <w:rPr>
          <w:sz w:val="22"/>
          <w:szCs w:val="22"/>
        </w:rPr>
        <w:t xml:space="preserve"> jen</w:t>
      </w:r>
      <w:r>
        <w:rPr>
          <w:sz w:val="22"/>
          <w:szCs w:val="22"/>
        </w:rPr>
        <w:t xml:space="preserve"> </w:t>
      </w:r>
      <w:r w:rsidR="00404004">
        <w:rPr>
          <w:b/>
          <w:bCs/>
          <w:sz w:val="22"/>
          <w:szCs w:val="22"/>
        </w:rPr>
        <w:t>„Společnost“</w:t>
      </w:r>
      <w:r w:rsidR="00404004">
        <w:rPr>
          <w:bCs/>
          <w:sz w:val="22"/>
          <w:szCs w:val="22"/>
        </w:rPr>
        <w:t xml:space="preserve"> na straně druhé</w:t>
      </w:r>
      <w:r>
        <w:rPr>
          <w:sz w:val="22"/>
          <w:szCs w:val="22"/>
        </w:rPr>
        <w:t>)</w:t>
      </w:r>
    </w:p>
    <w:p w:rsidR="00201001" w:rsidRDefault="00201001" w:rsidP="005D0ED5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1001" w:rsidRDefault="00201001" w:rsidP="005D0ED5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(společně též jako „smluvní strany“</w:t>
      </w:r>
      <w:r w:rsidR="00392394">
        <w:rPr>
          <w:sz w:val="22"/>
          <w:szCs w:val="22"/>
        </w:rPr>
        <w:t>)</w:t>
      </w:r>
    </w:p>
    <w:p w:rsidR="005D0ED5" w:rsidRDefault="005D0ED5" w:rsidP="005D0ED5">
      <w:pPr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C6703" w:rsidRPr="0002380B" w:rsidRDefault="000C6703" w:rsidP="000C670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C6703" w:rsidRDefault="000D3BCA" w:rsidP="000C6703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0C6703">
        <w:rPr>
          <w:sz w:val="22"/>
          <w:szCs w:val="22"/>
        </w:rPr>
        <w:t xml:space="preserve"> uzavřel</w:t>
      </w:r>
      <w:r>
        <w:rPr>
          <w:sz w:val="22"/>
          <w:szCs w:val="22"/>
        </w:rPr>
        <w:t>y</w:t>
      </w:r>
      <w:r w:rsidR="000C6703">
        <w:rPr>
          <w:sz w:val="22"/>
          <w:szCs w:val="22"/>
        </w:rPr>
        <w:t xml:space="preserve"> dne </w:t>
      </w:r>
      <w:r>
        <w:rPr>
          <w:sz w:val="22"/>
          <w:szCs w:val="22"/>
        </w:rPr>
        <w:t>5</w:t>
      </w:r>
      <w:r w:rsidR="000C6703">
        <w:rPr>
          <w:sz w:val="22"/>
          <w:szCs w:val="22"/>
        </w:rPr>
        <w:t>. 1. 20</w:t>
      </w:r>
      <w:r>
        <w:rPr>
          <w:sz w:val="22"/>
          <w:szCs w:val="22"/>
        </w:rPr>
        <w:t>04</w:t>
      </w:r>
      <w:r w:rsidR="000C6703">
        <w:rPr>
          <w:sz w:val="22"/>
          <w:szCs w:val="22"/>
        </w:rPr>
        <w:t xml:space="preserve"> </w:t>
      </w:r>
      <w:r>
        <w:rPr>
          <w:sz w:val="22"/>
          <w:szCs w:val="22"/>
        </w:rPr>
        <w:t>Nájemní smlouvu</w:t>
      </w:r>
      <w:r w:rsidR="000C6703">
        <w:rPr>
          <w:sz w:val="22"/>
          <w:szCs w:val="22"/>
        </w:rPr>
        <w:t xml:space="preserve"> č. KT/</w:t>
      </w:r>
      <w:r>
        <w:rPr>
          <w:sz w:val="22"/>
          <w:szCs w:val="22"/>
        </w:rPr>
        <w:t>2081</w:t>
      </w:r>
      <w:r w:rsidR="000C6703">
        <w:rPr>
          <w:sz w:val="22"/>
          <w:szCs w:val="22"/>
        </w:rPr>
        <w:t>/</w:t>
      </w:r>
      <w:r>
        <w:rPr>
          <w:sz w:val="22"/>
          <w:szCs w:val="22"/>
        </w:rPr>
        <w:t>04 ve znění pozdějších dodatků (dále jen ,,NS“),</w:t>
      </w:r>
      <w:r w:rsidR="000C6703">
        <w:rPr>
          <w:sz w:val="22"/>
          <w:szCs w:val="22"/>
        </w:rPr>
        <w:t xml:space="preserve"> </w:t>
      </w:r>
      <w:r>
        <w:rPr>
          <w:sz w:val="22"/>
          <w:szCs w:val="22"/>
        </w:rPr>
        <w:t>na jejímž základě Společnost užívá, mimo jiného, také ledovou plochu na Zimním stadionu Ivana Hlinky v Litvínově. NS je vyhrazeno Společnosti užívání ledové plochy v období od</w:t>
      </w:r>
      <w:r w:rsidR="001E5905">
        <w:rPr>
          <w:sz w:val="22"/>
          <w:szCs w:val="22"/>
        </w:rPr>
        <w:t> </w:t>
      </w:r>
      <w:r>
        <w:rPr>
          <w:sz w:val="22"/>
          <w:szCs w:val="22"/>
        </w:rPr>
        <w:t>15. 7. daného roku do 30. 4. roku následujícího.</w:t>
      </w:r>
    </w:p>
    <w:p w:rsidR="000D3BCA" w:rsidRDefault="000D3BCA" w:rsidP="000C6703">
      <w:pPr>
        <w:jc w:val="both"/>
        <w:rPr>
          <w:sz w:val="22"/>
          <w:szCs w:val="22"/>
        </w:rPr>
      </w:pPr>
    </w:p>
    <w:p w:rsidR="000D3BCA" w:rsidRDefault="000D3BCA" w:rsidP="000C67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dne 1. 3. 2017 </w:t>
      </w:r>
      <w:r w:rsidR="001B238A">
        <w:rPr>
          <w:sz w:val="22"/>
          <w:szCs w:val="22"/>
        </w:rPr>
        <w:t xml:space="preserve">požádala o zahájení využívání ledových ploch od 6. 6. 2017. Této žádosti bylo vyhověno </w:t>
      </w:r>
      <w:r>
        <w:rPr>
          <w:sz w:val="22"/>
          <w:szCs w:val="22"/>
        </w:rPr>
        <w:t>dne</w:t>
      </w:r>
      <w:r w:rsidR="001B238A">
        <w:rPr>
          <w:sz w:val="22"/>
          <w:szCs w:val="22"/>
        </w:rPr>
        <w:t xml:space="preserve"> 8. 3. 2017, kdy Rada města Litvínova schválila svým usnesením č. R/1752/65 dřívější zahájení</w:t>
      </w:r>
      <w:r w:rsidR="00B274F6">
        <w:rPr>
          <w:sz w:val="22"/>
          <w:szCs w:val="22"/>
        </w:rPr>
        <w:t xml:space="preserve"> užívání ledové plochy</w:t>
      </w:r>
      <w:r w:rsidR="001B238A">
        <w:rPr>
          <w:sz w:val="22"/>
          <w:szCs w:val="22"/>
        </w:rPr>
        <w:t>. V této souvislosti se Společnost zavázala poskytnout Městu příspěvek na úhradu vícenákladů ve výši min. 400 tis. Kč.</w:t>
      </w:r>
    </w:p>
    <w:p w:rsidR="000C6703" w:rsidRDefault="000C6703" w:rsidP="005D0ED5">
      <w:pPr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A1238" w:rsidRDefault="004A1238" w:rsidP="005D0ED5">
      <w:pPr>
        <w:jc w:val="both"/>
        <w:rPr>
          <w:sz w:val="22"/>
          <w:szCs w:val="22"/>
        </w:rPr>
      </w:pPr>
      <w:r>
        <w:rPr>
          <w:sz w:val="22"/>
          <w:szCs w:val="22"/>
        </w:rPr>
        <w:t>V návaznosti na výše uvedené se smluvní strany dohodly na následujícím:</w:t>
      </w:r>
    </w:p>
    <w:p w:rsidR="006741A1" w:rsidRPr="00F50C93" w:rsidRDefault="006741A1" w:rsidP="004A1238">
      <w:pPr>
        <w:jc w:val="both"/>
        <w:rPr>
          <w:sz w:val="22"/>
          <w:szCs w:val="22"/>
        </w:rPr>
      </w:pPr>
    </w:p>
    <w:p w:rsidR="00072D85" w:rsidRDefault="006741A1" w:rsidP="00C53A23">
      <w:pPr>
        <w:jc w:val="both"/>
        <w:rPr>
          <w:sz w:val="22"/>
          <w:szCs w:val="22"/>
        </w:rPr>
      </w:pPr>
      <w:r w:rsidRPr="00F50C93">
        <w:rPr>
          <w:sz w:val="22"/>
          <w:szCs w:val="22"/>
        </w:rPr>
        <w:t xml:space="preserve">Smluvní strany se dohodly na </w:t>
      </w:r>
      <w:r w:rsidR="00072D85">
        <w:rPr>
          <w:sz w:val="22"/>
          <w:szCs w:val="22"/>
        </w:rPr>
        <w:t>úhradě vícenákladů vzniklých zvýšen</w:t>
      </w:r>
      <w:r w:rsidR="004B45F5">
        <w:rPr>
          <w:sz w:val="22"/>
          <w:szCs w:val="22"/>
        </w:rPr>
        <w:t>ou</w:t>
      </w:r>
      <w:r w:rsidR="00072D85">
        <w:rPr>
          <w:sz w:val="22"/>
          <w:szCs w:val="22"/>
        </w:rPr>
        <w:t xml:space="preserve"> spotřeb</w:t>
      </w:r>
      <w:r w:rsidR="004B45F5">
        <w:rPr>
          <w:sz w:val="22"/>
          <w:szCs w:val="22"/>
        </w:rPr>
        <w:t>ou</w:t>
      </w:r>
      <w:r w:rsidR="00072D85">
        <w:rPr>
          <w:sz w:val="22"/>
          <w:szCs w:val="22"/>
        </w:rPr>
        <w:t xml:space="preserve"> elektrické energie</w:t>
      </w:r>
      <w:r w:rsidR="004B45F5">
        <w:rPr>
          <w:sz w:val="22"/>
          <w:szCs w:val="22"/>
        </w:rPr>
        <w:t xml:space="preserve"> </w:t>
      </w:r>
      <w:r w:rsidR="00072D85">
        <w:rPr>
          <w:sz w:val="22"/>
          <w:szCs w:val="22"/>
        </w:rPr>
        <w:t>v souvislosti s dřívějším zahájením chlazení ledové plochy v tréninkové hale zimního stadionu a</w:t>
      </w:r>
      <w:r w:rsidR="004B45F5">
        <w:rPr>
          <w:sz w:val="22"/>
          <w:szCs w:val="22"/>
        </w:rPr>
        <w:t> </w:t>
      </w:r>
      <w:r w:rsidR="00072D85">
        <w:rPr>
          <w:sz w:val="22"/>
          <w:szCs w:val="22"/>
        </w:rPr>
        <w:t>to</w:t>
      </w:r>
      <w:r w:rsidR="004B45F5">
        <w:rPr>
          <w:sz w:val="22"/>
          <w:szCs w:val="22"/>
        </w:rPr>
        <w:t> </w:t>
      </w:r>
      <w:r w:rsidR="00072D85">
        <w:rPr>
          <w:sz w:val="22"/>
          <w:szCs w:val="22"/>
        </w:rPr>
        <w:t>ve</w:t>
      </w:r>
      <w:r w:rsidR="004B45F5">
        <w:rPr>
          <w:sz w:val="22"/>
          <w:szCs w:val="22"/>
        </w:rPr>
        <w:t> </w:t>
      </w:r>
      <w:r w:rsidR="00072D85">
        <w:rPr>
          <w:sz w:val="22"/>
          <w:szCs w:val="22"/>
        </w:rPr>
        <w:t>výši 400 tis. Kč bez DPH.</w:t>
      </w:r>
      <w:r w:rsidR="004B45F5">
        <w:rPr>
          <w:sz w:val="22"/>
          <w:szCs w:val="22"/>
        </w:rPr>
        <w:t xml:space="preserve"> Výpočet vícenákladů elektrické energie je nedílnou součástí této Dohody, a to jako Příloha č. 1.</w:t>
      </w:r>
    </w:p>
    <w:p w:rsidR="008B0FC4" w:rsidRDefault="008B0FC4" w:rsidP="00C53A23">
      <w:pPr>
        <w:jc w:val="both"/>
        <w:rPr>
          <w:sz w:val="22"/>
          <w:szCs w:val="22"/>
        </w:rPr>
      </w:pPr>
    </w:p>
    <w:p w:rsidR="008B0FC4" w:rsidRDefault="008B0FC4" w:rsidP="00C53A23">
      <w:pPr>
        <w:jc w:val="both"/>
        <w:rPr>
          <w:sz w:val="22"/>
          <w:szCs w:val="22"/>
        </w:rPr>
      </w:pPr>
      <w:r>
        <w:rPr>
          <w:sz w:val="22"/>
          <w:szCs w:val="22"/>
        </w:rPr>
        <w:t>Společnost uhradí vícenáklady ve výši 400 tis. Kč bez DPH na základě faktury, kterou vystaví Město neprodleně po uzavření této Dohody</w:t>
      </w:r>
      <w:r w:rsidR="00E33CC1">
        <w:rPr>
          <w:sz w:val="22"/>
          <w:szCs w:val="22"/>
        </w:rPr>
        <w:t xml:space="preserve"> a nabytí její účinnosti</w:t>
      </w:r>
      <w:r>
        <w:rPr>
          <w:sz w:val="22"/>
          <w:szCs w:val="22"/>
        </w:rPr>
        <w:t>. Faktura bude mít náležitosti účetního dokladu v souladu s ustanoveními zákona č. 563/1991 Sb., o účetnictví, ve znění pozdějších předpisů</w:t>
      </w:r>
      <w:r w:rsidR="001567B1">
        <w:rPr>
          <w:sz w:val="22"/>
          <w:szCs w:val="22"/>
        </w:rPr>
        <w:t xml:space="preserve"> a zákona č. 235/2004 Sb., o dani z přidané hodnoty, ve znění pozdějších předpisů</w:t>
      </w:r>
      <w:r>
        <w:rPr>
          <w:sz w:val="22"/>
          <w:szCs w:val="22"/>
        </w:rPr>
        <w:t xml:space="preserve"> (dále jen ,,faktura“). </w:t>
      </w:r>
      <w:r>
        <w:rPr>
          <w:sz w:val="22"/>
          <w:szCs w:val="22"/>
        </w:rPr>
        <w:lastRenderedPageBreak/>
        <w:t>Přílohou a nedílnou součástí faktury budou doklady o zaplacení dodávek elektrické energie jejich dodavateli</w:t>
      </w:r>
      <w:r w:rsidR="00E33CC1">
        <w:rPr>
          <w:sz w:val="22"/>
          <w:szCs w:val="22"/>
        </w:rPr>
        <w:t xml:space="preserve"> a to ve výši nejméně 400 tis. Kč bez DPH</w:t>
      </w:r>
      <w:r>
        <w:rPr>
          <w:sz w:val="22"/>
          <w:szCs w:val="22"/>
        </w:rPr>
        <w:t xml:space="preserve">. </w:t>
      </w:r>
    </w:p>
    <w:p w:rsidR="008B0FC4" w:rsidRDefault="008B0FC4" w:rsidP="00C53A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faktury je 14 dnů od jejího vystavení. </w:t>
      </w:r>
      <w:r w:rsidR="00FC2DBD">
        <w:rPr>
          <w:sz w:val="22"/>
          <w:szCs w:val="22"/>
        </w:rPr>
        <w:t xml:space="preserve">Nebude-li faktura obsahovat některou povinnou nebo dohodnutou náležitost nebo bude chybně vyúčtována výše úhrady, je Společnost oprávněna fakturu před uplynutím lhůty splatnosti vrátit druhé smluvní straně k provedení opravy. Ve vrácené faktuře vyznačí důvod vrácení. Město provede opravu vystavením nové faktury. Vystavením nové faktury běží nová lhůta splatnosti od počátku. </w:t>
      </w:r>
    </w:p>
    <w:p w:rsidR="000628E0" w:rsidRDefault="000628E0" w:rsidP="005D0ED5">
      <w:pPr>
        <w:jc w:val="both"/>
        <w:rPr>
          <w:bCs/>
          <w:iCs/>
          <w:sz w:val="22"/>
          <w:szCs w:val="22"/>
        </w:rPr>
      </w:pPr>
    </w:p>
    <w:p w:rsidR="005D0ED5" w:rsidRDefault="00072D85" w:rsidP="005D0ED5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Tato </w:t>
      </w:r>
      <w:r w:rsidR="003D383C">
        <w:rPr>
          <w:bCs/>
          <w:iCs/>
          <w:sz w:val="22"/>
          <w:szCs w:val="22"/>
        </w:rPr>
        <w:t xml:space="preserve">Dohoda </w:t>
      </w:r>
      <w:r w:rsidR="005D0ED5">
        <w:rPr>
          <w:bCs/>
          <w:iCs/>
          <w:sz w:val="22"/>
          <w:szCs w:val="22"/>
        </w:rPr>
        <w:t>je vyhotoven</w:t>
      </w:r>
      <w:r w:rsidR="003D383C">
        <w:rPr>
          <w:bCs/>
          <w:iCs/>
          <w:sz w:val="22"/>
          <w:szCs w:val="22"/>
        </w:rPr>
        <w:t>a</w:t>
      </w:r>
      <w:r w:rsidR="005D0ED5">
        <w:rPr>
          <w:bCs/>
          <w:iCs/>
          <w:sz w:val="22"/>
          <w:szCs w:val="22"/>
        </w:rPr>
        <w:t xml:space="preserve"> ve </w:t>
      </w:r>
      <w:r w:rsidR="003F059C">
        <w:rPr>
          <w:bCs/>
          <w:iCs/>
          <w:sz w:val="22"/>
          <w:szCs w:val="22"/>
        </w:rPr>
        <w:t>čtyřech</w:t>
      </w:r>
      <w:r w:rsidR="005D0ED5">
        <w:rPr>
          <w:bCs/>
          <w:iCs/>
          <w:sz w:val="22"/>
          <w:szCs w:val="22"/>
        </w:rPr>
        <w:t xml:space="preserve"> stejnopisech na dvou stranách textu</w:t>
      </w:r>
      <w:r>
        <w:rPr>
          <w:bCs/>
          <w:iCs/>
          <w:sz w:val="22"/>
          <w:szCs w:val="22"/>
        </w:rPr>
        <w:t>, kdy každá ze smluvních stran obdrží po dvou vyhotoveních.</w:t>
      </w:r>
      <w:r w:rsidR="00FC2DBD">
        <w:rPr>
          <w:bCs/>
          <w:iCs/>
          <w:sz w:val="22"/>
          <w:szCs w:val="22"/>
        </w:rPr>
        <w:t xml:space="preserve"> Změnit nebo doplnit tuto Dohodu mohou smluvní strany pouze formou písemných dodatků, které budou vzestupně číslovány, výslovně prohlášeny za dodatek této Dohody a podepsány oprávněnými zástupci obou smluvních stran.</w:t>
      </w:r>
    </w:p>
    <w:p w:rsidR="00C53A23" w:rsidRDefault="00C53A23" w:rsidP="00C53A23">
      <w:pPr>
        <w:jc w:val="both"/>
        <w:rPr>
          <w:sz w:val="22"/>
          <w:szCs w:val="22"/>
        </w:rPr>
      </w:pPr>
    </w:p>
    <w:p w:rsidR="00C53A23" w:rsidRPr="00F12922" w:rsidRDefault="000628E0" w:rsidP="00C53A23">
      <w:pPr>
        <w:jc w:val="both"/>
        <w:rPr>
          <w:sz w:val="22"/>
          <w:szCs w:val="22"/>
        </w:rPr>
      </w:pPr>
      <w:r>
        <w:rPr>
          <w:sz w:val="22"/>
          <w:szCs w:val="22"/>
        </w:rPr>
        <w:t>Právní vztahy touto Dohodou</w:t>
      </w:r>
      <w:r w:rsidR="00C53A23" w:rsidRPr="008820E0">
        <w:rPr>
          <w:sz w:val="22"/>
          <w:szCs w:val="22"/>
        </w:rPr>
        <w:t xml:space="preserve"> neupravené se řídí příslušnými ustanoveními obč</w:t>
      </w:r>
      <w:r w:rsidR="00C53A23">
        <w:rPr>
          <w:sz w:val="22"/>
          <w:szCs w:val="22"/>
        </w:rPr>
        <w:t>anského</w:t>
      </w:r>
      <w:r w:rsidR="00C72C7D">
        <w:rPr>
          <w:sz w:val="22"/>
          <w:szCs w:val="22"/>
        </w:rPr>
        <w:t xml:space="preserve"> zákoníku a </w:t>
      </w:r>
      <w:r w:rsidR="00C53A23" w:rsidRPr="00561F41">
        <w:rPr>
          <w:sz w:val="22"/>
          <w:szCs w:val="22"/>
        </w:rPr>
        <w:t>dalšími platnými obecně závaznými právními předpisy, pokud touto smlouvou účastníci svá vzájemná práva a </w:t>
      </w:r>
      <w:r w:rsidR="00C53A23" w:rsidRPr="00F12922">
        <w:rPr>
          <w:sz w:val="22"/>
          <w:szCs w:val="22"/>
        </w:rPr>
        <w:t>povinnosti výslovně neupravili odchylně.</w:t>
      </w:r>
    </w:p>
    <w:p w:rsidR="00C53A23" w:rsidRPr="00561F41" w:rsidRDefault="00C53A23" w:rsidP="00C53A23">
      <w:pPr>
        <w:jc w:val="both"/>
        <w:rPr>
          <w:color w:val="000000"/>
          <w:sz w:val="22"/>
          <w:szCs w:val="22"/>
        </w:rPr>
      </w:pPr>
    </w:p>
    <w:p w:rsidR="000628E0" w:rsidRDefault="00E33CC1" w:rsidP="00C53A23">
      <w:pPr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Tuto </w:t>
      </w:r>
      <w:r w:rsidR="000628E0">
        <w:rPr>
          <w:color w:val="000000"/>
          <w:sz w:val="22"/>
          <w:szCs w:val="22"/>
        </w:rPr>
        <w:t xml:space="preserve">Dohodu o </w:t>
      </w:r>
      <w:r w:rsidR="00072D85">
        <w:rPr>
          <w:color w:val="000000"/>
          <w:sz w:val="22"/>
          <w:szCs w:val="22"/>
        </w:rPr>
        <w:t xml:space="preserve">úhradě vícenákladů na el. energii schválila Rada města Litvínova dne </w:t>
      </w:r>
      <w:r w:rsidR="00FB2A8F">
        <w:rPr>
          <w:color w:val="000000"/>
          <w:sz w:val="22"/>
          <w:szCs w:val="22"/>
        </w:rPr>
        <w:t>5</w:t>
      </w:r>
      <w:r w:rsidR="00072D85">
        <w:rPr>
          <w:color w:val="000000"/>
          <w:sz w:val="22"/>
          <w:szCs w:val="22"/>
        </w:rPr>
        <w:t>.</w:t>
      </w:r>
      <w:r w:rsidR="00FB2A8F">
        <w:rPr>
          <w:color w:val="000000"/>
          <w:sz w:val="22"/>
          <w:szCs w:val="22"/>
        </w:rPr>
        <w:t> 12. 2018</w:t>
      </w:r>
      <w:r w:rsidR="00072D85">
        <w:rPr>
          <w:color w:val="000000"/>
          <w:sz w:val="22"/>
          <w:szCs w:val="22"/>
        </w:rPr>
        <w:t>, usn.</w:t>
      </w:r>
      <w:r w:rsidR="00FB2A8F">
        <w:rPr>
          <w:color w:val="000000"/>
          <w:sz w:val="22"/>
          <w:szCs w:val="22"/>
        </w:rPr>
        <w:t> </w:t>
      </w:r>
      <w:r w:rsidR="00072D85">
        <w:rPr>
          <w:color w:val="000000"/>
          <w:sz w:val="22"/>
          <w:szCs w:val="22"/>
        </w:rPr>
        <w:t>č.</w:t>
      </w:r>
      <w:r w:rsidR="00FB2A8F">
        <w:rPr>
          <w:color w:val="000000"/>
          <w:sz w:val="22"/>
          <w:szCs w:val="22"/>
        </w:rPr>
        <w:t> </w:t>
      </w:r>
      <w:r w:rsidR="00072D85">
        <w:rPr>
          <w:color w:val="000000"/>
          <w:sz w:val="22"/>
          <w:szCs w:val="22"/>
        </w:rPr>
        <w:t>R/</w:t>
      </w:r>
      <w:r w:rsidR="00FB2A8F">
        <w:rPr>
          <w:color w:val="000000"/>
          <w:sz w:val="22"/>
          <w:szCs w:val="22"/>
        </w:rPr>
        <w:t>2919</w:t>
      </w:r>
      <w:r w:rsidR="00072D85">
        <w:rPr>
          <w:color w:val="000000"/>
          <w:sz w:val="22"/>
          <w:szCs w:val="22"/>
        </w:rPr>
        <w:t>/</w:t>
      </w:r>
      <w:r w:rsidR="00FB2A8F">
        <w:rPr>
          <w:color w:val="000000"/>
          <w:sz w:val="22"/>
          <w:szCs w:val="22"/>
        </w:rPr>
        <w:t>2</w:t>
      </w:r>
      <w:r w:rsidR="00072D85">
        <w:rPr>
          <w:color w:val="000000"/>
          <w:sz w:val="22"/>
          <w:szCs w:val="22"/>
        </w:rPr>
        <w:t>.</w:t>
      </w:r>
    </w:p>
    <w:p w:rsidR="000628E0" w:rsidRDefault="000628E0" w:rsidP="00C53A23">
      <w:pPr>
        <w:autoSpaceDE w:val="0"/>
        <w:autoSpaceDN w:val="0"/>
        <w:jc w:val="both"/>
        <w:rPr>
          <w:color w:val="000000"/>
          <w:sz w:val="22"/>
          <w:szCs w:val="22"/>
        </w:rPr>
      </w:pPr>
    </w:p>
    <w:p w:rsidR="00C53A23" w:rsidRPr="00561F41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37700B">
        <w:rPr>
          <w:rFonts w:eastAsia="Calibri"/>
          <w:sz w:val="22"/>
          <w:szCs w:val="22"/>
        </w:rPr>
        <w:t xml:space="preserve">Smluvní strany souhlasí s tím, aby tato </w:t>
      </w:r>
      <w:r w:rsidR="000628E0">
        <w:rPr>
          <w:rFonts w:eastAsia="Calibri"/>
          <w:sz w:val="22"/>
          <w:szCs w:val="22"/>
        </w:rPr>
        <w:t>Dohoda</w:t>
      </w:r>
      <w:r w:rsidRPr="0037700B">
        <w:rPr>
          <w:rFonts w:eastAsia="Calibri"/>
          <w:sz w:val="22"/>
          <w:szCs w:val="22"/>
        </w:rPr>
        <w:t xml:space="preserve"> byla zařazena do evidence</w:t>
      </w:r>
      <w:r w:rsidRPr="00C96C4B">
        <w:rPr>
          <w:rFonts w:eastAsia="Calibri"/>
          <w:sz w:val="22"/>
          <w:szCs w:val="22"/>
        </w:rPr>
        <w:t xml:space="preserve"> smluv vedené </w:t>
      </w:r>
      <w:r w:rsidRPr="008820E0">
        <w:rPr>
          <w:rFonts w:eastAsia="Calibri"/>
          <w:sz w:val="22"/>
          <w:szCs w:val="22"/>
        </w:rPr>
        <w:t>městem Litvínov, která bude přístupná dle zákona č. 106/1999 Sb., o svobodném přístupu k</w:t>
      </w:r>
      <w:r>
        <w:rPr>
          <w:rFonts w:eastAsia="Calibri"/>
          <w:sz w:val="22"/>
          <w:szCs w:val="22"/>
        </w:rPr>
        <w:t> </w:t>
      </w:r>
      <w:r w:rsidRPr="00561F41">
        <w:rPr>
          <w:rFonts w:eastAsia="Calibri"/>
          <w:sz w:val="22"/>
          <w:szCs w:val="22"/>
        </w:rPr>
        <w:t>informacím</w:t>
      </w:r>
      <w:r>
        <w:rPr>
          <w:rFonts w:eastAsia="Calibri"/>
          <w:sz w:val="22"/>
          <w:szCs w:val="22"/>
        </w:rPr>
        <w:t xml:space="preserve"> v platném znění</w:t>
      </w:r>
      <w:r w:rsidRPr="00561F41">
        <w:rPr>
          <w:rFonts w:eastAsia="Calibri"/>
          <w:sz w:val="22"/>
          <w:szCs w:val="22"/>
        </w:rPr>
        <w:t xml:space="preserve">, a která obsahuje údaje o smluvních stranách, předmětu smlouvy, číselné označení smlouvy a datum jejího uzavření. </w:t>
      </w:r>
    </w:p>
    <w:p w:rsidR="00C53A23" w:rsidRPr="00561F41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53A23" w:rsidRPr="00561F41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F12922">
        <w:rPr>
          <w:rFonts w:eastAsia="Calibri"/>
          <w:sz w:val="22"/>
          <w:szCs w:val="22"/>
        </w:rPr>
        <w:t xml:space="preserve">Smluvní strany prohlašují, že skutečnosti uvedené v této </w:t>
      </w:r>
      <w:r w:rsidR="000628E0">
        <w:rPr>
          <w:rFonts w:eastAsia="Calibri"/>
          <w:sz w:val="22"/>
          <w:szCs w:val="22"/>
        </w:rPr>
        <w:t>Dohodě</w:t>
      </w:r>
      <w:r w:rsidRPr="00F12922">
        <w:rPr>
          <w:rFonts w:eastAsia="Calibri"/>
          <w:sz w:val="22"/>
          <w:szCs w:val="22"/>
        </w:rPr>
        <w:t xml:space="preserve"> nepovažují za obchodní tajemství a udělují svolení k jejich zpřístupnění ve smyslu zákona č. 106/1999 Sb., o svobodném přístupu k</w:t>
      </w:r>
      <w:r>
        <w:rPr>
          <w:rFonts w:eastAsia="Calibri"/>
          <w:sz w:val="22"/>
          <w:szCs w:val="22"/>
        </w:rPr>
        <w:t> </w:t>
      </w:r>
      <w:r w:rsidRPr="00561F41">
        <w:rPr>
          <w:rFonts w:eastAsia="Calibri"/>
          <w:sz w:val="22"/>
          <w:szCs w:val="22"/>
        </w:rPr>
        <w:t>informacím</w:t>
      </w:r>
      <w:r>
        <w:rPr>
          <w:rFonts w:eastAsia="Calibri"/>
          <w:sz w:val="22"/>
          <w:szCs w:val="22"/>
        </w:rPr>
        <w:t xml:space="preserve"> v platném znění</w:t>
      </w:r>
      <w:r w:rsidRPr="00561F41">
        <w:rPr>
          <w:rFonts w:eastAsia="Calibri"/>
          <w:sz w:val="22"/>
          <w:szCs w:val="22"/>
        </w:rPr>
        <w:t xml:space="preserve">. </w:t>
      </w:r>
    </w:p>
    <w:p w:rsidR="00C53A23" w:rsidRPr="00561F41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53A23" w:rsidRPr="00561F41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F12922">
        <w:rPr>
          <w:rFonts w:eastAsia="Calibri"/>
          <w:sz w:val="22"/>
          <w:szCs w:val="22"/>
        </w:rPr>
        <w:t xml:space="preserve">Tato </w:t>
      </w:r>
      <w:r w:rsidR="000628E0">
        <w:rPr>
          <w:rFonts w:eastAsia="Calibri"/>
          <w:sz w:val="22"/>
          <w:szCs w:val="22"/>
        </w:rPr>
        <w:t xml:space="preserve">Dohoda </w:t>
      </w:r>
      <w:r w:rsidRPr="00F12922">
        <w:rPr>
          <w:rFonts w:eastAsia="Calibri"/>
          <w:sz w:val="22"/>
          <w:szCs w:val="22"/>
        </w:rPr>
        <w:t>bude v plném rozsahu uveřejněna v informačním systému registru smluv dle zákona č. 340/2015 Sb., zákona o registru smluv</w:t>
      </w:r>
      <w:r>
        <w:rPr>
          <w:rFonts w:eastAsia="Calibri"/>
          <w:sz w:val="22"/>
          <w:szCs w:val="22"/>
        </w:rPr>
        <w:t xml:space="preserve"> v platném znění</w:t>
      </w:r>
      <w:r w:rsidRPr="00561F41">
        <w:rPr>
          <w:rFonts w:eastAsia="Calibri"/>
          <w:sz w:val="22"/>
          <w:szCs w:val="22"/>
        </w:rPr>
        <w:t>.</w:t>
      </w:r>
    </w:p>
    <w:p w:rsidR="00C53A23" w:rsidRPr="00561F41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53A23" w:rsidRPr="00F12922" w:rsidRDefault="00C53A23" w:rsidP="00C53A23">
      <w:pPr>
        <w:autoSpaceDE w:val="0"/>
        <w:autoSpaceDN w:val="0"/>
        <w:jc w:val="both"/>
        <w:rPr>
          <w:rFonts w:eastAsia="Calibri"/>
          <w:sz w:val="22"/>
          <w:szCs w:val="22"/>
        </w:rPr>
      </w:pPr>
      <w:r w:rsidRPr="00F12922">
        <w:rPr>
          <w:rFonts w:eastAsia="Calibri"/>
          <w:sz w:val="22"/>
          <w:szCs w:val="22"/>
        </w:rPr>
        <w:t xml:space="preserve">Tato </w:t>
      </w:r>
      <w:r w:rsidR="000628E0">
        <w:rPr>
          <w:rFonts w:eastAsia="Calibri"/>
          <w:sz w:val="22"/>
          <w:szCs w:val="22"/>
        </w:rPr>
        <w:t>Dohoda</w:t>
      </w:r>
      <w:r w:rsidRPr="00F12922">
        <w:rPr>
          <w:rFonts w:eastAsia="Calibri"/>
          <w:sz w:val="22"/>
          <w:szCs w:val="22"/>
        </w:rPr>
        <w:t xml:space="preserve"> nabývá účinnosti dnem, kdy město Litvínov uveřejní </w:t>
      </w:r>
      <w:r w:rsidR="000628E0">
        <w:rPr>
          <w:rFonts w:eastAsia="Calibri"/>
          <w:sz w:val="22"/>
          <w:szCs w:val="22"/>
        </w:rPr>
        <w:t>Dohodu</w:t>
      </w:r>
      <w:r w:rsidRPr="00F12922">
        <w:rPr>
          <w:rFonts w:eastAsia="Calibri"/>
          <w:sz w:val="22"/>
          <w:szCs w:val="22"/>
        </w:rPr>
        <w:t xml:space="preserve"> v informačním systému registru smluv.</w:t>
      </w:r>
    </w:p>
    <w:p w:rsidR="00C53A23" w:rsidRDefault="00C53A23" w:rsidP="00C53A23">
      <w:pPr>
        <w:jc w:val="both"/>
        <w:rPr>
          <w:sz w:val="22"/>
          <w:szCs w:val="22"/>
        </w:rPr>
      </w:pPr>
    </w:p>
    <w:p w:rsidR="00C53A23" w:rsidRDefault="00C53A23" w:rsidP="00C53A23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561F41">
        <w:rPr>
          <w:sz w:val="22"/>
          <w:szCs w:val="22"/>
        </w:rPr>
        <w:t xml:space="preserve">mluvní strany po bedlivém seznámení se zněním této </w:t>
      </w:r>
      <w:r w:rsidR="000628E0">
        <w:rPr>
          <w:sz w:val="22"/>
          <w:szCs w:val="22"/>
        </w:rPr>
        <w:t>Dohody</w:t>
      </w:r>
      <w:r w:rsidRPr="00561F41">
        <w:rPr>
          <w:sz w:val="22"/>
          <w:szCs w:val="22"/>
        </w:rPr>
        <w:t xml:space="preserve"> prohlašují, že je jim znám její smysl a účel, že tato odpovídá projevu jejich vůle a že k ní přistupují svobodně a vážně, nikoliv v tísni a za nápadně nevýhodných podmínek, aniž by považovaly byť i jediné její ujednání za nesrozumitelné. Na důkaz toho ji podepisují.</w:t>
      </w:r>
    </w:p>
    <w:p w:rsidR="00072D85" w:rsidRDefault="00072D85" w:rsidP="00C53A23">
      <w:pPr>
        <w:jc w:val="both"/>
        <w:rPr>
          <w:sz w:val="22"/>
          <w:szCs w:val="22"/>
        </w:rPr>
      </w:pPr>
    </w:p>
    <w:p w:rsidR="00072D85" w:rsidRPr="00603BAD" w:rsidRDefault="00072D85" w:rsidP="001E5905">
      <w:pPr>
        <w:tabs>
          <w:tab w:val="center" w:pos="6804"/>
        </w:tabs>
        <w:jc w:val="both"/>
        <w:rPr>
          <w:b/>
          <w:sz w:val="22"/>
          <w:szCs w:val="22"/>
        </w:rPr>
      </w:pPr>
      <w:r w:rsidRPr="00603BAD">
        <w:rPr>
          <w:b/>
          <w:sz w:val="22"/>
          <w:szCs w:val="22"/>
        </w:rPr>
        <w:t>Přílohy</w:t>
      </w:r>
    </w:p>
    <w:p w:rsidR="00072D85" w:rsidRPr="00603BAD" w:rsidRDefault="00072D85" w:rsidP="00603BAD">
      <w:pPr>
        <w:jc w:val="both"/>
        <w:rPr>
          <w:sz w:val="22"/>
          <w:szCs w:val="22"/>
        </w:rPr>
      </w:pPr>
      <w:r w:rsidRPr="00603BAD">
        <w:rPr>
          <w:sz w:val="22"/>
          <w:szCs w:val="22"/>
        </w:rPr>
        <w:t>Výpočet vícenákladů elektrické energie</w:t>
      </w:r>
    </w:p>
    <w:p w:rsidR="00072D85" w:rsidRDefault="00072D85" w:rsidP="005D0ED5">
      <w:pPr>
        <w:jc w:val="both"/>
        <w:rPr>
          <w:sz w:val="16"/>
          <w:szCs w:val="16"/>
        </w:rPr>
      </w:pPr>
    </w:p>
    <w:p w:rsidR="005D0ED5" w:rsidRDefault="005D0ED5" w:rsidP="005D0ED5">
      <w:pPr>
        <w:jc w:val="both"/>
        <w:rPr>
          <w:sz w:val="22"/>
          <w:szCs w:val="22"/>
        </w:rPr>
      </w:pPr>
      <w:r>
        <w:rPr>
          <w:sz w:val="22"/>
          <w:szCs w:val="22"/>
        </w:rPr>
        <w:t>V Litvínově dne ……………………….</w:t>
      </w:r>
    </w:p>
    <w:p w:rsidR="005D0ED5" w:rsidRDefault="005D0ED5" w:rsidP="005D0ED5">
      <w:pPr>
        <w:jc w:val="both"/>
        <w:rPr>
          <w:sz w:val="16"/>
          <w:szCs w:val="16"/>
        </w:rPr>
      </w:pPr>
    </w:p>
    <w:p w:rsidR="005D0ED5" w:rsidRDefault="004806EB" w:rsidP="005D0ED5">
      <w:pPr>
        <w:jc w:val="both"/>
        <w:rPr>
          <w:sz w:val="22"/>
          <w:szCs w:val="22"/>
        </w:rPr>
      </w:pPr>
      <w:r>
        <w:rPr>
          <w:sz w:val="22"/>
          <w:szCs w:val="22"/>
        </w:rPr>
        <w:t>za Město</w:t>
      </w:r>
      <w:r w:rsidR="005D0ED5">
        <w:rPr>
          <w:sz w:val="22"/>
          <w:szCs w:val="22"/>
        </w:rPr>
        <w:t>:</w:t>
      </w:r>
      <w:r w:rsidR="005D0ED5">
        <w:rPr>
          <w:sz w:val="22"/>
          <w:szCs w:val="22"/>
        </w:rPr>
        <w:tab/>
      </w:r>
      <w:r w:rsidR="005D0ED5">
        <w:rPr>
          <w:sz w:val="22"/>
          <w:szCs w:val="22"/>
        </w:rPr>
        <w:tab/>
      </w:r>
      <w:r w:rsidR="005D0ED5">
        <w:rPr>
          <w:sz w:val="22"/>
          <w:szCs w:val="22"/>
        </w:rPr>
        <w:tab/>
      </w:r>
      <w:r w:rsidR="005D0ED5">
        <w:rPr>
          <w:sz w:val="22"/>
          <w:szCs w:val="22"/>
        </w:rPr>
        <w:tab/>
      </w:r>
      <w:r w:rsidR="005D0ED5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 w:rsidR="005D0ED5">
        <w:rPr>
          <w:sz w:val="22"/>
          <w:szCs w:val="22"/>
        </w:rPr>
        <w:t xml:space="preserve">za </w:t>
      </w:r>
      <w:r>
        <w:rPr>
          <w:sz w:val="22"/>
          <w:szCs w:val="22"/>
        </w:rPr>
        <w:t>Společnost</w:t>
      </w:r>
      <w:r w:rsidR="005D0ED5">
        <w:rPr>
          <w:sz w:val="22"/>
          <w:szCs w:val="22"/>
        </w:rPr>
        <w:t>:</w:t>
      </w:r>
    </w:p>
    <w:p w:rsidR="005D0ED5" w:rsidRDefault="005D0ED5" w:rsidP="005D0ED5">
      <w:pPr>
        <w:jc w:val="both"/>
        <w:rPr>
          <w:sz w:val="22"/>
          <w:szCs w:val="22"/>
        </w:rPr>
      </w:pPr>
    </w:p>
    <w:p w:rsidR="00FC2DBD" w:rsidRDefault="00FC2DBD" w:rsidP="005D0ED5">
      <w:pPr>
        <w:jc w:val="both"/>
        <w:rPr>
          <w:sz w:val="22"/>
          <w:szCs w:val="22"/>
        </w:rPr>
      </w:pPr>
    </w:p>
    <w:p w:rsidR="00603BAD" w:rsidRDefault="00603BAD" w:rsidP="005D0ED5">
      <w:pPr>
        <w:jc w:val="both"/>
        <w:rPr>
          <w:sz w:val="22"/>
          <w:szCs w:val="22"/>
        </w:rPr>
      </w:pPr>
    </w:p>
    <w:p w:rsidR="00603BAD" w:rsidRDefault="00603BAD" w:rsidP="005D0ED5">
      <w:pPr>
        <w:jc w:val="both"/>
        <w:rPr>
          <w:sz w:val="22"/>
          <w:szCs w:val="22"/>
        </w:rPr>
      </w:pPr>
    </w:p>
    <w:p w:rsidR="00603BAD" w:rsidRDefault="00603BAD" w:rsidP="005D0ED5">
      <w:pPr>
        <w:jc w:val="both"/>
        <w:rPr>
          <w:sz w:val="22"/>
          <w:szCs w:val="22"/>
        </w:rPr>
      </w:pPr>
    </w:p>
    <w:p w:rsidR="005D0ED5" w:rsidRDefault="005D0ED5" w:rsidP="001E5905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</w:t>
      </w:r>
      <w:r>
        <w:rPr>
          <w:sz w:val="22"/>
          <w:szCs w:val="22"/>
        </w:rPr>
        <w:tab/>
        <w:t>……………………………………………</w:t>
      </w:r>
    </w:p>
    <w:p w:rsidR="005D0ED5" w:rsidRDefault="00DB36DA" w:rsidP="001E5905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Mgr</w:t>
      </w:r>
      <w:r w:rsidR="005D0ED5">
        <w:rPr>
          <w:sz w:val="22"/>
          <w:szCs w:val="22"/>
        </w:rPr>
        <w:t xml:space="preserve">. Kamila Bláhová                                </w:t>
      </w:r>
      <w:r w:rsidR="001E5905">
        <w:rPr>
          <w:sz w:val="22"/>
          <w:szCs w:val="22"/>
        </w:rPr>
        <w:tab/>
        <w:t>Jiří Šlégr</w:t>
      </w:r>
    </w:p>
    <w:p w:rsidR="00B15AC5" w:rsidRDefault="005D0ED5" w:rsidP="001E5905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15AC5">
        <w:rPr>
          <w:sz w:val="22"/>
          <w:szCs w:val="22"/>
        </w:rPr>
        <w:t xml:space="preserve"> </w:t>
      </w:r>
      <w:r w:rsidR="00F50C93">
        <w:rPr>
          <w:sz w:val="22"/>
          <w:szCs w:val="22"/>
        </w:rPr>
        <w:t xml:space="preserve">   </w:t>
      </w:r>
      <w:r w:rsidR="00B15AC5">
        <w:rPr>
          <w:sz w:val="22"/>
          <w:szCs w:val="22"/>
        </w:rPr>
        <w:t xml:space="preserve"> starostka města Litvínov</w:t>
      </w:r>
      <w:r w:rsidR="001E5905">
        <w:rPr>
          <w:sz w:val="22"/>
          <w:szCs w:val="22"/>
        </w:rPr>
        <w:tab/>
        <w:t>předseda představenstva</w:t>
      </w:r>
    </w:p>
    <w:p w:rsidR="005D0ED5" w:rsidRDefault="001E5905" w:rsidP="001E5905">
      <w:pPr>
        <w:tabs>
          <w:tab w:val="center" w:pos="6663"/>
        </w:tabs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HC VERVA Litvínov, a.s.</w:t>
      </w:r>
    </w:p>
    <w:p w:rsidR="00FC2DBD" w:rsidRDefault="00FC2DBD" w:rsidP="001E5905">
      <w:pPr>
        <w:tabs>
          <w:tab w:val="center" w:pos="6663"/>
        </w:tabs>
        <w:ind w:left="4248" w:firstLine="708"/>
        <w:jc w:val="both"/>
        <w:rPr>
          <w:sz w:val="22"/>
          <w:szCs w:val="22"/>
        </w:rPr>
      </w:pPr>
    </w:p>
    <w:p w:rsidR="00603BAD" w:rsidRDefault="00603BAD" w:rsidP="001E5905">
      <w:pPr>
        <w:tabs>
          <w:tab w:val="center" w:pos="6663"/>
        </w:tabs>
        <w:ind w:left="4248" w:firstLine="708"/>
        <w:jc w:val="both"/>
        <w:rPr>
          <w:sz w:val="22"/>
          <w:szCs w:val="22"/>
        </w:rPr>
      </w:pPr>
    </w:p>
    <w:p w:rsidR="00603BAD" w:rsidRDefault="00603BAD" w:rsidP="001E5905">
      <w:pPr>
        <w:tabs>
          <w:tab w:val="center" w:pos="6663"/>
        </w:tabs>
        <w:ind w:left="4248" w:firstLine="708"/>
        <w:jc w:val="both"/>
        <w:rPr>
          <w:sz w:val="22"/>
          <w:szCs w:val="22"/>
        </w:rPr>
      </w:pPr>
    </w:p>
    <w:p w:rsidR="00603BAD" w:rsidRDefault="00603BAD" w:rsidP="001E5905">
      <w:pPr>
        <w:tabs>
          <w:tab w:val="center" w:pos="6663"/>
        </w:tabs>
        <w:ind w:left="4248" w:firstLine="708"/>
        <w:jc w:val="both"/>
        <w:rPr>
          <w:sz w:val="22"/>
          <w:szCs w:val="22"/>
        </w:rPr>
      </w:pPr>
    </w:p>
    <w:p w:rsidR="00603BAD" w:rsidRDefault="00603BAD" w:rsidP="001E5905">
      <w:pPr>
        <w:tabs>
          <w:tab w:val="center" w:pos="6663"/>
        </w:tabs>
        <w:ind w:left="4248" w:firstLine="708"/>
        <w:jc w:val="both"/>
        <w:rPr>
          <w:sz w:val="22"/>
          <w:szCs w:val="22"/>
        </w:rPr>
      </w:pPr>
    </w:p>
    <w:p w:rsidR="001E5905" w:rsidRDefault="001E5905" w:rsidP="001E5905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</w:t>
      </w:r>
    </w:p>
    <w:p w:rsidR="001E5905" w:rsidRPr="001478C0" w:rsidRDefault="001E5905" w:rsidP="001E5905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567B1">
        <w:rPr>
          <w:sz w:val="22"/>
          <w:szCs w:val="22"/>
        </w:rPr>
        <w:t>MUDr. Petr Myšák</w:t>
      </w:r>
      <w:r w:rsidRPr="001478C0">
        <w:rPr>
          <w:sz w:val="22"/>
          <w:szCs w:val="22"/>
        </w:rPr>
        <w:tab/>
      </w:r>
    </w:p>
    <w:p w:rsidR="001E5905" w:rsidRDefault="001E5905" w:rsidP="001E5905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1478C0">
        <w:rPr>
          <w:sz w:val="22"/>
          <w:szCs w:val="22"/>
        </w:rPr>
        <w:tab/>
      </w:r>
      <w:r w:rsidR="001567B1">
        <w:rPr>
          <w:sz w:val="22"/>
          <w:szCs w:val="22"/>
        </w:rPr>
        <w:t>člen</w:t>
      </w:r>
      <w:r w:rsidR="001567B1" w:rsidRPr="001478C0">
        <w:rPr>
          <w:sz w:val="22"/>
          <w:szCs w:val="22"/>
        </w:rPr>
        <w:t xml:space="preserve"> </w:t>
      </w:r>
      <w:r w:rsidRPr="001478C0">
        <w:rPr>
          <w:sz w:val="22"/>
          <w:szCs w:val="22"/>
        </w:rPr>
        <w:t>představenstva</w:t>
      </w:r>
    </w:p>
    <w:p w:rsidR="00C53A23" w:rsidRDefault="001E5905" w:rsidP="001E5905">
      <w:pPr>
        <w:tabs>
          <w:tab w:val="center" w:pos="6663"/>
        </w:tabs>
        <w:spacing w:line="276" w:lineRule="auto"/>
        <w:rPr>
          <w:rFonts w:ascii="Arial" w:hAnsi="Arial" w:cs="Arial"/>
        </w:rPr>
      </w:pPr>
      <w:r>
        <w:rPr>
          <w:sz w:val="22"/>
          <w:szCs w:val="22"/>
        </w:rPr>
        <w:tab/>
        <w:t>HC VERVA Litvínov, a.s.</w:t>
      </w:r>
    </w:p>
    <w:p w:rsidR="001E5905" w:rsidRDefault="001E5905" w:rsidP="00C53A23">
      <w:pPr>
        <w:rPr>
          <w:rFonts w:ascii="Arial" w:hAnsi="Arial" w:cs="Arial"/>
        </w:rPr>
      </w:pPr>
    </w:p>
    <w:p w:rsidR="001E5905" w:rsidRDefault="001E5905" w:rsidP="00C53A23">
      <w:pPr>
        <w:rPr>
          <w:rFonts w:ascii="Arial" w:hAnsi="Arial" w:cs="Arial"/>
        </w:rPr>
      </w:pPr>
    </w:p>
    <w:p w:rsidR="001E5905" w:rsidRDefault="001E5905" w:rsidP="00C53A23">
      <w:pPr>
        <w:rPr>
          <w:rFonts w:ascii="Arial" w:hAnsi="Arial" w:cs="Arial"/>
        </w:rPr>
      </w:pPr>
    </w:p>
    <w:p w:rsidR="001E5905" w:rsidRDefault="001E5905" w:rsidP="00C53A23">
      <w:pPr>
        <w:rPr>
          <w:rFonts w:ascii="Arial" w:hAnsi="Arial" w:cs="Arial"/>
        </w:rPr>
      </w:pPr>
    </w:p>
    <w:p w:rsidR="001E5905" w:rsidRDefault="001E5905" w:rsidP="00C53A23">
      <w:pPr>
        <w:rPr>
          <w:rFonts w:ascii="Arial" w:hAnsi="Arial" w:cs="Arial"/>
        </w:rPr>
      </w:pPr>
    </w:p>
    <w:p w:rsidR="00C53A23" w:rsidRPr="008D030D" w:rsidRDefault="00C53A23" w:rsidP="00C53A23">
      <w:pPr>
        <w:ind w:left="6372"/>
        <w:rPr>
          <w:sz w:val="18"/>
          <w:szCs w:val="18"/>
        </w:rPr>
      </w:pPr>
    </w:p>
    <w:tbl>
      <w:tblPr>
        <w:tblW w:w="52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9"/>
        <w:gridCol w:w="864"/>
        <w:gridCol w:w="1025"/>
        <w:gridCol w:w="957"/>
        <w:gridCol w:w="1092"/>
        <w:gridCol w:w="2170"/>
        <w:gridCol w:w="1840"/>
      </w:tblGrid>
      <w:tr w:rsidR="00C53A23" w:rsidRPr="004F4A1A" w:rsidTr="001E5905">
        <w:trPr>
          <w:trHeight w:val="348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53A23" w:rsidRPr="004F4A1A" w:rsidRDefault="00C53A23" w:rsidP="00C2209E">
            <w:r w:rsidRPr="004F4A1A">
              <w:t xml:space="preserve"> 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jc w:val="center"/>
              <w:rPr>
                <w:b/>
              </w:rPr>
            </w:pPr>
            <w:r w:rsidRPr="004F4A1A">
              <w:rPr>
                <w:b/>
              </w:rPr>
              <w:t>Datum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jc w:val="center"/>
              <w:rPr>
                <w:b/>
              </w:rPr>
            </w:pPr>
            <w:r w:rsidRPr="004F4A1A">
              <w:rPr>
                <w:b/>
              </w:rPr>
              <w:t>Jméno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jc w:val="center"/>
              <w:rPr>
                <w:b/>
              </w:rPr>
            </w:pPr>
            <w:r w:rsidRPr="004F4A1A">
              <w:rPr>
                <w:b/>
              </w:rPr>
              <w:t>Funkce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jc w:val="center"/>
              <w:rPr>
                <w:b/>
              </w:rPr>
            </w:pPr>
            <w:r w:rsidRPr="004F4A1A">
              <w:rPr>
                <w:b/>
              </w:rPr>
              <w:t>Podpis</w:t>
            </w:r>
          </w:p>
        </w:tc>
      </w:tr>
      <w:tr w:rsidR="001E5905" w:rsidRPr="004F4A1A" w:rsidTr="001E5905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905" w:rsidRPr="004F4A1A" w:rsidRDefault="001E5905" w:rsidP="001E5905">
            <w:pPr>
              <w:rPr>
                <w:b/>
              </w:rPr>
            </w:pPr>
            <w:r w:rsidRPr="004F4A1A">
              <w:rPr>
                <w:b/>
              </w:rPr>
              <w:t>Zpracoval: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905" w:rsidRPr="004F4A1A" w:rsidRDefault="001E5905" w:rsidP="001E5905">
            <w:r>
              <w:t>29. 11. 2018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905" w:rsidRPr="004F4A1A" w:rsidRDefault="001E5905" w:rsidP="001E5905">
            <w:r w:rsidRPr="004F4A1A">
              <w:t>Ing. Petr Řeháček, MBA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905" w:rsidRPr="004F4A1A" w:rsidRDefault="001E5905" w:rsidP="001E5905">
            <w:r w:rsidRPr="004F4A1A">
              <w:t>vedoucí ONM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905" w:rsidRPr="004F4A1A" w:rsidRDefault="001E5905" w:rsidP="001E5905"/>
        </w:tc>
      </w:tr>
      <w:tr w:rsidR="00C53A23" w:rsidRPr="004F4A1A" w:rsidTr="001E5905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Schválil: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>
            <w:r w:rsidRPr="004F4A1A">
              <w:t>Ing. Petr Řeháček, MBA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>
            <w:r w:rsidRPr="004F4A1A">
              <w:t>vedoucí ONM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2209E"/>
        </w:tc>
      </w:tr>
      <w:tr w:rsidR="00C53A23" w:rsidRPr="004F4A1A" w:rsidTr="001E5905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Správce rozpočtu: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>
            <w:r w:rsidRPr="004F4A1A">
              <w:t>Ing. Zdeňka Burešová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>
            <w:r w:rsidRPr="004F4A1A">
              <w:t>ekonom ONM</w:t>
            </w:r>
          </w:p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2209E"/>
        </w:tc>
      </w:tr>
      <w:tr w:rsidR="00C53A23" w:rsidRPr="004F4A1A" w:rsidTr="001E5905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Právní oddělení: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2209E"/>
        </w:tc>
      </w:tr>
      <w:tr w:rsidR="00C53A23" w:rsidRPr="004F4A1A" w:rsidTr="001E5905">
        <w:trPr>
          <w:gridAfter w:val="1"/>
          <w:wAfter w:w="944" w:type="pct"/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Schváleno - RM: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FB2A8F" w:rsidP="00C53A23">
            <w:r>
              <w:t>5. 12. 2018</w:t>
            </w:r>
          </w:p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 xml:space="preserve">Číslo usnesení:   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53A23">
            <w:pPr>
              <w:rPr>
                <w:b/>
              </w:rPr>
            </w:pPr>
            <w:r w:rsidRPr="004F4A1A">
              <w:rPr>
                <w:b/>
              </w:rPr>
              <w:t>R/</w:t>
            </w:r>
            <w:r w:rsidR="00FB2A8F">
              <w:rPr>
                <w:b/>
              </w:rPr>
              <w:t>2919/2</w:t>
            </w:r>
          </w:p>
        </w:tc>
      </w:tr>
      <w:tr w:rsidR="00C53A23" w:rsidRPr="004F4A1A" w:rsidTr="001E5905">
        <w:trPr>
          <w:gridAfter w:val="1"/>
          <w:wAfter w:w="944" w:type="pct"/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 xml:space="preserve">                    ZM: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53A23"/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Číslo usnesení: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53A23">
            <w:pPr>
              <w:rPr>
                <w:b/>
              </w:rPr>
            </w:pPr>
          </w:p>
        </w:tc>
      </w:tr>
      <w:tr w:rsidR="00C53A23" w:rsidRPr="004F4A1A" w:rsidTr="00C2209E">
        <w:trPr>
          <w:gridAfter w:val="2"/>
          <w:wAfter w:w="2057" w:type="pct"/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Zveřejněno: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---------</w:t>
            </w:r>
          </w:p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---------</w:t>
            </w:r>
          </w:p>
        </w:tc>
      </w:tr>
      <w:tr w:rsidR="00C53A23" w:rsidRPr="004F4A1A" w:rsidTr="001E5905">
        <w:trPr>
          <w:trHeight w:val="454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 w:rsidRPr="004F4A1A">
              <w:rPr>
                <w:b/>
              </w:rPr>
              <w:t>Vedení města:</w:t>
            </w:r>
          </w:p>
        </w:tc>
        <w:tc>
          <w:tcPr>
            <w:tcW w:w="969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A23" w:rsidRPr="004F4A1A" w:rsidRDefault="001E5905" w:rsidP="00C2209E">
            <w:r>
              <w:t>Karel Rosenbaum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3A23" w:rsidRPr="004F4A1A" w:rsidRDefault="00C53A23" w:rsidP="00C2209E">
            <w:r w:rsidRPr="004F4A1A">
              <w:t>2. místostarosta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2209E"/>
        </w:tc>
      </w:tr>
      <w:tr w:rsidR="00C53A23" w:rsidRPr="004F4A1A" w:rsidTr="001E5905">
        <w:trPr>
          <w:trHeight w:val="440"/>
        </w:trPr>
        <w:tc>
          <w:tcPr>
            <w:tcW w:w="13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3A23" w:rsidRPr="004F4A1A" w:rsidRDefault="00C53A23" w:rsidP="00C2209E">
            <w:pPr>
              <w:rPr>
                <w:b/>
              </w:rPr>
            </w:pPr>
            <w:r>
              <w:rPr>
                <w:b/>
              </w:rPr>
              <w:t>Datum uveřejnění smlouvy:</w:t>
            </w:r>
          </w:p>
        </w:tc>
        <w:tc>
          <w:tcPr>
            <w:tcW w:w="101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A23" w:rsidRPr="004F4A1A" w:rsidRDefault="00C53A23" w:rsidP="00C2209E"/>
        </w:tc>
        <w:tc>
          <w:tcPr>
            <w:tcW w:w="167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A23" w:rsidRPr="00FD66FF" w:rsidRDefault="00C53A23" w:rsidP="00C2209E">
            <w:pPr>
              <w:rPr>
                <w:b/>
              </w:rPr>
            </w:pPr>
            <w:r>
              <w:rPr>
                <w:b/>
              </w:rPr>
              <w:t>ID smlouvy z registru smluv: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A23" w:rsidRPr="004F4A1A" w:rsidRDefault="00C53A23" w:rsidP="00C2209E"/>
        </w:tc>
      </w:tr>
    </w:tbl>
    <w:p w:rsidR="00833FE7" w:rsidRDefault="00833FE7" w:rsidP="00C53A23">
      <w:pPr>
        <w:jc w:val="both"/>
      </w:pPr>
    </w:p>
    <w:sectPr w:rsidR="00833F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DF" w:rsidRDefault="009214DF" w:rsidP="003F059C">
      <w:r>
        <w:separator/>
      </w:r>
    </w:p>
  </w:endnote>
  <w:endnote w:type="continuationSeparator" w:id="0">
    <w:p w:rsidR="009214DF" w:rsidRDefault="009214DF" w:rsidP="003F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69803"/>
      <w:docPartObj>
        <w:docPartGallery w:val="Page Numbers (Bottom of Page)"/>
        <w:docPartUnique/>
      </w:docPartObj>
    </w:sdtPr>
    <w:sdtEndPr/>
    <w:sdtContent>
      <w:p w:rsidR="003F059C" w:rsidRDefault="003F059C">
        <w:pPr>
          <w:pStyle w:val="Zpat"/>
          <w:jc w:val="center"/>
        </w:pPr>
      </w:p>
      <w:p w:rsidR="003F059C" w:rsidRDefault="003F059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35700">
          <w:rPr>
            <w:noProof/>
          </w:rPr>
          <w:t>2</w:t>
        </w:r>
        <w:r>
          <w:fldChar w:fldCharType="end"/>
        </w:r>
      </w:p>
    </w:sdtContent>
  </w:sdt>
  <w:p w:rsidR="003F059C" w:rsidRDefault="003F0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DF" w:rsidRDefault="009214DF" w:rsidP="003F059C">
      <w:r>
        <w:separator/>
      </w:r>
    </w:p>
  </w:footnote>
  <w:footnote w:type="continuationSeparator" w:id="0">
    <w:p w:rsidR="009214DF" w:rsidRDefault="009214DF" w:rsidP="003F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9C" w:rsidRDefault="003F059C">
    <w:pPr>
      <w:pStyle w:val="Zhlav"/>
      <w:jc w:val="center"/>
    </w:pPr>
  </w:p>
  <w:p w:rsidR="003F059C" w:rsidRDefault="00F50C93">
    <w:pPr>
      <w:pStyle w:val="Zhlav"/>
    </w:pPr>
    <w:r>
      <w:tab/>
    </w:r>
    <w:r>
      <w:tab/>
      <w:t>KT/</w:t>
    </w:r>
    <w:r w:rsidR="00590268">
      <w:t>10034/18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B73"/>
    <w:multiLevelType w:val="hybridMultilevel"/>
    <w:tmpl w:val="C264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59AF"/>
    <w:multiLevelType w:val="hybridMultilevel"/>
    <w:tmpl w:val="B23A0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D5"/>
    <w:rsid w:val="000628E0"/>
    <w:rsid w:val="00063F87"/>
    <w:rsid w:val="0007276B"/>
    <w:rsid w:val="00072D85"/>
    <w:rsid w:val="0008589E"/>
    <w:rsid w:val="000C2457"/>
    <w:rsid w:val="000C5961"/>
    <w:rsid w:val="000C6703"/>
    <w:rsid w:val="000D3BCA"/>
    <w:rsid w:val="000D5D33"/>
    <w:rsid w:val="001478C0"/>
    <w:rsid w:val="001567B1"/>
    <w:rsid w:val="001A1318"/>
    <w:rsid w:val="001B238A"/>
    <w:rsid w:val="001B4A7A"/>
    <w:rsid w:val="001C2E3B"/>
    <w:rsid w:val="001D3EA1"/>
    <w:rsid w:val="001E5905"/>
    <w:rsid w:val="00201001"/>
    <w:rsid w:val="00320B35"/>
    <w:rsid w:val="003653FF"/>
    <w:rsid w:val="00392394"/>
    <w:rsid w:val="003D383C"/>
    <w:rsid w:val="003F059C"/>
    <w:rsid w:val="00404004"/>
    <w:rsid w:val="004806EB"/>
    <w:rsid w:val="004A1238"/>
    <w:rsid w:val="004B45F5"/>
    <w:rsid w:val="004C684B"/>
    <w:rsid w:val="004F2E10"/>
    <w:rsid w:val="00531851"/>
    <w:rsid w:val="00590268"/>
    <w:rsid w:val="0059472A"/>
    <w:rsid w:val="005D0ED5"/>
    <w:rsid w:val="005E5398"/>
    <w:rsid w:val="00603BAD"/>
    <w:rsid w:val="0062478B"/>
    <w:rsid w:val="00625A74"/>
    <w:rsid w:val="0066215B"/>
    <w:rsid w:val="00667258"/>
    <w:rsid w:val="006741A1"/>
    <w:rsid w:val="00684DCA"/>
    <w:rsid w:val="006927C7"/>
    <w:rsid w:val="006D1BBC"/>
    <w:rsid w:val="006D39C2"/>
    <w:rsid w:val="00752612"/>
    <w:rsid w:val="00752F88"/>
    <w:rsid w:val="00770DC8"/>
    <w:rsid w:val="007E6374"/>
    <w:rsid w:val="00811145"/>
    <w:rsid w:val="00833FE7"/>
    <w:rsid w:val="00862F46"/>
    <w:rsid w:val="00892920"/>
    <w:rsid w:val="008B0FC4"/>
    <w:rsid w:val="00904F14"/>
    <w:rsid w:val="009214DF"/>
    <w:rsid w:val="00935700"/>
    <w:rsid w:val="00944308"/>
    <w:rsid w:val="009C6C2C"/>
    <w:rsid w:val="00A42291"/>
    <w:rsid w:val="00A57330"/>
    <w:rsid w:val="00AD151B"/>
    <w:rsid w:val="00AD56E5"/>
    <w:rsid w:val="00AE4275"/>
    <w:rsid w:val="00B1169C"/>
    <w:rsid w:val="00B15AC5"/>
    <w:rsid w:val="00B274F6"/>
    <w:rsid w:val="00B7675A"/>
    <w:rsid w:val="00B87B63"/>
    <w:rsid w:val="00C42F10"/>
    <w:rsid w:val="00C53A23"/>
    <w:rsid w:val="00C601FA"/>
    <w:rsid w:val="00C72C7D"/>
    <w:rsid w:val="00D32F14"/>
    <w:rsid w:val="00DB36DA"/>
    <w:rsid w:val="00E33CC1"/>
    <w:rsid w:val="00E51F2A"/>
    <w:rsid w:val="00E568F7"/>
    <w:rsid w:val="00E92C7E"/>
    <w:rsid w:val="00EF5D0E"/>
    <w:rsid w:val="00F24020"/>
    <w:rsid w:val="00F27837"/>
    <w:rsid w:val="00F50C93"/>
    <w:rsid w:val="00FA6DEC"/>
    <w:rsid w:val="00FB2A8F"/>
    <w:rsid w:val="00FC2DBD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D0ED5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D0ED5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D0E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D0E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0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0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12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3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D0ED5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D0ED5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D0E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D0E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0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0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5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12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23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170F-CAFB-4671-BE19-C26D88F3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Baudysova Andrea</dc:creator>
  <cp:lastModifiedBy>Sieberova Miroslava</cp:lastModifiedBy>
  <cp:revision>2</cp:revision>
  <cp:lastPrinted>2016-07-27T13:29:00Z</cp:lastPrinted>
  <dcterms:created xsi:type="dcterms:W3CDTF">2018-12-12T14:42:00Z</dcterms:created>
  <dcterms:modified xsi:type="dcterms:W3CDTF">2018-12-12T14:42:00Z</dcterms:modified>
</cp:coreProperties>
</file>