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9CAB" w14:textId="77777777" w:rsidR="00D32B0E" w:rsidRPr="00D32B0E" w:rsidRDefault="00D32B0E" w:rsidP="00D32B0E">
      <w:pPr>
        <w:rPr>
          <w:b/>
          <w:bCs/>
        </w:rPr>
      </w:pPr>
      <w:r>
        <w:rPr>
          <w:b/>
          <w:bCs/>
        </w:rPr>
        <w:t xml:space="preserve">                                                                         </w:t>
      </w:r>
      <w:r w:rsidRPr="00D32B0E">
        <w:rPr>
          <w:b/>
          <w:bCs/>
        </w:rPr>
        <w:t>Kupní smlouva</w:t>
      </w:r>
    </w:p>
    <w:p w14:paraId="3B1C3F36" w14:textId="77777777" w:rsidR="00D32B0E" w:rsidRPr="00D32B0E" w:rsidRDefault="00D32B0E" w:rsidP="00D32B0E">
      <w:r w:rsidRPr="00D32B0E">
        <w:t>uzavřená dle § 2079 a násl. zákona č. 89/2012 Sb., občanský zákoník, v platném znění</w:t>
      </w:r>
    </w:p>
    <w:p w14:paraId="45B1D475" w14:textId="77777777" w:rsidR="00D32B0E" w:rsidRPr="00D32B0E" w:rsidRDefault="00D32B0E" w:rsidP="00D32B0E">
      <w:pPr>
        <w:rPr>
          <w:b/>
          <w:bCs/>
        </w:rPr>
      </w:pPr>
      <w:r w:rsidRPr="00D32B0E">
        <w:t>mezi:</w:t>
      </w:r>
    </w:p>
    <w:p w14:paraId="52305E2D" w14:textId="77777777" w:rsidR="00D32B0E" w:rsidRPr="00D32B0E" w:rsidRDefault="00D32B0E" w:rsidP="00D32B0E">
      <w:r w:rsidRPr="00D32B0E">
        <w:rPr>
          <w:b/>
          <w:bCs/>
        </w:rPr>
        <w:t>TOP TRADE PROFI s.r.o.</w:t>
      </w:r>
    </w:p>
    <w:p w14:paraId="2499BDBD" w14:textId="0D6BD83E" w:rsidR="00D32B0E" w:rsidRPr="00D32B0E" w:rsidRDefault="00D32B0E" w:rsidP="00D32B0E">
      <w:r w:rsidRPr="00D32B0E">
        <w:t xml:space="preserve">se sídlem: Kaprova 14/13, 110 00 Praha 1-Josefov, </w:t>
      </w:r>
    </w:p>
    <w:p w14:paraId="3910C9E3" w14:textId="77777777" w:rsidR="00D32B0E" w:rsidRPr="00D32B0E" w:rsidRDefault="00D32B0E" w:rsidP="00D32B0E">
      <w:r w:rsidRPr="00D32B0E">
        <w:t xml:space="preserve">jednající: Patrikem </w:t>
      </w:r>
      <w:proofErr w:type="spellStart"/>
      <w:r w:rsidRPr="00D32B0E">
        <w:t>Matejovičem</w:t>
      </w:r>
      <w:proofErr w:type="spellEnd"/>
      <w:r w:rsidRPr="00D32B0E">
        <w:t>, jednatelem</w:t>
      </w:r>
    </w:p>
    <w:p w14:paraId="541DD537" w14:textId="77777777" w:rsidR="00D32B0E" w:rsidRPr="00D32B0E" w:rsidRDefault="00D32B0E" w:rsidP="00D32B0E">
      <w:r w:rsidRPr="00D32B0E">
        <w:t>IČ: 24837946; DIČ: CZ24837946</w:t>
      </w:r>
    </w:p>
    <w:p w14:paraId="17899153" w14:textId="77777777" w:rsidR="00D32B0E" w:rsidRPr="00D32B0E" w:rsidRDefault="00D32B0E" w:rsidP="00D32B0E">
      <w:r w:rsidRPr="00D32B0E">
        <w:t xml:space="preserve">Společnost s ručením omezeným zapsaná Městským soudem v Praze, oddíl C, vložka 179025 </w:t>
      </w:r>
    </w:p>
    <w:p w14:paraId="1398D7AD" w14:textId="77777777" w:rsidR="00D32B0E" w:rsidRPr="00D32B0E" w:rsidRDefault="00D32B0E" w:rsidP="00D32B0E">
      <w:r w:rsidRPr="00D32B0E">
        <w:t xml:space="preserve">Číslo účtu.: </w:t>
      </w:r>
      <w:r w:rsidRPr="005E080F">
        <w:rPr>
          <w:highlight w:val="black"/>
        </w:rPr>
        <w:t>43-9402430207/0100</w:t>
      </w:r>
      <w:r w:rsidRPr="00D32B0E">
        <w:t xml:space="preserve">, veden u bankovního ústavu: </w:t>
      </w:r>
      <w:bookmarkStart w:id="0" w:name="_GoBack"/>
      <w:bookmarkEnd w:id="0"/>
      <w:r w:rsidRPr="00695432">
        <w:rPr>
          <w:highlight w:val="black"/>
        </w:rPr>
        <w:t>Komerční banka</w:t>
      </w:r>
    </w:p>
    <w:p w14:paraId="6996B600" w14:textId="77777777" w:rsidR="00D32B0E" w:rsidRPr="00D32B0E" w:rsidRDefault="00D32B0E" w:rsidP="00D32B0E">
      <w:r w:rsidRPr="00D32B0E">
        <w:t>(dále jen „</w:t>
      </w:r>
      <w:bookmarkStart w:id="1" w:name="_Hlk531607137"/>
      <w:r w:rsidRPr="00D32B0E">
        <w:t>prodávající</w:t>
      </w:r>
      <w:bookmarkEnd w:id="1"/>
      <w:r w:rsidRPr="00D32B0E">
        <w:t>“)</w:t>
      </w:r>
    </w:p>
    <w:p w14:paraId="55D11A01" w14:textId="77777777" w:rsidR="00D32B0E" w:rsidRPr="00D32B0E" w:rsidRDefault="00D32B0E" w:rsidP="00D32B0E">
      <w:r w:rsidRPr="00D32B0E">
        <w:t>a</w:t>
      </w:r>
    </w:p>
    <w:p w14:paraId="51DF89CE" w14:textId="77777777" w:rsidR="00D32B0E" w:rsidRPr="00D32B0E" w:rsidRDefault="00D32B0E" w:rsidP="00D32B0E">
      <w:r w:rsidRPr="00D32B0E">
        <w:t>Domov pro seniory Severní Terasa, příspěvková organizace</w:t>
      </w:r>
    </w:p>
    <w:p w14:paraId="07B67DD4" w14:textId="77777777" w:rsidR="00D32B0E" w:rsidRPr="00D32B0E" w:rsidRDefault="00D32B0E" w:rsidP="00D32B0E">
      <w:r w:rsidRPr="00D32B0E">
        <w:t>se sídlem V Klidu 3133/12, 400 11, Ústí nad Labem</w:t>
      </w:r>
    </w:p>
    <w:p w14:paraId="7F05E742" w14:textId="050559A2" w:rsidR="00D32B0E" w:rsidRPr="00D32B0E" w:rsidRDefault="00D32B0E" w:rsidP="00D32B0E">
      <w:r w:rsidRPr="00D32B0E">
        <w:t>jednající</w:t>
      </w:r>
      <w:r w:rsidR="00E83047">
        <w:t>:</w:t>
      </w:r>
      <w:r w:rsidRPr="00D32B0E">
        <w:t xml:space="preserve"> Ing. Petrem </w:t>
      </w:r>
      <w:proofErr w:type="spellStart"/>
      <w:proofErr w:type="gramStart"/>
      <w:r w:rsidRPr="00D32B0E">
        <w:t>Boťanským</w:t>
      </w:r>
      <w:proofErr w:type="spellEnd"/>
      <w:r w:rsidRPr="00D32B0E">
        <w:t xml:space="preserve"> - ředitelem</w:t>
      </w:r>
      <w:proofErr w:type="gramEnd"/>
    </w:p>
    <w:p w14:paraId="2085C67D" w14:textId="7D53703A" w:rsidR="00D32B0E" w:rsidRPr="00D32B0E" w:rsidRDefault="00D32B0E" w:rsidP="00D32B0E">
      <w:r w:rsidRPr="00D32B0E">
        <w:t>IČ: 44555326; DIČ: CZ445</w:t>
      </w:r>
      <w:r w:rsidR="00E83047">
        <w:t>5</w:t>
      </w:r>
      <w:r w:rsidRPr="00D32B0E">
        <w:t>5326</w:t>
      </w:r>
    </w:p>
    <w:p w14:paraId="471C7876" w14:textId="77777777" w:rsidR="00D32B0E" w:rsidRPr="00D32B0E" w:rsidRDefault="00D32B0E" w:rsidP="00D32B0E">
      <w:r w:rsidRPr="00D32B0E">
        <w:t>bankovní spojení: Komerční banka, a. s., č. ú</w:t>
      </w:r>
      <w:r w:rsidRPr="005E080F">
        <w:rPr>
          <w:highlight w:val="black"/>
        </w:rPr>
        <w:t>: 3783550247/0100</w:t>
      </w:r>
    </w:p>
    <w:p w14:paraId="2A46128C" w14:textId="77777777" w:rsidR="00D32B0E" w:rsidRPr="00D32B0E" w:rsidRDefault="00D32B0E" w:rsidP="00D32B0E">
      <w:r w:rsidRPr="00D32B0E">
        <w:t>(dále jen „</w:t>
      </w:r>
      <w:bookmarkStart w:id="2" w:name="_Hlk531607111"/>
      <w:r w:rsidRPr="00D32B0E">
        <w:t>kupující</w:t>
      </w:r>
      <w:bookmarkEnd w:id="2"/>
      <w:r w:rsidRPr="00D32B0E">
        <w:t>“)</w:t>
      </w:r>
    </w:p>
    <w:p w14:paraId="5D4249DE" w14:textId="77777777" w:rsidR="00D32B0E" w:rsidRPr="00D32B0E" w:rsidRDefault="00D32B0E" w:rsidP="0027343D">
      <w:pPr>
        <w:tabs>
          <w:tab w:val="num" w:pos="720"/>
        </w:tabs>
        <w:jc w:val="center"/>
        <w:rPr>
          <w:b/>
          <w:bCs/>
        </w:rPr>
      </w:pPr>
      <w:r w:rsidRPr="00D32B0E">
        <w:rPr>
          <w:b/>
          <w:bCs/>
        </w:rPr>
        <w:t>I.</w:t>
      </w:r>
    </w:p>
    <w:p w14:paraId="5318AEA7" w14:textId="77777777" w:rsidR="00D32B0E" w:rsidRPr="00D32B0E" w:rsidRDefault="00D32B0E" w:rsidP="0027343D">
      <w:pPr>
        <w:tabs>
          <w:tab w:val="num" w:pos="720"/>
        </w:tabs>
        <w:jc w:val="center"/>
        <w:rPr>
          <w:b/>
          <w:bCs/>
        </w:rPr>
      </w:pPr>
      <w:r w:rsidRPr="00D32B0E">
        <w:rPr>
          <w:b/>
          <w:bCs/>
        </w:rPr>
        <w:t>Předmět kupní smlouvy</w:t>
      </w:r>
    </w:p>
    <w:p w14:paraId="74F110CF" w14:textId="77777777" w:rsidR="00D32B0E" w:rsidRPr="00D32B0E" w:rsidRDefault="00D32B0E" w:rsidP="00E92DC7">
      <w:pPr>
        <w:numPr>
          <w:ilvl w:val="0"/>
          <w:numId w:val="1"/>
        </w:numPr>
        <w:ind w:left="426" w:hanging="426"/>
      </w:pPr>
      <w:r w:rsidRPr="00D32B0E">
        <w:t xml:space="preserve">Předmětem této smlouvy je závazek prodávajícího dodat kupujícímu zboží specifikované v Příloze č.1, která je nedílnou součástí této smlouvy, převést na kupujícího vlastnické právo k tomuto zboží a závazek kupujícího zaplatit prodávajícímu za zboží cenu dle této smlouvy. </w:t>
      </w:r>
    </w:p>
    <w:p w14:paraId="5F1ED4BA" w14:textId="62AE8E55" w:rsidR="00D32B0E" w:rsidRPr="00D32B0E" w:rsidRDefault="00D32B0E" w:rsidP="00E92DC7">
      <w:pPr>
        <w:numPr>
          <w:ilvl w:val="0"/>
          <w:numId w:val="1"/>
        </w:numPr>
        <w:ind w:left="426" w:hanging="426"/>
      </w:pPr>
      <w:r w:rsidRPr="00D32B0E">
        <w:t>Součástí dodávky zboží dle této smlouvy je rovněž zajištění dopravy do místa určení, instalace zboží a jeho zprovoznění prodávajícím, předání dokumentů a dokladů potřebných pro řádné užívání zboží (záruční list apod.)</w:t>
      </w:r>
      <w:r w:rsidR="0027343D">
        <w:t xml:space="preserve"> a</w:t>
      </w:r>
      <w:r w:rsidRPr="00D32B0E">
        <w:t xml:space="preserve"> zaškolení obsluhy</w:t>
      </w:r>
      <w:r w:rsidR="0027343D">
        <w:t>.</w:t>
      </w:r>
    </w:p>
    <w:p w14:paraId="3CD3C367" w14:textId="620F95B9" w:rsidR="00D32B0E" w:rsidRPr="00D32B0E" w:rsidRDefault="00D32B0E" w:rsidP="0027343D">
      <w:pPr>
        <w:jc w:val="center"/>
      </w:pPr>
      <w:r w:rsidRPr="00D32B0E">
        <w:t>II.</w:t>
      </w:r>
    </w:p>
    <w:p w14:paraId="22FC2C79" w14:textId="0AEFC3EF" w:rsidR="00D32B0E" w:rsidRPr="00D32B0E" w:rsidRDefault="00D32B0E" w:rsidP="0027343D">
      <w:pPr>
        <w:tabs>
          <w:tab w:val="num" w:pos="720"/>
        </w:tabs>
        <w:jc w:val="center"/>
      </w:pPr>
      <w:r w:rsidRPr="00D32B0E">
        <w:rPr>
          <w:b/>
          <w:bCs/>
        </w:rPr>
        <w:t>Kupní cena, platební podmínky</w:t>
      </w:r>
    </w:p>
    <w:p w14:paraId="3F42E092" w14:textId="4C0EB308" w:rsidR="00D32B0E" w:rsidRPr="0027343D" w:rsidRDefault="00D32B0E" w:rsidP="00E92DC7">
      <w:pPr>
        <w:numPr>
          <w:ilvl w:val="0"/>
          <w:numId w:val="2"/>
        </w:numPr>
        <w:ind w:left="426" w:hanging="426"/>
      </w:pPr>
      <w:r w:rsidRPr="0027343D">
        <w:t>Celková kupní cena zboží je stanovena dohodou smluvních stran ve výši 107.100,</w:t>
      </w:r>
      <w:r w:rsidR="00E83047">
        <w:t>-</w:t>
      </w:r>
      <w:r w:rsidRPr="0027343D">
        <w:t>Kč (</w:t>
      </w:r>
      <w:proofErr w:type="gramStart"/>
      <w:r w:rsidRPr="0027343D">
        <w:t xml:space="preserve">slovy:   </w:t>
      </w:r>
      <w:proofErr w:type="spellStart"/>
      <w:proofErr w:type="gramEnd"/>
      <w:r w:rsidRPr="0027343D">
        <w:t>stosedmtisíc</w:t>
      </w:r>
      <w:r w:rsidR="0027343D" w:rsidRPr="0027343D">
        <w:t>jedno</w:t>
      </w:r>
      <w:r w:rsidRPr="0027343D">
        <w:t>sto</w:t>
      </w:r>
      <w:proofErr w:type="spellEnd"/>
      <w:r w:rsidRPr="0027343D">
        <w:t xml:space="preserve"> Kč) bez DPH (129</w:t>
      </w:r>
      <w:r w:rsidR="00E83047">
        <w:t>.</w:t>
      </w:r>
      <w:r w:rsidRPr="0027343D">
        <w:t>591</w:t>
      </w:r>
      <w:r w:rsidR="0027343D" w:rsidRPr="0027343D">
        <w:t>,</w:t>
      </w:r>
      <w:r w:rsidR="00E83047">
        <w:t>-</w:t>
      </w:r>
      <w:r w:rsidRPr="0027343D">
        <w:t xml:space="preserve"> Kč vč.</w:t>
      </w:r>
      <w:r w:rsidR="0027343D" w:rsidRPr="0027343D">
        <w:t xml:space="preserve"> </w:t>
      </w:r>
      <w:r w:rsidRPr="0027343D">
        <w:t>DPH) a to včetně nákladů na dopravu a instalaci předmětu koupě</w:t>
      </w:r>
      <w:r w:rsidR="0027343D" w:rsidRPr="0027343D">
        <w:t xml:space="preserve"> a</w:t>
      </w:r>
      <w:r w:rsidRPr="0027343D">
        <w:t xml:space="preserve"> zaškolení obsluhy.</w:t>
      </w:r>
    </w:p>
    <w:p w14:paraId="03AE06E0" w14:textId="77777777" w:rsidR="00D32B0E" w:rsidRPr="0027343D" w:rsidRDefault="00D32B0E" w:rsidP="00E92DC7">
      <w:pPr>
        <w:numPr>
          <w:ilvl w:val="0"/>
          <w:numId w:val="2"/>
        </w:numPr>
        <w:ind w:left="426" w:hanging="426"/>
        <w:rPr>
          <w:iCs/>
        </w:rPr>
      </w:pPr>
      <w:r w:rsidRPr="0027343D">
        <w:t>Kupní cenu za zboží lze upravit pouze písemným dodatkem k této smlouvě.</w:t>
      </w:r>
    </w:p>
    <w:p w14:paraId="464A7DF1" w14:textId="510904F2" w:rsidR="00D32B0E" w:rsidRPr="0027343D" w:rsidRDefault="00D32B0E" w:rsidP="00E92DC7">
      <w:pPr>
        <w:numPr>
          <w:ilvl w:val="0"/>
          <w:numId w:val="2"/>
        </w:numPr>
        <w:ind w:left="426" w:hanging="426"/>
        <w:rPr>
          <w:iCs/>
        </w:rPr>
      </w:pPr>
      <w:r w:rsidRPr="0027343D">
        <w:rPr>
          <w:iCs/>
        </w:rPr>
        <w:t>Kupní cena bude uhrazena kupujícím na základě faktur</w:t>
      </w:r>
      <w:r w:rsidR="0027343D" w:rsidRPr="0027343D">
        <w:rPr>
          <w:iCs/>
        </w:rPr>
        <w:t>y</w:t>
      </w:r>
      <w:r w:rsidRPr="0027343D">
        <w:rPr>
          <w:iCs/>
        </w:rPr>
        <w:t xml:space="preserve">, které prodávající vystaví a odešle na adresu kupujícího. Splatnost faktury se stanovuje na 14 dní od jejího doručení kupujícímu. </w:t>
      </w:r>
      <w:r w:rsidRPr="0027343D">
        <w:t>V pochybnostech se má za to, že odběratel fakturu obdržel 3 den po jejím odeslání prodávajícím.</w:t>
      </w:r>
    </w:p>
    <w:p w14:paraId="32CE53BA" w14:textId="77777777" w:rsidR="00D32B0E" w:rsidRPr="0027343D" w:rsidRDefault="00D32B0E" w:rsidP="00E92DC7">
      <w:pPr>
        <w:numPr>
          <w:ilvl w:val="0"/>
          <w:numId w:val="2"/>
        </w:numPr>
        <w:ind w:left="426" w:hanging="426"/>
      </w:pPr>
      <w:r w:rsidRPr="0027343D">
        <w:lastRenderedPageBreak/>
        <w:t>Faktury prodávajícího budou obsahovat údaje daňového dokladu ve smyslu zákona č. 235/2004 Sb., Zákon o dani z přidané hodnoty a ve smyslu zákona č. 563/1991 Sb., Zákon o účetnictví, včetně termínu uskutečnění daňového plnění.</w:t>
      </w:r>
    </w:p>
    <w:p w14:paraId="306EE3DB" w14:textId="77777777" w:rsidR="00D32B0E" w:rsidRPr="0027343D" w:rsidRDefault="00D32B0E" w:rsidP="00E92DC7">
      <w:pPr>
        <w:numPr>
          <w:ilvl w:val="0"/>
          <w:numId w:val="2"/>
        </w:numPr>
        <w:ind w:left="426" w:hanging="426"/>
      </w:pPr>
      <w:r w:rsidRPr="0027343D">
        <w:t xml:space="preserve">Nebude-li faktura obsahovat náležitosti uvedené ve smlouvě, je kupující oprávněn k jejímu vrácení prodávajícímu k doplnění. V takovém případě se upravuje doba splatnosti faktury, přičemž nová splatnost bude uvedena v nově vystavené opravné faktuře prodávajícího. </w:t>
      </w:r>
    </w:p>
    <w:p w14:paraId="292827DE" w14:textId="77777777" w:rsidR="00D32B0E" w:rsidRPr="0027343D" w:rsidRDefault="00D32B0E" w:rsidP="00E92DC7">
      <w:pPr>
        <w:numPr>
          <w:ilvl w:val="0"/>
          <w:numId w:val="2"/>
        </w:numPr>
        <w:ind w:left="426" w:hanging="426"/>
      </w:pPr>
      <w:r w:rsidRPr="0027343D">
        <w:t>Kupní cena či její část je považována za řádně uhrazenou připsáním příslušné částky na účet prodávajícího.</w:t>
      </w:r>
    </w:p>
    <w:p w14:paraId="048E4B4A" w14:textId="3F055290" w:rsidR="00D32B0E" w:rsidRPr="00D32B0E" w:rsidRDefault="00D32B0E" w:rsidP="0027343D">
      <w:pPr>
        <w:jc w:val="center"/>
        <w:rPr>
          <w:b/>
        </w:rPr>
      </w:pPr>
      <w:r w:rsidRPr="00D32B0E">
        <w:rPr>
          <w:b/>
        </w:rPr>
        <w:t>III.</w:t>
      </w:r>
    </w:p>
    <w:p w14:paraId="61EB0EFA" w14:textId="4A3D2D70" w:rsidR="00D32B0E" w:rsidRPr="00D32B0E" w:rsidRDefault="00D32B0E" w:rsidP="0027343D">
      <w:pPr>
        <w:jc w:val="center"/>
      </w:pPr>
      <w:r w:rsidRPr="00D32B0E">
        <w:rPr>
          <w:b/>
        </w:rPr>
        <w:t>Dodání zboží, jeho předání a převzetí</w:t>
      </w:r>
    </w:p>
    <w:p w14:paraId="11AA7666" w14:textId="6C44CF4D" w:rsidR="00D32B0E" w:rsidRPr="00D32B0E" w:rsidRDefault="00D32B0E" w:rsidP="00E92DC7">
      <w:pPr>
        <w:numPr>
          <w:ilvl w:val="0"/>
          <w:numId w:val="3"/>
        </w:numPr>
        <w:ind w:left="426" w:hanging="426"/>
      </w:pPr>
      <w:r w:rsidRPr="00D32B0E">
        <w:t>Prodávající dodá kupujícímu zboží dle této smlouvy do dne 30.12.2018. Kupující je povinen poskytnout mu k tomuto přiměřenou součinnost, především umožnit přístup do místa dodání zboží.</w:t>
      </w:r>
    </w:p>
    <w:p w14:paraId="538CD7E8" w14:textId="77777777" w:rsidR="00D32B0E" w:rsidRPr="00D32B0E" w:rsidRDefault="00D32B0E" w:rsidP="00E92DC7">
      <w:pPr>
        <w:numPr>
          <w:ilvl w:val="0"/>
          <w:numId w:val="3"/>
        </w:numPr>
        <w:ind w:left="426" w:hanging="426"/>
      </w:pPr>
      <w:r w:rsidRPr="00D32B0E">
        <w:t>Místem dodání zboží je provozovna kupujícího, která sídlí na adrese: Domov pro seniory Severní Terasa, V Klidu 3133/12, 400 11, Ústí nad Labem.</w:t>
      </w:r>
    </w:p>
    <w:p w14:paraId="5D43C99A" w14:textId="77777777" w:rsidR="00D32B0E" w:rsidRPr="00D32B0E" w:rsidRDefault="00D32B0E" w:rsidP="00E92DC7">
      <w:pPr>
        <w:numPr>
          <w:ilvl w:val="0"/>
          <w:numId w:val="3"/>
        </w:numPr>
        <w:ind w:left="426" w:hanging="426"/>
      </w:pPr>
      <w:r w:rsidRPr="00D32B0E">
        <w:t>Zboží nebo jeho části se považují za předané a převzaté dnem podpisu předávacího protokolu kupujícím.</w:t>
      </w:r>
    </w:p>
    <w:p w14:paraId="0C9A0F7C" w14:textId="77777777" w:rsidR="00D32B0E" w:rsidRPr="00D32B0E" w:rsidRDefault="00D32B0E" w:rsidP="00E92DC7">
      <w:pPr>
        <w:numPr>
          <w:ilvl w:val="0"/>
          <w:numId w:val="3"/>
        </w:numPr>
        <w:ind w:left="426" w:hanging="426"/>
      </w:pPr>
      <w:r w:rsidRPr="00D32B0E">
        <w:t>Kupující je povinen převzít zboží nebo jeho část, pokud je dodána řádně a včas. Kupující je povinen převzít i takové zboží, které obsahuje vady nebránící jeho řádnému užití. V takovém případě, se vady vyznačí v předávacím protokolu. Tímto není dotčena povinnost Prodávajícího odstranit drobné vady ani jiné nároky Kupujícího z vadného plnění.</w:t>
      </w:r>
    </w:p>
    <w:p w14:paraId="0D50C92A" w14:textId="77777777" w:rsidR="00D32B0E" w:rsidRPr="00D32B0E" w:rsidRDefault="00D32B0E" w:rsidP="00E92DC7">
      <w:pPr>
        <w:numPr>
          <w:ilvl w:val="0"/>
          <w:numId w:val="3"/>
        </w:numPr>
        <w:ind w:left="426" w:hanging="426"/>
      </w:pPr>
      <w:r w:rsidRPr="00D32B0E">
        <w:t>V případě, že by kupující zboží nepřevzal, ačkoli by toto bylo dodáno řádně a včas, bez vad bránících jeho řádnému užití, považuje se zboží za předané a převzaté dnem, kdy kupující toto zboží odmítl převzít.</w:t>
      </w:r>
    </w:p>
    <w:p w14:paraId="6F41FDD0" w14:textId="77777777" w:rsidR="00D32B0E" w:rsidRPr="00DF20C4" w:rsidRDefault="00D32B0E" w:rsidP="00E92DC7">
      <w:pPr>
        <w:numPr>
          <w:ilvl w:val="0"/>
          <w:numId w:val="3"/>
        </w:numPr>
        <w:ind w:left="426" w:hanging="426"/>
      </w:pPr>
      <w:r w:rsidRPr="00DF20C4">
        <w:t xml:space="preserve">Nebezpečí škody na zboží nebo jeho část přechází na kupujícího okamžikem, kdy převzal zboží nebo jeho část od prodávajícího. Kupující je </w:t>
      </w:r>
      <w:r w:rsidRPr="00DF20C4">
        <w:rPr>
          <w:bCs/>
        </w:rPr>
        <w:t>povinen prohlédnout zboží podle možnosti co nejdříve po přechodu nebezpečí škody na zboží, s přihlédnutím k povaze zboží. Jestliže kupující zboží neprohlédne nebo nezařídí, aby bylo prohlédnuto v době přechodu nebezpečí škody na zboží, může uplatnit nároky z vad zjistitelných při této prohlídce jen tehdy, pokud prokáže, že tyto vady mělo zboží již v době přechodu nebezpečí škody na zboží.</w:t>
      </w:r>
    </w:p>
    <w:p w14:paraId="51B2FF2F" w14:textId="2804F456" w:rsidR="00D32B0E" w:rsidRPr="00D32B0E" w:rsidRDefault="00D32B0E" w:rsidP="0027343D">
      <w:pPr>
        <w:tabs>
          <w:tab w:val="num" w:pos="720"/>
        </w:tabs>
        <w:jc w:val="center"/>
        <w:rPr>
          <w:b/>
          <w:bCs/>
        </w:rPr>
      </w:pPr>
      <w:r w:rsidRPr="00D32B0E">
        <w:rPr>
          <w:b/>
          <w:bCs/>
        </w:rPr>
        <w:t>IV.</w:t>
      </w:r>
    </w:p>
    <w:p w14:paraId="5AF49A32" w14:textId="611E4821" w:rsidR="00D32B0E" w:rsidRPr="00D32B0E" w:rsidRDefault="00D32B0E" w:rsidP="0027343D">
      <w:pPr>
        <w:tabs>
          <w:tab w:val="num" w:pos="720"/>
        </w:tabs>
        <w:jc w:val="center"/>
        <w:rPr>
          <w:b/>
          <w:bCs/>
        </w:rPr>
      </w:pPr>
      <w:r w:rsidRPr="00D32B0E">
        <w:rPr>
          <w:b/>
          <w:bCs/>
        </w:rPr>
        <w:t>Výhrada vlastnického práva</w:t>
      </w:r>
    </w:p>
    <w:p w14:paraId="74CC4E1F" w14:textId="77777777" w:rsidR="00D32B0E" w:rsidRPr="00D32B0E" w:rsidRDefault="00D32B0E" w:rsidP="00E92DC7">
      <w:pPr>
        <w:numPr>
          <w:ilvl w:val="0"/>
          <w:numId w:val="4"/>
        </w:numPr>
        <w:ind w:left="426" w:hanging="426"/>
      </w:pPr>
      <w:r w:rsidRPr="00D32B0E">
        <w:t xml:space="preserve">Předmět koupě zůstává až do úplného zaplacení kupní ceny dle kupní smlouvy ve vlastnictví prodávajícího. Výhrada vlastnictví může být uplatněna také pro veškeré pohledávky, které prodávajícímu za kupujícím vzniknou dodatečně v souvislosti s předmětem koupě, např. za provedení oprav, dodávky náhradních dílů, uplatnění smluvní pokuty a další plnění. V době výhrady vlastnictví je kupující oprávněn k držení a používání předmětu koupě, pokud řádně plní své závazky vyplývající z kupní smlouvy. Neplní-li kupující své závazky vyplývající z kupní smlouvy, zejména je-li kupující v prodlení s placením kupní ceny či její části delším než 14 dní od splatnosti faktury, je prodávající oprávněn vzít zpět vyhrazené zboží, za tím účelem případně vstoupit do provozovny kupujícího, zboží odpojit a odvézt. Totéž platí, pokud nastanou jiné okolnosti, na </w:t>
      </w:r>
      <w:r w:rsidRPr="00D32B0E">
        <w:lastRenderedPageBreak/>
        <w:t>jejichž základě lze soudit, že došlo k podstatnému zhoršení majetkových poměrů kupujícího, jež ohrožují včasnou úhradu pohledávek prodávajícího. Vzetí zboží zpět není odstoupením od smlouvy.</w:t>
      </w:r>
    </w:p>
    <w:p w14:paraId="5CDDF2EC" w14:textId="77777777" w:rsidR="00D32B0E" w:rsidRPr="00D32B0E" w:rsidRDefault="00D32B0E" w:rsidP="00E92DC7">
      <w:pPr>
        <w:numPr>
          <w:ilvl w:val="0"/>
          <w:numId w:val="4"/>
        </w:numPr>
        <w:ind w:left="426" w:hanging="426"/>
      </w:pPr>
      <w:r w:rsidRPr="00D32B0E">
        <w:t>Požaduje-li prodávající vydání předmětu koupě, z důvodu nesplnění závazků z kupní smlouvy, je kupující povinen mu jej vydat. Veškeré náklady vzniklé v souvislosti s vydáním předmětu koupě prodávajícímu uhradí kupující.</w:t>
      </w:r>
    </w:p>
    <w:p w14:paraId="49BD24B8" w14:textId="77777777" w:rsidR="00D32B0E" w:rsidRPr="00D32B0E" w:rsidRDefault="00D32B0E" w:rsidP="00E92DC7">
      <w:pPr>
        <w:numPr>
          <w:ilvl w:val="0"/>
          <w:numId w:val="4"/>
        </w:numPr>
        <w:ind w:left="426" w:hanging="426"/>
      </w:pPr>
      <w:r w:rsidRPr="00D32B0E">
        <w:t xml:space="preserve">Po dobu trvání výhrady vlastnictví je vyloučeno zcizení, zástava, pronájem, jakékoliv postoupení práv třetím osobám a úpravy předmětu koupě, nedá-li k tomu prodávající předem písemný souhlas. </w:t>
      </w:r>
    </w:p>
    <w:p w14:paraId="783690A4" w14:textId="77777777" w:rsidR="00D32B0E" w:rsidRPr="00D32B0E" w:rsidRDefault="00D32B0E" w:rsidP="00E92DC7">
      <w:pPr>
        <w:numPr>
          <w:ilvl w:val="0"/>
          <w:numId w:val="4"/>
        </w:numPr>
        <w:ind w:left="426" w:hanging="426"/>
      </w:pPr>
      <w:r w:rsidRPr="00D32B0E">
        <w:t>Kupující je povinen udržovat předmět koupě po dobu výhrady vlastnictví v řádném stavu, zajistit provádění výrobcem předepsané údržby a případně nezbytně nutných oprav. Veškeré opravy a údržbu smí provádět pouze servisní dílna prodávajícího nebo servisní opravna autorizovaná prodávajícím k provádění oprav a údržby.</w:t>
      </w:r>
    </w:p>
    <w:p w14:paraId="6057CFB3" w14:textId="77777777" w:rsidR="00D32B0E" w:rsidRPr="00D32B0E" w:rsidRDefault="00D32B0E" w:rsidP="00E92DC7">
      <w:pPr>
        <w:numPr>
          <w:ilvl w:val="0"/>
          <w:numId w:val="4"/>
        </w:numPr>
        <w:ind w:left="426" w:hanging="426"/>
      </w:pPr>
      <w:r w:rsidRPr="00D32B0E">
        <w:t>Kupující je povinen neprodleně informovat prodávajícího o zabavení vyhrazeného zboží nebo o jiných omezeních iniciovaných třetími osobami. Kupující nese všechny náklady, které musejí být vynaloženy na odstranění překážek přístupu nebo na zpětnou přepravu vyhrazeného zboží, pokud nebudou uhrazeny třetí osobou.</w:t>
      </w:r>
    </w:p>
    <w:p w14:paraId="23C7E410" w14:textId="1DE5E5A2" w:rsidR="00D32B0E" w:rsidRPr="00D32B0E" w:rsidRDefault="00D32B0E" w:rsidP="0027343D">
      <w:pPr>
        <w:tabs>
          <w:tab w:val="num" w:pos="720"/>
        </w:tabs>
        <w:jc w:val="center"/>
        <w:rPr>
          <w:b/>
          <w:bCs/>
        </w:rPr>
      </w:pPr>
      <w:r w:rsidRPr="00D32B0E">
        <w:rPr>
          <w:b/>
          <w:bCs/>
        </w:rPr>
        <w:t>V.</w:t>
      </w:r>
    </w:p>
    <w:p w14:paraId="46851214" w14:textId="17A74089" w:rsidR="00D32B0E" w:rsidRPr="00D32B0E" w:rsidRDefault="00D32B0E" w:rsidP="00E92DC7">
      <w:pPr>
        <w:tabs>
          <w:tab w:val="num" w:pos="0"/>
        </w:tabs>
        <w:jc w:val="center"/>
        <w:rPr>
          <w:b/>
          <w:bCs/>
        </w:rPr>
      </w:pPr>
      <w:r w:rsidRPr="00D32B0E">
        <w:rPr>
          <w:b/>
          <w:bCs/>
        </w:rPr>
        <w:t>Odpovědnost za vady a záruka</w:t>
      </w:r>
    </w:p>
    <w:p w14:paraId="7A13620D" w14:textId="77777777" w:rsidR="00D32B0E" w:rsidRPr="00D32B0E" w:rsidRDefault="00D32B0E" w:rsidP="00E92DC7">
      <w:pPr>
        <w:numPr>
          <w:ilvl w:val="0"/>
          <w:numId w:val="5"/>
        </w:numPr>
        <w:ind w:left="426" w:hanging="426"/>
      </w:pPr>
      <w:r w:rsidRPr="00D32B0E">
        <w:t>Prodávající přejímá závazek odstranit bezplatně řádně a včas oznámené vady předmětu koupě a to dle svého rozhodnutí opravou nebo výměnou. Kupující na své náklady zajistí pracovní přístup k předmětu koupě, jeho demontáž a opětovnou instalaci, nezbytné k řádnému provedení opravy/výměny. Obsahem záruky není závazek, že se po celou záruční dobu neobjeví vada. Výše uvedené je výlučnou definicí obsahu záruky za jakost předmětu koupě přejímané prodávajícím.</w:t>
      </w:r>
    </w:p>
    <w:p w14:paraId="54A5964A" w14:textId="77777777" w:rsidR="00D32B0E" w:rsidRPr="00D32B0E" w:rsidRDefault="00D32B0E" w:rsidP="00E92DC7">
      <w:pPr>
        <w:numPr>
          <w:ilvl w:val="0"/>
          <w:numId w:val="5"/>
        </w:numPr>
        <w:ind w:left="426" w:hanging="426"/>
      </w:pPr>
      <w:r w:rsidRPr="00D32B0E">
        <w:t>Záruční doba činí   24 měsíců od převzetí předmětu koupě kupujícím.</w:t>
      </w:r>
    </w:p>
    <w:p w14:paraId="6F83819A" w14:textId="77777777" w:rsidR="00D32B0E" w:rsidRPr="00D32B0E" w:rsidRDefault="00D32B0E" w:rsidP="00E92DC7">
      <w:pPr>
        <w:numPr>
          <w:ilvl w:val="0"/>
          <w:numId w:val="5"/>
        </w:numPr>
        <w:ind w:left="426" w:hanging="426"/>
      </w:pPr>
      <w:r w:rsidRPr="00D32B0E">
        <w:t xml:space="preserve"> Po dobu prodlení kupujícího s úhradou kupní ceny či její části nemá kupující žádné nároky ze smluvní záruky. V případě, kdy bude kupující v prodlení s úhradou ceny zboží či její části a to přesto, že došlo k protokolárnímu převzetí zboží bez vad, případně vytýkané podstatné vady byly prodávajícím napraveny, vzdává se kupující všech svých nároků z vadného plnění vůči prodávajícímu a to do doby uhrazení celé ceny zboží. V obou výše uvedených případech veškeré servisní zákroky, opravy či dodání náhradních dílů provedené prodávajícím, je kupující povinen uhradit dle platného ceníku servisních prací.</w:t>
      </w:r>
    </w:p>
    <w:p w14:paraId="230FE04A" w14:textId="77777777" w:rsidR="00D32B0E" w:rsidRPr="008063DE" w:rsidRDefault="00D32B0E" w:rsidP="00E92DC7">
      <w:pPr>
        <w:numPr>
          <w:ilvl w:val="0"/>
          <w:numId w:val="5"/>
        </w:numPr>
        <w:ind w:left="426" w:hanging="426"/>
      </w:pPr>
      <w:r w:rsidRPr="008063DE">
        <w:t xml:space="preserve">Pro vyměněné nebo opravené části předmětu koupě platí </w:t>
      </w:r>
      <w:proofErr w:type="gramStart"/>
      <w:r w:rsidRPr="008063DE">
        <w:t>6-ti měsíční</w:t>
      </w:r>
      <w:proofErr w:type="gramEnd"/>
      <w:r w:rsidRPr="008063DE">
        <w:t xml:space="preserve"> záruční doba a podmínky záruky jako pro původně dodané plnění. U ostatních částí předmětu koupě se záruční doba prodlužuje pouze o dobu, po kterou tyto části předmětu koupě musely být mimo provoz v důsledku odstraňování vady. Veškeré záruční doby skončí vždy nejpozději 24 měsíců po od převzetí předmětu koupě kupujícím.</w:t>
      </w:r>
    </w:p>
    <w:p w14:paraId="605E9665" w14:textId="77777777" w:rsidR="00E92DC7" w:rsidRDefault="00D32B0E" w:rsidP="00E92DC7">
      <w:pPr>
        <w:numPr>
          <w:ilvl w:val="0"/>
          <w:numId w:val="5"/>
        </w:numPr>
        <w:ind w:left="426" w:hanging="426"/>
      </w:pPr>
      <w:r w:rsidRPr="00D32B0E">
        <w:t>Kupující je povinen písemně oznámit Prodávajícímu veškeré vady předmětu koupě. Vady předmětu koupě, které mohou způsobit škodu, je Kupující povinen oznámit Prodávajícímu okamžitě s následným písemným potvrzením. Oznámení vady předmětu koupě musí obsahovat popis vady, případně uvedení jak se vada projevuje a musí být doruče</w:t>
      </w:r>
      <w:r w:rsidR="00E92DC7">
        <w:t xml:space="preserve">no Prodávajícímu v záruční době. </w:t>
      </w:r>
    </w:p>
    <w:p w14:paraId="7AAEF77F" w14:textId="27BC9C53" w:rsidR="00D32B0E" w:rsidRPr="00D32B0E" w:rsidRDefault="00D32B0E" w:rsidP="00E92DC7">
      <w:pPr>
        <w:numPr>
          <w:ilvl w:val="0"/>
          <w:numId w:val="5"/>
        </w:numPr>
        <w:ind w:left="426" w:hanging="426"/>
      </w:pPr>
      <w:r w:rsidRPr="00D32B0E">
        <w:lastRenderedPageBreak/>
        <w:t>Kupující nese nebezpečí škod vzniklých v důsledku porušení jeho povinností dle tohoto článku.</w:t>
      </w:r>
    </w:p>
    <w:p w14:paraId="2559CF1B" w14:textId="77777777" w:rsidR="00D32B0E" w:rsidRPr="00D32B0E" w:rsidRDefault="00D32B0E" w:rsidP="00E92DC7">
      <w:pPr>
        <w:numPr>
          <w:ilvl w:val="0"/>
          <w:numId w:val="5"/>
        </w:numPr>
        <w:ind w:left="426" w:hanging="426"/>
      </w:pPr>
      <w:r w:rsidRPr="00D32B0E">
        <w:t>Po oznámení vady předmětu koupě dle článku V. odst. 5. je Prodávající povinen bez zbytečného odkladu a na své náklady tyto vady předmětu koupě odstranit. Vadné části předmětu koupě, které byly vyměněny, zůstávají v majetku Prodávajícího.</w:t>
      </w:r>
    </w:p>
    <w:p w14:paraId="016AFDFA" w14:textId="77777777" w:rsidR="00D32B0E" w:rsidRPr="00D32B0E" w:rsidRDefault="00D32B0E" w:rsidP="00E92DC7">
      <w:pPr>
        <w:numPr>
          <w:ilvl w:val="0"/>
          <w:numId w:val="5"/>
        </w:numPr>
        <w:ind w:left="426" w:hanging="426"/>
      </w:pPr>
      <w:r w:rsidRPr="00D32B0E">
        <w:t>V případě, že Kupující oznámí Prodávajícímu vady předmětu koupě, a na předmětu koupě nejsou zjištěny žádné vady, za které by byl Prodávající odpovědný, nahradí Kupující Prodávajícímu náklady vzniklé v souvislosti s tímto oznámením.</w:t>
      </w:r>
    </w:p>
    <w:p w14:paraId="009E1805" w14:textId="77777777" w:rsidR="00D32B0E" w:rsidRPr="00D32B0E" w:rsidRDefault="00D32B0E" w:rsidP="00E92DC7">
      <w:pPr>
        <w:numPr>
          <w:ilvl w:val="0"/>
          <w:numId w:val="5"/>
        </w:numPr>
        <w:ind w:left="426" w:hanging="426"/>
      </w:pPr>
      <w:r w:rsidRPr="00D32B0E">
        <w:t>Záruka se nevztahuje na vady předmětu koupě způsobené neodborným zásahem Kupujícího nebo třetí osoby, a vady předmětu koupě, u kterých nelze prokázat, že vznikly použitím vadného materiálu, chybnou konstrukcí nebo neúplným zpracováním, zejména vady předmětu koupě vzniklé přirozeným opotřebením, chybnou údržbou, nedodržením provozních předpisů, nadměrným namáháním, použitím nevhodných provozních prostředků, chemickými a elektrolytickými vlivy, stavebními a montážními pracemi jiných osob než Prodávajícího a všemi dalšími příčinami bez zavinění Prodávajícího.</w:t>
      </w:r>
    </w:p>
    <w:p w14:paraId="4C0C3422" w14:textId="77777777" w:rsidR="00D32B0E" w:rsidRPr="00D32B0E" w:rsidRDefault="00D32B0E" w:rsidP="00E92DC7">
      <w:pPr>
        <w:numPr>
          <w:ilvl w:val="0"/>
          <w:numId w:val="5"/>
        </w:numPr>
        <w:ind w:left="426" w:hanging="426"/>
      </w:pPr>
      <w:r w:rsidRPr="00D32B0E">
        <w:t>V souvislosti se svými povinnostmi z vadného plnění a ze záruky není Prodávající povinen odstraňovat bezplatně vady předmětu koupě na jiném místě než ve své označené provozovně nebo v místě smluveném pro dodání předmětu koupě. Záruka se nevztahuje na vady vzniklé použitím nesprávného spotřebního materiálu, ani na případné škody v důsledku toho vzniklé, pokud takové použití není obvyklé a přitom nebylo vyloučeno v přiloženém návodu k použití. Dále se záruka nevztahuje na závady vzniklé špatnou obsluhou, neodborným, nebo nepřiměřeným zacházením, použitím a instalací, které jsou v rozporu s uživatelskou příručkou.</w:t>
      </w:r>
    </w:p>
    <w:p w14:paraId="0B38EA29" w14:textId="77777777" w:rsidR="00D32B0E" w:rsidRPr="00D32B0E" w:rsidRDefault="00D32B0E" w:rsidP="00E92DC7">
      <w:pPr>
        <w:numPr>
          <w:ilvl w:val="0"/>
          <w:numId w:val="5"/>
        </w:numPr>
        <w:ind w:left="426" w:hanging="426"/>
      </w:pPr>
      <w:r w:rsidRPr="00D32B0E">
        <w:t>Dále se záruka nevztahuje na poškození vzniklá (v případě, že taková činnost není činností obvyklou a přitom není zakázána v přiloženém návodu k použití):</w:t>
      </w:r>
    </w:p>
    <w:p w14:paraId="217BDE0B" w14:textId="77777777" w:rsidR="00D32B0E" w:rsidRPr="00D32B0E" w:rsidRDefault="00D32B0E" w:rsidP="00D32B0E">
      <w:pPr>
        <w:numPr>
          <w:ilvl w:val="0"/>
          <w:numId w:val="6"/>
        </w:numPr>
      </w:pPr>
      <w:r w:rsidRPr="00D32B0E">
        <w:t>mechanickým poškozením zboží,</w:t>
      </w:r>
    </w:p>
    <w:p w14:paraId="280219D9" w14:textId="77777777" w:rsidR="00D32B0E" w:rsidRPr="00D32B0E" w:rsidRDefault="00D32B0E" w:rsidP="00D32B0E">
      <w:pPr>
        <w:numPr>
          <w:ilvl w:val="0"/>
          <w:numId w:val="6"/>
        </w:numPr>
      </w:pPr>
      <w:r w:rsidRPr="00D32B0E">
        <w:t>zboží bylo poškozeno nadměrným zatěžováním nebo používáním v rozporu s podmínkami uvedenými v dokumentaci nebo všeobecnými zásadami,</w:t>
      </w:r>
    </w:p>
    <w:p w14:paraId="73A6691A" w14:textId="77777777" w:rsidR="00D32B0E" w:rsidRPr="00D32B0E" w:rsidRDefault="00D32B0E" w:rsidP="00D32B0E">
      <w:pPr>
        <w:numPr>
          <w:ilvl w:val="0"/>
          <w:numId w:val="6"/>
        </w:numPr>
      </w:pPr>
      <w:r w:rsidRPr="00D32B0E">
        <w:t>provedením nekvalifikovaného zásahu či změnou parametrů,</w:t>
      </w:r>
    </w:p>
    <w:p w14:paraId="521B1164" w14:textId="77777777" w:rsidR="00D32B0E" w:rsidRPr="00D32B0E" w:rsidRDefault="00D32B0E" w:rsidP="00D32B0E">
      <w:pPr>
        <w:numPr>
          <w:ilvl w:val="0"/>
          <w:numId w:val="6"/>
        </w:numPr>
      </w:pPr>
      <w:r w:rsidRPr="00D32B0E">
        <w:t>zboží, které bylo upravováno kupujícím (nátěry, ohýbání atd.), vznikla-li vada v důsledku této úpravy,</w:t>
      </w:r>
    </w:p>
    <w:p w14:paraId="73770869" w14:textId="77777777" w:rsidR="00D32B0E" w:rsidRPr="00D32B0E" w:rsidRDefault="00D32B0E" w:rsidP="00D32B0E">
      <w:pPr>
        <w:numPr>
          <w:ilvl w:val="0"/>
          <w:numId w:val="6"/>
        </w:numPr>
      </w:pPr>
      <w:r w:rsidRPr="00D32B0E">
        <w:t>zboží bylo poškozeno přírodními živly nebo vyšší mocí.</w:t>
      </w:r>
    </w:p>
    <w:p w14:paraId="388A913E" w14:textId="77777777" w:rsidR="00D32B0E" w:rsidRPr="00D32B0E" w:rsidRDefault="00D32B0E" w:rsidP="00E92DC7">
      <w:pPr>
        <w:numPr>
          <w:ilvl w:val="0"/>
          <w:numId w:val="5"/>
        </w:numPr>
        <w:ind w:left="426" w:hanging="426"/>
      </w:pPr>
      <w:r w:rsidRPr="00D32B0E">
        <w:t>Reklamaci je nutné uplatnit na webovém servisním formuláři prodávajícího na adrese http://www.toptradeprofi.cz/servis, případně na jeho emailové adrese servis@topradeprofi.cz. Nejpozději do dvou pracovních dnů budou kupujícímu zaslány informace o dalším postupu (adresa autorizovaného servisního střediska, nebo návratový kód, pod kterým zboží zašle na adresu dodavatele, případně formulář pro popis závady). Zjevné vady zboží, tedy vady, které lze zjistit při přebírání zboží nebo jeho části kupujícím, musí být kupujícím reklamovány na předávacím protokolu, popř. neprodleně po předání zboží následnou písemností.</w:t>
      </w:r>
    </w:p>
    <w:p w14:paraId="36F2BCFC" w14:textId="77777777" w:rsidR="00D32B0E" w:rsidRPr="00D32B0E" w:rsidRDefault="00D32B0E" w:rsidP="00E92DC7">
      <w:pPr>
        <w:numPr>
          <w:ilvl w:val="0"/>
          <w:numId w:val="5"/>
        </w:numPr>
        <w:ind w:left="426" w:hanging="426"/>
        <w:rPr>
          <w:b/>
          <w:bCs/>
        </w:rPr>
      </w:pPr>
      <w:r w:rsidRPr="00D32B0E">
        <w:t>Prodávající si vyhrazuje právo účtovat si skutečně vynaložené a řádně doložitelné náklady na vyřízení neoprávněné reklamace. Těmi se rozumí zejména náklady na dopravu zboží, náklady na dopravu servisního technika i náklady na odměnu servisního technika. Kupující je povinen tyto náklady uhradit do 5 dnů od jejich vyúčtování prodávajícím.</w:t>
      </w:r>
    </w:p>
    <w:p w14:paraId="199F15A3" w14:textId="5C3B0D24" w:rsidR="00D32B0E" w:rsidRPr="00D32B0E" w:rsidRDefault="00D32B0E" w:rsidP="00E92DC7">
      <w:pPr>
        <w:jc w:val="center"/>
        <w:rPr>
          <w:b/>
          <w:bCs/>
        </w:rPr>
      </w:pPr>
      <w:r w:rsidRPr="00D32B0E">
        <w:rPr>
          <w:b/>
          <w:bCs/>
        </w:rPr>
        <w:lastRenderedPageBreak/>
        <w:t>VI.</w:t>
      </w:r>
    </w:p>
    <w:p w14:paraId="070DC345" w14:textId="607400AF" w:rsidR="00D32B0E" w:rsidRPr="00D32B0E" w:rsidRDefault="00D32B0E" w:rsidP="00E92DC7">
      <w:pPr>
        <w:jc w:val="center"/>
      </w:pPr>
      <w:r w:rsidRPr="00D32B0E">
        <w:rPr>
          <w:b/>
          <w:bCs/>
        </w:rPr>
        <w:t>Smluvní pokuta, úrok z prodlení</w:t>
      </w:r>
    </w:p>
    <w:p w14:paraId="3608D242" w14:textId="77777777" w:rsidR="00D32B0E" w:rsidRPr="00D32B0E" w:rsidRDefault="00D32B0E" w:rsidP="00E92DC7">
      <w:pPr>
        <w:numPr>
          <w:ilvl w:val="0"/>
          <w:numId w:val="7"/>
        </w:numPr>
        <w:ind w:left="426" w:hanging="426"/>
      </w:pPr>
      <w:r w:rsidRPr="00D32B0E">
        <w:t>V případě, že bude kupující v prodlení se zaplacením kupní ceny nebo její části, zavazuje se zaplatit prodávajícímu úrok z prodlení ve výši 0,1 % z dlužné částky za každý započatý den prodlení.</w:t>
      </w:r>
    </w:p>
    <w:p w14:paraId="0B76FD8E" w14:textId="77777777" w:rsidR="00D32B0E" w:rsidRPr="00D32B0E" w:rsidRDefault="00D32B0E" w:rsidP="00E92DC7">
      <w:pPr>
        <w:numPr>
          <w:ilvl w:val="0"/>
          <w:numId w:val="7"/>
        </w:numPr>
        <w:ind w:left="426" w:hanging="426"/>
      </w:pPr>
      <w:r w:rsidRPr="00D32B0E">
        <w:t>V případě, že bude prodávající v prodlení s dodáním zboží nebo jeho části, zavazuje se zaplatit kupujícímu smluvní pokutu ve výši 0,1 % z hodnoty nedodaného zboží za každý započatý den prodlení.</w:t>
      </w:r>
    </w:p>
    <w:p w14:paraId="6EE9E050" w14:textId="77777777" w:rsidR="00D32B0E" w:rsidRDefault="00D32B0E" w:rsidP="00E92DC7">
      <w:pPr>
        <w:numPr>
          <w:ilvl w:val="0"/>
          <w:numId w:val="7"/>
        </w:numPr>
        <w:ind w:left="426" w:hanging="426"/>
      </w:pPr>
      <w:r w:rsidRPr="00D32B0E">
        <w:t>Smluvní strany se dohodly, že v případě, že kupující bude v prodlení s úhradou jakékoli části kupní ceny v prodlení delším než 30 dní, je povinen prodávajícímu na jeho výzvu neprodleně uhradit sankční smluvní pokutu ve výši 20% z nezaplacené části celkové kupní ceny. Tímto ustanovením o nároku na smluvní pokutu není dotčeno právo kupujícího domáhat se po prodávajícím náhrady škody dle obecně závazných právních předpisů, ani závazek splnit povinnost zajištěnou smluvní pokutou podle tohoto odstavce. Smluvní pokuta je splatná pátým dnem ode dne doručení výzvy kupujícího k úhradě smluvní pokuty. Prodávající je oprávněn tuto smluvní pokutu i úrok z prodlení dle článku VI. odst. 1 a 3 této smlouvy jednostranně započíst vůči složené již zaplacené části kupní ceny, přičemž kupující s tímto započtením výslovně souhlasí.</w:t>
      </w:r>
    </w:p>
    <w:p w14:paraId="1D4F51F4" w14:textId="40CED396" w:rsidR="003C4C20" w:rsidRPr="008063DE" w:rsidRDefault="003C4C20" w:rsidP="00E92DC7">
      <w:pPr>
        <w:numPr>
          <w:ilvl w:val="0"/>
          <w:numId w:val="7"/>
        </w:numPr>
        <w:ind w:left="426" w:hanging="426"/>
      </w:pPr>
      <w:r w:rsidRPr="008063DE">
        <w:t>Smluvní strany se dohodly, že v případě, že prodávající bude v prodlení s dodáním jakékoli části zboží delším než 30 dní, je povinen kupujícímu na jeho výzvu neprodleně uhradit sankční smluvní pokutu ve výši 20% z  celkové kupní ceny. Tímto ustanovením o nároku na smluvní pokutu není dotčeno právo kupujícího domáhat se po prodávajícím náhrady škody dle obecně závazných právních předpisů, ani závazek splnit povinnost zajištěnou smluvní pokutou podle tohoto odstavce. Smluvní pokuta je splatná pátým dnem ode dne doručení výzvy kupujícího k úhradě smluvní pokuty. Kupující je oprávněn tuto smluvní pokutu i úrok z prodlení dle článku VI. odst. 1 a 4 této smlouvy jednostranně započíst vůči složené již zaplacené části kupní ceny, přičemž prodávající s tímto započtením výslovně souhlasí.</w:t>
      </w:r>
    </w:p>
    <w:p w14:paraId="4F3385C6" w14:textId="5997F9C2" w:rsidR="00D32B0E" w:rsidRPr="00D32B0E" w:rsidRDefault="00D32B0E" w:rsidP="00E92DC7">
      <w:pPr>
        <w:tabs>
          <w:tab w:val="num" w:pos="720"/>
        </w:tabs>
        <w:jc w:val="center"/>
        <w:rPr>
          <w:b/>
          <w:bCs/>
        </w:rPr>
      </w:pPr>
      <w:r w:rsidRPr="00D32B0E">
        <w:rPr>
          <w:b/>
          <w:bCs/>
        </w:rPr>
        <w:t>VII.</w:t>
      </w:r>
    </w:p>
    <w:p w14:paraId="069FDF50" w14:textId="36556044" w:rsidR="00D32B0E" w:rsidRPr="00D32B0E" w:rsidRDefault="00D32B0E" w:rsidP="00E92DC7">
      <w:pPr>
        <w:jc w:val="center"/>
        <w:rPr>
          <w:b/>
        </w:rPr>
      </w:pPr>
      <w:r w:rsidRPr="00D32B0E">
        <w:rPr>
          <w:b/>
        </w:rPr>
        <w:t>Odpovědnost za škodu</w:t>
      </w:r>
    </w:p>
    <w:p w14:paraId="67268D29" w14:textId="4D02484B" w:rsidR="008063DE" w:rsidRDefault="00D32B0E" w:rsidP="00D32B0E">
      <w:pPr>
        <w:numPr>
          <w:ilvl w:val="0"/>
          <w:numId w:val="8"/>
        </w:numPr>
      </w:pPr>
      <w:r w:rsidRPr="00D32B0E">
        <w:t>Prodávající je pojištěn z odpovědnosti za škodu způsobenou výkonem své činnosti. Pojistná smlouva bude na vyžádání kupujícímu předložena. Prodávající i kupující jsou povinni učinit veškerá potřebná opatření k tomu, aby v souvislosti se smluvním vztahem mezi stranami nemohlo dojít k vzniku škody, případně aby vzniklá škoda byla co nejmenší. Prodávající odpovídá kupujícímu výhradně za škodu skutečnou, která mu vznikne porušením povinností prodávajícího výslovně uvedených v této smlouvě</w:t>
      </w:r>
      <w:r w:rsidR="008063DE">
        <w:t>.</w:t>
      </w:r>
    </w:p>
    <w:p w14:paraId="3E46C67F" w14:textId="0988FB8A" w:rsidR="00D32B0E" w:rsidRPr="00D32B0E" w:rsidRDefault="00D32B0E" w:rsidP="00D32B0E">
      <w:pPr>
        <w:numPr>
          <w:ilvl w:val="0"/>
          <w:numId w:val="8"/>
        </w:numPr>
      </w:pPr>
      <w:r w:rsidRPr="00D32B0E">
        <w:t xml:space="preserve">Informaci o vzniku odpovědnosti prodávajícího za škodu je kupující povinen sdělit prodávajícímu nejpozději do 14 pracovních dnů ode dne, ve kterém se tuto informaci dozví. Prodávající nenese odpovědnost za škodu v případě, kdy se kupující odchýlí od pokynů prodávajícího, škodu utrpí třetí osoba v důsledku využití informací nebo zboží poskytnutých/dodaného prodávajícím kupujícímu, anebo pokud kupující prodávajícímu neumožní ani pokusit se zabránit vzniku škody nebo omezit její rozsah. Celková souhrnná povinnost Prodávajícího k náhradě veškeré škody včetně smluvních pokut a dalších nároků kupujícího vzniklých v souvislosti s porušením jedné nebo více povinností Prodávajícího nesmí v žádném případě převyšovat maximální částku ve výši </w:t>
      </w:r>
      <w:r w:rsidRPr="00D32B0E">
        <w:lastRenderedPageBreak/>
        <w:t>30% celkové ceny zboží bez DPH. Žádné z výše uvedených omezení celkové náhrady škody se nevztahuje na škodu způsobenou úmyslně.</w:t>
      </w:r>
    </w:p>
    <w:p w14:paraId="0F710C91" w14:textId="77777777" w:rsidR="00D32B0E" w:rsidRPr="00D32B0E" w:rsidRDefault="00D32B0E" w:rsidP="00D32B0E">
      <w:pPr>
        <w:numPr>
          <w:ilvl w:val="0"/>
          <w:numId w:val="8"/>
        </w:numPr>
      </w:pPr>
      <w:r w:rsidRPr="00D32B0E">
        <w:t>Prodávající neodpovídá za nepřímé, následné nebo náhodné škody a ztrátu zisku, ani za žádné škody či ztráty vzniklé na základě kontraktů uzavřených mezi kupujícím a třetími osobami, není-li taková odpovědnost kryta pojištěním, podle článku VII. odst. 1 této smlouvy. Za nepřímé a následné škody se považují zejména: ušlý zisk, energetické ztráty, náklady spojené s nemožností užívání věci, náklady na zajištění náhradních energetických dodávek, náklady kapitálu, škody vzniklé jako následek pozdního dodání zboží, nedosažení plné shody zboží se smlouvou, nedosažení zaručených parametrů zboží apod.</w:t>
      </w:r>
    </w:p>
    <w:p w14:paraId="7EFBD098" w14:textId="77777777" w:rsidR="00D32B0E" w:rsidRPr="00D32B0E" w:rsidRDefault="00D32B0E" w:rsidP="00D32B0E">
      <w:pPr>
        <w:numPr>
          <w:ilvl w:val="0"/>
          <w:numId w:val="8"/>
        </w:numPr>
      </w:pPr>
      <w:r w:rsidRPr="00D32B0E">
        <w:t>Prodávající dále neodpovídá odběrateli za škodu vzniklou okolnostmi vylučujícími odpovědnost, např. zásahy státu, provozními, dopravními a energetickými poruchami, poruchami systému elektronického obchodu, stávkami či výlukami. Tyto okolnosti jsou důvodem k odkladu plnění smluvních povinností na straně prodávajícího po dobu a v rozsahu účinnosti těchto okolností. Totéž platí, i když uvedené okolnosti nastaly u subdodavatelů prodávajícího.</w:t>
      </w:r>
    </w:p>
    <w:p w14:paraId="1D7E40B8" w14:textId="045AF3EA" w:rsidR="00D32B0E" w:rsidRPr="00D32B0E" w:rsidRDefault="00D32B0E" w:rsidP="00E92DC7">
      <w:pPr>
        <w:jc w:val="center"/>
        <w:rPr>
          <w:b/>
        </w:rPr>
      </w:pPr>
      <w:r w:rsidRPr="00D32B0E">
        <w:rPr>
          <w:b/>
        </w:rPr>
        <w:t>VIII.</w:t>
      </w:r>
    </w:p>
    <w:p w14:paraId="0F85A318" w14:textId="304BF801" w:rsidR="00D32B0E" w:rsidRPr="00D32B0E" w:rsidRDefault="00D32B0E" w:rsidP="00E92DC7">
      <w:pPr>
        <w:tabs>
          <w:tab w:val="num" w:pos="576"/>
        </w:tabs>
        <w:jc w:val="center"/>
        <w:rPr>
          <w:b/>
          <w:bCs/>
        </w:rPr>
      </w:pPr>
      <w:r w:rsidRPr="00D32B0E">
        <w:rPr>
          <w:b/>
          <w:bCs/>
        </w:rPr>
        <w:t>Závěrečná ustanovení</w:t>
      </w:r>
    </w:p>
    <w:p w14:paraId="14CE97CD" w14:textId="77777777" w:rsidR="00D32B0E" w:rsidRPr="00D32B0E" w:rsidRDefault="00D32B0E" w:rsidP="00E92DC7">
      <w:pPr>
        <w:numPr>
          <w:ilvl w:val="0"/>
          <w:numId w:val="9"/>
        </w:numPr>
        <w:tabs>
          <w:tab w:val="clear" w:pos="644"/>
          <w:tab w:val="num" w:pos="426"/>
        </w:tabs>
        <w:ind w:left="426" w:hanging="426"/>
      </w:pPr>
      <w:r w:rsidRPr="00D32B0E">
        <w:t>Práva a povinnosti smluvních stran výslovně v této smlouvě neupravená se řídí obecně závaznými právními předpisy, zejména příslušnými ustanoveními zákona č. 89/2012 Sb., občanským zákoníkem, v platném znění.</w:t>
      </w:r>
    </w:p>
    <w:p w14:paraId="54A26345" w14:textId="77777777" w:rsidR="00D32B0E" w:rsidRPr="00D32B0E" w:rsidRDefault="00D32B0E" w:rsidP="00E92DC7">
      <w:pPr>
        <w:numPr>
          <w:ilvl w:val="0"/>
          <w:numId w:val="9"/>
        </w:numPr>
        <w:tabs>
          <w:tab w:val="clear" w:pos="644"/>
          <w:tab w:val="num" w:pos="0"/>
          <w:tab w:val="num" w:pos="426"/>
        </w:tabs>
        <w:ind w:left="426" w:hanging="426"/>
      </w:pPr>
      <w:r w:rsidRPr="00D32B0E">
        <w:t>Prodávající i kupující jsou oprávněni postoupit tuto Smlouvu třetí osobě jen s písemným souhlasem druhé strany této smlouvy.  Postoupit jednotlivé pohledávky z této smlouvy smí prodívající i bez takovéhoto písemného souhlasu. Tato Smlouva není uzavřena na řad.</w:t>
      </w:r>
    </w:p>
    <w:p w14:paraId="74C73910" w14:textId="77777777" w:rsidR="00D32B0E" w:rsidRPr="00D32B0E" w:rsidRDefault="00D32B0E" w:rsidP="00E92DC7">
      <w:pPr>
        <w:numPr>
          <w:ilvl w:val="0"/>
          <w:numId w:val="9"/>
        </w:numPr>
        <w:tabs>
          <w:tab w:val="clear" w:pos="644"/>
          <w:tab w:val="num" w:pos="426"/>
        </w:tabs>
        <w:ind w:left="426" w:hanging="426"/>
      </w:pPr>
      <w:r w:rsidRPr="00D32B0E">
        <w:t>Tato smlouva je sepsána ve dvou vyhotoveních, z nichž po jednom obdrží každá smluvní strana.</w:t>
      </w:r>
    </w:p>
    <w:p w14:paraId="19E50357" w14:textId="77777777" w:rsidR="00D32B0E" w:rsidRPr="00D32B0E" w:rsidRDefault="00D32B0E" w:rsidP="00E92DC7">
      <w:pPr>
        <w:numPr>
          <w:ilvl w:val="0"/>
          <w:numId w:val="9"/>
        </w:numPr>
        <w:tabs>
          <w:tab w:val="clear" w:pos="644"/>
          <w:tab w:val="num" w:pos="426"/>
        </w:tabs>
        <w:ind w:left="426" w:hanging="426"/>
      </w:pPr>
      <w:r w:rsidRPr="00D32B0E">
        <w:t>Tato smlouva může být měněna pouze dohodou smluvních stran ve formě písemných, vzestupně číslovaných dodatků. Strany zavazují jen taková ujednání o změnách či doplněních této smlouvy, která byla vyhotovena v písemné formě v podobě dodatku k této smlouvě a která byla podepsána osobami oprávněnými zavazovat strany; k jinak provedeným změnám či doplněním této Smlouvy se nepřihlíží, a strany tak výslovně vylučují aplikaci věty za středníkem nacházející se v ustanovení § 564 Občanského zákoníku.</w:t>
      </w:r>
    </w:p>
    <w:p w14:paraId="01BDE312" w14:textId="0612F123" w:rsidR="00D32B0E" w:rsidRPr="00D32B0E" w:rsidRDefault="00D32B0E" w:rsidP="00E92DC7">
      <w:pPr>
        <w:numPr>
          <w:ilvl w:val="0"/>
          <w:numId w:val="9"/>
        </w:numPr>
        <w:tabs>
          <w:tab w:val="clear" w:pos="644"/>
          <w:tab w:val="num" w:pos="426"/>
        </w:tabs>
        <w:ind w:left="426" w:hanging="426"/>
      </w:pPr>
      <w:r w:rsidRPr="00D32B0E">
        <w:t>S ohledem na ustanovení § 1726 O</w:t>
      </w:r>
      <w:r w:rsidR="00DC5D39">
        <w:t>bčanského zákoníku</w:t>
      </w:r>
      <w:r w:rsidRPr="00D32B0E">
        <w:t xml:space="preserve"> strany prohlašují, že tato smlouvy obsahuje ujednání o všech náležitostech, které strany měly a chtěly ve smlouvě ujednat a strany dospěly ke shodě ohledně všech náležitostí, které si každá strana stanovila jako předpoklad uzavření této smlouvy. Ustanovením tohoto odstavce není dotčeno oprávnění stran uzavírat k této smlouvě dodatky.</w:t>
      </w:r>
    </w:p>
    <w:p w14:paraId="6CBCE16F" w14:textId="2C007913" w:rsidR="00D32B0E" w:rsidRPr="00D32B0E" w:rsidRDefault="00D32B0E" w:rsidP="00E92DC7">
      <w:pPr>
        <w:numPr>
          <w:ilvl w:val="0"/>
          <w:numId w:val="9"/>
        </w:numPr>
        <w:tabs>
          <w:tab w:val="clear" w:pos="644"/>
          <w:tab w:val="num" w:pos="426"/>
        </w:tabs>
        <w:ind w:left="426" w:hanging="426"/>
      </w:pPr>
      <w:r w:rsidRPr="00D32B0E">
        <w:t>Každá ze stran ve smyslu ustanovení § 1728 odstavce 2 O</w:t>
      </w:r>
      <w:r w:rsidR="00DC5D39">
        <w:t>bčanského zákoníku</w:t>
      </w:r>
      <w:r w:rsidRPr="00D32B0E">
        <w:t xml:space="preserve"> prohlašuje ve vztahu k druhé straně, že obdržela od druhé strany informace o veškerých skutkových a právních okolnostech, které strana považovala za důležité pro vznik jejího zájmu uzavřít tuto smlouvu a pro samotné uzavření této smlouvy jakožto platné a závazné smlouvy.</w:t>
      </w:r>
    </w:p>
    <w:p w14:paraId="25214C80" w14:textId="7044FDF8" w:rsidR="00D32B0E" w:rsidRPr="00D32B0E" w:rsidRDefault="00D32B0E" w:rsidP="00E92DC7">
      <w:pPr>
        <w:numPr>
          <w:ilvl w:val="0"/>
          <w:numId w:val="9"/>
        </w:numPr>
        <w:tabs>
          <w:tab w:val="clear" w:pos="644"/>
          <w:tab w:val="num" w:pos="426"/>
        </w:tabs>
        <w:ind w:left="426" w:hanging="426"/>
      </w:pPr>
      <w:r w:rsidRPr="00D32B0E">
        <w:t>Mezi stranami neexistuje žádná zavedená praxe, ani si strany nejsou vědomy žádných obchodních zvyklostí, které by se měly uplatnit ve vztahu k této smlouvě a ve vztazích založených touto smlouvou, objednávkou nebo dílčí smlouvou o dílo, pokud nejsou v této smlouvě výslovně sjednány. Strany ve smyslu ustanovení § 558 odstavce 2 O</w:t>
      </w:r>
      <w:r w:rsidR="00DC5D39">
        <w:t>bčanského zákoníku</w:t>
      </w:r>
      <w:r w:rsidRPr="00D32B0E">
        <w:t xml:space="preserve"> </w:t>
      </w:r>
      <w:r w:rsidRPr="00D32B0E">
        <w:lastRenderedPageBreak/>
        <w:t>vylučují aplikaci obchodních zvyklostí zachovávaných obecně i obchodních zvyklostí zachovávaných v odvětví týkajícím se předmětu plnění dle této smlouvy, pokud nejsou v této smlouvě výslovně sjednány. Stejně tak strany vylučují aplikaci zvyklostí a praxe, které se mezi nimi případně vytvoří po uzavření této smlouvy.</w:t>
      </w:r>
    </w:p>
    <w:p w14:paraId="09808792" w14:textId="45B7E569" w:rsidR="00D32B0E" w:rsidRPr="00D32B0E" w:rsidRDefault="00D32B0E" w:rsidP="00E92DC7">
      <w:pPr>
        <w:numPr>
          <w:ilvl w:val="0"/>
          <w:numId w:val="9"/>
        </w:numPr>
        <w:tabs>
          <w:tab w:val="clear" w:pos="644"/>
          <w:tab w:val="num" w:pos="426"/>
        </w:tabs>
        <w:ind w:left="426" w:hanging="426"/>
      </w:pPr>
      <w:r w:rsidRPr="00D32B0E">
        <w:t>Strany vylučují ve vztahu k této smlouvě aplikaci ustanovení § 1765 a 1766 O</w:t>
      </w:r>
      <w:r w:rsidR="00DC5D39">
        <w:t>bčanského zákoníku</w:t>
      </w:r>
      <w:r w:rsidRPr="00D32B0E">
        <w:t>, a berou tak na sebe nebezpečí změny okolností.</w:t>
      </w:r>
    </w:p>
    <w:p w14:paraId="22DDA0F1" w14:textId="77777777" w:rsidR="00D32B0E" w:rsidRPr="00D32B0E" w:rsidRDefault="00D32B0E" w:rsidP="00E92DC7">
      <w:pPr>
        <w:numPr>
          <w:ilvl w:val="0"/>
          <w:numId w:val="9"/>
        </w:numPr>
        <w:tabs>
          <w:tab w:val="clear" w:pos="644"/>
          <w:tab w:val="num" w:pos="426"/>
        </w:tabs>
        <w:ind w:left="426" w:hanging="426"/>
        <w:rPr>
          <w:b/>
        </w:rPr>
      </w:pPr>
      <w:r w:rsidRPr="00D32B0E">
        <w:t>Nevynutitelnost nebo neplatnost kteréhokoliv článku, odstavce, pododstavce nebo ustanovení této smlouvy neovlivní vynutitelnost nebo platnost ostatních ustanovení této smlouvy.  V případě, že jakýkoliv takovýto článek, odstavec, pododstavec, ustanovení by měl z jakéhokoliv důvodu pozbýt platnosti (zejména z důvodu rozporu s aplikovatelnými zákony a ostatními právními normami), provedou smluvní strany konzultace a dohodnou se na právně přijatelném způsobu provedení záměrů obsažených v takové části smlouvy, jež nebyla platná či pozbyla platnosti.</w:t>
      </w:r>
    </w:p>
    <w:p w14:paraId="2B73FA2B" w14:textId="77777777" w:rsidR="00D32B0E" w:rsidRPr="00D32B0E" w:rsidRDefault="00D32B0E" w:rsidP="00E92DC7">
      <w:pPr>
        <w:numPr>
          <w:ilvl w:val="0"/>
          <w:numId w:val="9"/>
        </w:numPr>
        <w:tabs>
          <w:tab w:val="clear" w:pos="644"/>
          <w:tab w:val="num" w:pos="426"/>
        </w:tabs>
        <w:ind w:left="426" w:hanging="426"/>
      </w:pPr>
      <w:r w:rsidRPr="00D32B0E">
        <w:t>Nedílnou součástí této smlouvy jsou:</w:t>
      </w:r>
    </w:p>
    <w:p w14:paraId="1B511B71" w14:textId="77777777" w:rsidR="00D32B0E" w:rsidRPr="00D32B0E" w:rsidRDefault="00D32B0E" w:rsidP="00D32B0E">
      <w:pPr>
        <w:numPr>
          <w:ilvl w:val="0"/>
          <w:numId w:val="10"/>
        </w:numPr>
        <w:tabs>
          <w:tab w:val="num" w:pos="426"/>
        </w:tabs>
      </w:pPr>
      <w:r w:rsidRPr="00D32B0E">
        <w:t>Příloha č. 1 - Cenová kalkulace,</w:t>
      </w:r>
    </w:p>
    <w:p w14:paraId="11966D09" w14:textId="128BC217" w:rsidR="00D32B0E" w:rsidRDefault="00D32B0E" w:rsidP="00DC5D39">
      <w:pPr>
        <w:numPr>
          <w:ilvl w:val="0"/>
          <w:numId w:val="9"/>
        </w:numPr>
        <w:tabs>
          <w:tab w:val="clear" w:pos="644"/>
          <w:tab w:val="num" w:pos="426"/>
        </w:tabs>
        <w:ind w:left="426" w:hanging="426"/>
      </w:pPr>
      <w:r w:rsidRPr="00D32B0E">
        <w:t>Smluvní strany prohlašují, že si tuto smlouvu před jejím podpisem přečetly, že byla uzavřena podle jejich pravé a svobodné vůle, vážně, určitě a srozumitelně, a na důkaz výše uvedeného připojují své vlastnoruční podpisy.</w:t>
      </w:r>
    </w:p>
    <w:p w14:paraId="4A36AEAC" w14:textId="77777777" w:rsidR="00F4044E" w:rsidRDefault="00F4044E" w:rsidP="00DC5D39">
      <w:pPr>
        <w:numPr>
          <w:ilvl w:val="0"/>
          <w:numId w:val="9"/>
        </w:numPr>
        <w:tabs>
          <w:tab w:val="clear" w:pos="644"/>
          <w:tab w:val="num" w:pos="426"/>
        </w:tabs>
        <w:ind w:left="426" w:hanging="426"/>
      </w:pPr>
      <w:r>
        <w:t>Tato smlouva nabývá platnosti dnem podpisu všech smluvních stran a účinnosti dnem zveřejnění v registru smluv (Zákon č.340/2015 Sb.).</w:t>
      </w:r>
    </w:p>
    <w:p w14:paraId="16A1AB99" w14:textId="77B04F63" w:rsidR="00F4044E" w:rsidRPr="00D32B0E" w:rsidRDefault="00F4044E" w:rsidP="00DC5D39">
      <w:pPr>
        <w:numPr>
          <w:ilvl w:val="0"/>
          <w:numId w:val="9"/>
        </w:numPr>
        <w:tabs>
          <w:tab w:val="clear" w:pos="644"/>
          <w:tab w:val="num" w:pos="426"/>
        </w:tabs>
        <w:ind w:left="426" w:hanging="426"/>
      </w:pPr>
      <w:r>
        <w:t xml:space="preserve">Kupující a </w:t>
      </w:r>
      <w:r w:rsidRPr="00F4044E">
        <w:t>prodávající</w:t>
      </w:r>
      <w:r>
        <w:t xml:space="preserve"> souhlasí s uveřejněním této smlouvy v registru smluv v souladu se zákonem č. 340/2015 Sb., o registru smluv. Zveřejnění v registru smluv provede kupující.</w:t>
      </w:r>
    </w:p>
    <w:p w14:paraId="52E1A179" w14:textId="77777777" w:rsidR="00D32B0E" w:rsidRPr="00D32B0E" w:rsidRDefault="00D32B0E" w:rsidP="00D32B0E"/>
    <w:p w14:paraId="34FC896E" w14:textId="3EDA4144" w:rsidR="00D32B0E" w:rsidRPr="00D32B0E" w:rsidRDefault="00D32B0E" w:rsidP="00D32B0E">
      <w:r w:rsidRPr="00D32B0E">
        <w:t xml:space="preserve">V Ústí nad Labem </w:t>
      </w:r>
      <w:proofErr w:type="gramStart"/>
      <w:r w:rsidRPr="00D32B0E">
        <w:t xml:space="preserve">dne  </w:t>
      </w:r>
      <w:r w:rsidR="003D6B3F">
        <w:t>10</w:t>
      </w:r>
      <w:r w:rsidRPr="00D32B0E">
        <w:t>.12.2018</w:t>
      </w:r>
      <w:proofErr w:type="gramEnd"/>
      <w:r w:rsidRPr="00D32B0E">
        <w:t xml:space="preserve">                                            V Praze dne </w:t>
      </w:r>
      <w:r w:rsidR="003D6B3F">
        <w:t>6</w:t>
      </w:r>
      <w:r w:rsidRPr="00D32B0E">
        <w:t>.1</w:t>
      </w:r>
      <w:r w:rsidR="003D6B3F">
        <w:t>2</w:t>
      </w:r>
      <w:r w:rsidRPr="00D32B0E">
        <w:t>. 2018</w:t>
      </w:r>
    </w:p>
    <w:p w14:paraId="1281D4C7" w14:textId="2836E514" w:rsidR="00D32B0E" w:rsidRPr="00D32B0E" w:rsidRDefault="00D32B0E" w:rsidP="00D32B0E">
      <w:r w:rsidRPr="00D32B0E">
        <w:t>____________________________</w:t>
      </w:r>
      <w:r w:rsidRPr="00D32B0E">
        <w:tab/>
      </w:r>
      <w:r w:rsidR="00DC5D39">
        <w:tab/>
      </w:r>
      <w:r w:rsidR="00DC5D39">
        <w:tab/>
      </w:r>
      <w:r w:rsidRPr="00D32B0E">
        <w:t>____________________________</w:t>
      </w:r>
    </w:p>
    <w:p w14:paraId="19CC849A" w14:textId="4D8EE963" w:rsidR="00D32B0E" w:rsidRPr="00D32B0E" w:rsidRDefault="00D32B0E" w:rsidP="00D32B0E">
      <w:r w:rsidRPr="00D32B0E">
        <w:t xml:space="preserve">Kupující – Domov </w:t>
      </w:r>
      <w:r w:rsidR="000C78D4">
        <w:t xml:space="preserve">pro seniory </w:t>
      </w:r>
      <w:r w:rsidRPr="00D32B0E">
        <w:t xml:space="preserve">Severní </w:t>
      </w:r>
      <w:proofErr w:type="spellStart"/>
      <w:proofErr w:type="gramStart"/>
      <w:r w:rsidRPr="00D32B0E">
        <w:t>Terasa</w:t>
      </w:r>
      <w:r w:rsidR="000C78D4">
        <w:t>,p.o</w:t>
      </w:r>
      <w:proofErr w:type="spellEnd"/>
      <w:r w:rsidR="000C78D4">
        <w:t>.</w:t>
      </w:r>
      <w:proofErr w:type="gramEnd"/>
      <w:r w:rsidR="00B63799">
        <w:t xml:space="preserve">            </w:t>
      </w:r>
      <w:r w:rsidRPr="00D32B0E">
        <w:t>Prodávající - TOP TRADE PROFI s.r.o.</w:t>
      </w:r>
    </w:p>
    <w:p w14:paraId="5607C529" w14:textId="77777777" w:rsidR="00D32B0E" w:rsidRPr="00D32B0E" w:rsidRDefault="00D32B0E" w:rsidP="00D32B0E">
      <w:r w:rsidRPr="00D32B0E">
        <w:t xml:space="preserve">Ing. Petr </w:t>
      </w:r>
      <w:proofErr w:type="gramStart"/>
      <w:r w:rsidRPr="00D32B0E">
        <w:t>Boťanský - ředitel</w:t>
      </w:r>
      <w:proofErr w:type="gramEnd"/>
      <w:r w:rsidRPr="00D32B0E">
        <w:t xml:space="preserve"> Domova pro seniory         </w:t>
      </w:r>
      <w:r>
        <w:t xml:space="preserve">          </w:t>
      </w:r>
      <w:r w:rsidRPr="00D32B0E">
        <w:t xml:space="preserve">  Patrik Matejovič – jednatel</w:t>
      </w:r>
    </w:p>
    <w:p w14:paraId="03239F19" w14:textId="77777777" w:rsidR="00D32B0E" w:rsidRDefault="00D32B0E" w:rsidP="00D32B0E">
      <w:r w:rsidRPr="00D32B0E">
        <w:t xml:space="preserve">Severní </w:t>
      </w:r>
      <w:proofErr w:type="spellStart"/>
      <w:proofErr w:type="gramStart"/>
      <w:r w:rsidRPr="00D32B0E">
        <w:t>Terasa,p.o</w:t>
      </w:r>
      <w:proofErr w:type="spellEnd"/>
      <w:r w:rsidRPr="00D32B0E">
        <w:t>.</w:t>
      </w:r>
      <w:proofErr w:type="gramEnd"/>
    </w:p>
    <w:p w14:paraId="5CFF0AC7" w14:textId="77777777" w:rsidR="00DC5D39" w:rsidRDefault="00DC5D39" w:rsidP="00D32B0E"/>
    <w:p w14:paraId="3F4D5E51" w14:textId="77777777" w:rsidR="00DC5D39" w:rsidRDefault="00DC5D39" w:rsidP="00D32B0E"/>
    <w:p w14:paraId="16282418" w14:textId="77777777" w:rsidR="00DC5D39" w:rsidRDefault="00DC5D39" w:rsidP="00D32B0E"/>
    <w:p w14:paraId="1CFD57F4" w14:textId="77777777" w:rsidR="00DC5D39" w:rsidRDefault="00DC5D39" w:rsidP="00D32B0E"/>
    <w:p w14:paraId="3E23FE10" w14:textId="77777777" w:rsidR="00DC5D39" w:rsidRDefault="00DC5D39" w:rsidP="00D32B0E"/>
    <w:p w14:paraId="05D67E2A" w14:textId="77777777" w:rsidR="00DC5D39" w:rsidRDefault="00DC5D39" w:rsidP="00D32B0E"/>
    <w:p w14:paraId="10B2B647" w14:textId="77777777" w:rsidR="00DC5D39" w:rsidRDefault="00DC5D39" w:rsidP="00D32B0E"/>
    <w:p w14:paraId="33076AEE" w14:textId="77777777" w:rsidR="00DC5D39" w:rsidRDefault="00DC5D39" w:rsidP="00D32B0E"/>
    <w:p w14:paraId="7B28C51D" w14:textId="77777777" w:rsidR="00D32B0E" w:rsidRPr="00D32B0E" w:rsidRDefault="00D32B0E" w:rsidP="00D32B0E">
      <w:r w:rsidRPr="00D32B0E">
        <w:lastRenderedPageBreak/>
        <w:t>PŘÍLOHA č.1 CENOVÁ KALKULACE:</w:t>
      </w:r>
    </w:p>
    <w:tbl>
      <w:tblPr>
        <w:tblW w:w="9639" w:type="dxa"/>
        <w:tblLook w:val="04A0" w:firstRow="1" w:lastRow="0" w:firstColumn="1" w:lastColumn="0" w:noHBand="0" w:noVBand="1"/>
      </w:tblPr>
      <w:tblGrid>
        <w:gridCol w:w="9639"/>
      </w:tblGrid>
      <w:tr w:rsidR="00D32B0E" w:rsidRPr="00D32B0E" w14:paraId="434A194B" w14:textId="77777777" w:rsidTr="00D32B0E">
        <w:tc>
          <w:tcPr>
            <w:tcW w:w="0" w:type="auto"/>
            <w:tcMar>
              <w:top w:w="0" w:type="dxa"/>
              <w:left w:w="0" w:type="dxa"/>
              <w:bottom w:w="0" w:type="dxa"/>
              <w:right w:w="0" w:type="dxa"/>
            </w:tcMar>
            <w:vAlign w:val="center"/>
            <w:hideMark/>
          </w:tcPr>
          <w:tbl>
            <w:tblPr>
              <w:tblW w:w="9630" w:type="dxa"/>
              <w:tblLook w:val="04A0" w:firstRow="1" w:lastRow="0" w:firstColumn="1" w:lastColumn="0" w:noHBand="0" w:noVBand="1"/>
            </w:tblPr>
            <w:tblGrid>
              <w:gridCol w:w="7437"/>
              <w:gridCol w:w="2193"/>
            </w:tblGrid>
            <w:tr w:rsidR="00D32B0E" w:rsidRPr="00D32B0E" w14:paraId="1E89C922" w14:textId="77777777">
              <w:tc>
                <w:tcPr>
                  <w:tcW w:w="0" w:type="auto"/>
                  <w:tcBorders>
                    <w:top w:val="nil"/>
                    <w:left w:val="nil"/>
                    <w:bottom w:val="single" w:sz="18" w:space="0" w:color="000000"/>
                    <w:right w:val="nil"/>
                  </w:tcBorders>
                  <w:tcMar>
                    <w:top w:w="0" w:type="dxa"/>
                    <w:left w:w="0" w:type="dxa"/>
                    <w:bottom w:w="0" w:type="dxa"/>
                    <w:right w:w="0" w:type="dxa"/>
                  </w:tcMar>
                  <w:vAlign w:val="center"/>
                  <w:hideMark/>
                </w:tcPr>
                <w:p w14:paraId="4B95026C" w14:textId="77777777" w:rsidR="00D32B0E" w:rsidRPr="00D32B0E" w:rsidRDefault="00D32B0E" w:rsidP="00D32B0E">
                  <w:pPr>
                    <w:rPr>
                      <w:b/>
                      <w:bCs/>
                    </w:rPr>
                  </w:pPr>
                  <w:r w:rsidRPr="00D32B0E">
                    <w:rPr>
                      <w:b/>
                      <w:bCs/>
                    </w:rPr>
                    <w:t>CENOVÁ KALKULACE</w:t>
                  </w:r>
                </w:p>
              </w:tc>
              <w:tc>
                <w:tcPr>
                  <w:tcW w:w="0" w:type="auto"/>
                  <w:tcBorders>
                    <w:top w:val="nil"/>
                    <w:left w:val="nil"/>
                    <w:bottom w:val="single" w:sz="18" w:space="0" w:color="000000"/>
                    <w:right w:val="nil"/>
                  </w:tcBorders>
                  <w:tcMar>
                    <w:top w:w="0" w:type="dxa"/>
                    <w:left w:w="0" w:type="dxa"/>
                    <w:bottom w:w="0" w:type="dxa"/>
                    <w:right w:w="0" w:type="dxa"/>
                  </w:tcMar>
                  <w:vAlign w:val="center"/>
                  <w:hideMark/>
                </w:tcPr>
                <w:p w14:paraId="2E8AD13C" w14:textId="77777777" w:rsidR="00D32B0E" w:rsidRPr="00D32B0E" w:rsidRDefault="00D32B0E" w:rsidP="00D32B0E">
                  <w:pPr>
                    <w:rPr>
                      <w:b/>
                      <w:bCs/>
                    </w:rPr>
                  </w:pPr>
                  <w:r w:rsidRPr="00D32B0E">
                    <w:rPr>
                      <w:b/>
                      <w:bCs/>
                    </w:rPr>
                    <w:t>10728</w:t>
                  </w:r>
                </w:p>
              </w:tc>
            </w:tr>
          </w:tbl>
          <w:p w14:paraId="26F5EB21" w14:textId="77777777" w:rsidR="00D32B0E" w:rsidRPr="00D32B0E" w:rsidRDefault="00D32B0E" w:rsidP="00D32B0E"/>
        </w:tc>
      </w:tr>
      <w:tr w:rsidR="00D32B0E" w:rsidRPr="00D32B0E" w14:paraId="62518EE2" w14:textId="77777777" w:rsidTr="00D32B0E">
        <w:tc>
          <w:tcPr>
            <w:tcW w:w="0" w:type="auto"/>
            <w:tcMar>
              <w:top w:w="0" w:type="dxa"/>
              <w:left w:w="0" w:type="dxa"/>
              <w:bottom w:w="0" w:type="dxa"/>
              <w:right w:w="0" w:type="dxa"/>
            </w:tcMar>
            <w:vAlign w:val="center"/>
            <w:hideMark/>
          </w:tcPr>
          <w:tbl>
            <w:tblPr>
              <w:tblW w:w="9630" w:type="dxa"/>
              <w:tblLook w:val="04A0" w:firstRow="1" w:lastRow="0" w:firstColumn="1" w:lastColumn="0" w:noHBand="0" w:noVBand="1"/>
            </w:tblPr>
            <w:tblGrid>
              <w:gridCol w:w="4360"/>
              <w:gridCol w:w="5270"/>
            </w:tblGrid>
            <w:tr w:rsidR="00D32B0E" w:rsidRPr="00D32B0E" w14:paraId="5110624B" w14:textId="77777777">
              <w:tc>
                <w:tcPr>
                  <w:tcW w:w="4366" w:type="dxa"/>
                  <w:tcMar>
                    <w:top w:w="0" w:type="dxa"/>
                    <w:left w:w="0" w:type="dxa"/>
                    <w:bottom w:w="0" w:type="dxa"/>
                    <w:right w:w="0" w:type="dxa"/>
                  </w:tcMar>
                  <w:vAlign w:val="center"/>
                  <w:hideMark/>
                </w:tcPr>
                <w:p w14:paraId="0CB936F4" w14:textId="77777777" w:rsidR="00D32B0E" w:rsidRPr="00D32B0E" w:rsidRDefault="00D32B0E" w:rsidP="00D32B0E"/>
              </w:tc>
              <w:tc>
                <w:tcPr>
                  <w:tcW w:w="5273" w:type="dxa"/>
                  <w:tcMar>
                    <w:top w:w="0" w:type="dxa"/>
                    <w:left w:w="0" w:type="dxa"/>
                    <w:bottom w:w="0" w:type="dxa"/>
                    <w:right w:w="0" w:type="dxa"/>
                  </w:tcMar>
                  <w:vAlign w:val="center"/>
                  <w:hideMark/>
                </w:tcPr>
                <w:p w14:paraId="387DE6EA" w14:textId="77777777" w:rsidR="00D32B0E" w:rsidRPr="00D32B0E" w:rsidRDefault="00D32B0E" w:rsidP="00D32B0E">
                  <w:pPr>
                    <w:rPr>
                      <w:b/>
                      <w:bCs/>
                    </w:rPr>
                  </w:pPr>
                  <w:r w:rsidRPr="00D32B0E">
                    <w:rPr>
                      <w:b/>
                      <w:bCs/>
                    </w:rPr>
                    <w:t>Objednatel:</w:t>
                  </w:r>
                  <w:r w:rsidRPr="00D32B0E">
                    <w:rPr>
                      <w:b/>
                      <w:bCs/>
                    </w:rPr>
                    <w:br/>
                    <w:t xml:space="preserve">Domov pro seniory Severní </w:t>
                  </w:r>
                  <w:proofErr w:type="spellStart"/>
                  <w:proofErr w:type="gramStart"/>
                  <w:r w:rsidRPr="00D32B0E">
                    <w:rPr>
                      <w:b/>
                      <w:bCs/>
                    </w:rPr>
                    <w:t>Terasa,p.o</w:t>
                  </w:r>
                  <w:proofErr w:type="spellEnd"/>
                  <w:r w:rsidRPr="00D32B0E">
                    <w:rPr>
                      <w:b/>
                      <w:bCs/>
                    </w:rPr>
                    <w:t>.</w:t>
                  </w:r>
                  <w:proofErr w:type="gramEnd"/>
                </w:p>
              </w:tc>
            </w:tr>
            <w:tr w:rsidR="00D32B0E" w:rsidRPr="00D32B0E" w14:paraId="42111471" w14:textId="77777777">
              <w:tc>
                <w:tcPr>
                  <w:tcW w:w="0" w:type="auto"/>
                  <w:tcMar>
                    <w:top w:w="0" w:type="dxa"/>
                    <w:left w:w="0" w:type="dxa"/>
                    <w:bottom w:w="0" w:type="dxa"/>
                    <w:right w:w="0" w:type="dxa"/>
                  </w:tcMar>
                  <w:vAlign w:val="center"/>
                  <w:hideMark/>
                </w:tcPr>
                <w:p w14:paraId="7C97B56D" w14:textId="77777777" w:rsidR="00D32B0E" w:rsidRPr="00D32B0E" w:rsidRDefault="00D32B0E" w:rsidP="00D32B0E">
                  <w:pPr>
                    <w:rPr>
                      <w:b/>
                      <w:bCs/>
                    </w:rPr>
                  </w:pPr>
                  <w:r w:rsidRPr="00D32B0E">
                    <w:rPr>
                      <w:b/>
                      <w:bCs/>
                    </w:rPr>
                    <w:t>Dodavatel</w:t>
                  </w:r>
                </w:p>
              </w:tc>
              <w:tc>
                <w:tcPr>
                  <w:tcW w:w="0" w:type="auto"/>
                  <w:vMerge w:val="restart"/>
                  <w:tcMar>
                    <w:top w:w="0" w:type="dxa"/>
                    <w:left w:w="0" w:type="dxa"/>
                    <w:bottom w:w="0" w:type="dxa"/>
                    <w:right w:w="0" w:type="dxa"/>
                  </w:tcMar>
                  <w:hideMark/>
                </w:tcPr>
                <w:p w14:paraId="63182329" w14:textId="77777777" w:rsidR="00D32B0E" w:rsidRPr="00D32B0E" w:rsidRDefault="00D32B0E" w:rsidP="00D32B0E">
                  <w:r w:rsidRPr="00D32B0E">
                    <w:rPr>
                      <w:b/>
                      <w:bCs/>
                    </w:rPr>
                    <w:t>V Klidu 12</w:t>
                  </w:r>
                  <w:r w:rsidRPr="00D32B0E">
                    <w:rPr>
                      <w:b/>
                      <w:bCs/>
                    </w:rPr>
                    <w:br/>
                    <w:t>40011 Ústí nad Labem</w:t>
                  </w:r>
                  <w:r w:rsidRPr="00D32B0E">
                    <w:rPr>
                      <w:b/>
                      <w:bCs/>
                    </w:rPr>
                    <w:br/>
                    <w:t>Česká republika</w:t>
                  </w:r>
                  <w:r w:rsidRPr="00D32B0E">
                    <w:rPr>
                      <w:b/>
                      <w:bCs/>
                    </w:rPr>
                    <w:br/>
                    <w:t>Petr Boťanský,</w:t>
                  </w:r>
                  <w:r w:rsidRPr="00D32B0E">
                    <w:t> </w:t>
                  </w:r>
                </w:p>
                <w:tbl>
                  <w:tblPr>
                    <w:tblW w:w="3770" w:type="dxa"/>
                    <w:tblLook w:val="04A0" w:firstRow="1" w:lastRow="0" w:firstColumn="1" w:lastColumn="0" w:noHBand="0" w:noVBand="1"/>
                  </w:tblPr>
                  <w:tblGrid>
                    <w:gridCol w:w="1147"/>
                    <w:gridCol w:w="2623"/>
                  </w:tblGrid>
                  <w:tr w:rsidR="00D32B0E" w:rsidRPr="00D32B0E" w14:paraId="1E9C8710" w14:textId="77777777">
                    <w:tc>
                      <w:tcPr>
                        <w:tcW w:w="0" w:type="auto"/>
                        <w:tcMar>
                          <w:top w:w="0" w:type="dxa"/>
                          <w:left w:w="0" w:type="dxa"/>
                          <w:bottom w:w="0" w:type="dxa"/>
                          <w:right w:w="0" w:type="dxa"/>
                        </w:tcMar>
                        <w:vAlign w:val="center"/>
                        <w:hideMark/>
                      </w:tcPr>
                      <w:p w14:paraId="3009D2CF" w14:textId="77777777" w:rsidR="00D32B0E" w:rsidRPr="00D32B0E" w:rsidRDefault="00D32B0E" w:rsidP="00D32B0E">
                        <w:r w:rsidRPr="00D32B0E">
                          <w:t>IČ:</w:t>
                        </w:r>
                      </w:p>
                    </w:tc>
                    <w:tc>
                      <w:tcPr>
                        <w:tcW w:w="0" w:type="auto"/>
                        <w:tcMar>
                          <w:top w:w="0" w:type="dxa"/>
                          <w:left w:w="0" w:type="dxa"/>
                          <w:bottom w:w="0" w:type="dxa"/>
                          <w:right w:w="0" w:type="dxa"/>
                        </w:tcMar>
                        <w:vAlign w:val="center"/>
                        <w:hideMark/>
                      </w:tcPr>
                      <w:p w14:paraId="03E90CCB" w14:textId="77777777" w:rsidR="00D32B0E" w:rsidRPr="00D32B0E" w:rsidRDefault="00D32B0E" w:rsidP="00D32B0E">
                        <w:r w:rsidRPr="00D32B0E">
                          <w:t>44555326</w:t>
                        </w:r>
                      </w:p>
                    </w:tc>
                  </w:tr>
                  <w:tr w:rsidR="00D32B0E" w:rsidRPr="00D32B0E" w14:paraId="7494ABD3" w14:textId="77777777">
                    <w:tc>
                      <w:tcPr>
                        <w:tcW w:w="0" w:type="auto"/>
                        <w:tcMar>
                          <w:top w:w="0" w:type="dxa"/>
                          <w:left w:w="0" w:type="dxa"/>
                          <w:bottom w:w="0" w:type="dxa"/>
                          <w:right w:w="0" w:type="dxa"/>
                        </w:tcMar>
                        <w:vAlign w:val="center"/>
                        <w:hideMark/>
                      </w:tcPr>
                      <w:p w14:paraId="75F636F1" w14:textId="77777777" w:rsidR="00D32B0E" w:rsidRPr="00D32B0E" w:rsidRDefault="00D32B0E" w:rsidP="00D32B0E">
                        <w:r w:rsidRPr="00D32B0E">
                          <w:t>DIČ:</w:t>
                        </w:r>
                      </w:p>
                    </w:tc>
                    <w:tc>
                      <w:tcPr>
                        <w:tcW w:w="0" w:type="auto"/>
                        <w:tcMar>
                          <w:top w:w="0" w:type="dxa"/>
                          <w:left w:w="0" w:type="dxa"/>
                          <w:bottom w:w="0" w:type="dxa"/>
                          <w:right w:w="0" w:type="dxa"/>
                        </w:tcMar>
                        <w:vAlign w:val="center"/>
                        <w:hideMark/>
                      </w:tcPr>
                      <w:p w14:paraId="01A6BC5B" w14:textId="77777777" w:rsidR="00D32B0E" w:rsidRPr="00D32B0E" w:rsidRDefault="00D32B0E" w:rsidP="00D32B0E">
                        <w:r w:rsidRPr="00D32B0E">
                          <w:t>CZ44555326</w:t>
                        </w:r>
                      </w:p>
                    </w:tc>
                  </w:tr>
                  <w:tr w:rsidR="00D32B0E" w:rsidRPr="00D32B0E" w14:paraId="39ABF581" w14:textId="77777777">
                    <w:tc>
                      <w:tcPr>
                        <w:tcW w:w="0" w:type="auto"/>
                        <w:tcMar>
                          <w:top w:w="0" w:type="dxa"/>
                          <w:left w:w="0" w:type="dxa"/>
                          <w:bottom w:w="0" w:type="dxa"/>
                          <w:right w:w="0" w:type="dxa"/>
                        </w:tcMar>
                        <w:vAlign w:val="center"/>
                        <w:hideMark/>
                      </w:tcPr>
                      <w:p w14:paraId="0690A369" w14:textId="77777777" w:rsidR="00D32B0E" w:rsidRPr="00D32B0E" w:rsidRDefault="00D32B0E" w:rsidP="00D32B0E">
                        <w:r w:rsidRPr="00D32B0E">
                          <w:t> </w:t>
                        </w:r>
                      </w:p>
                    </w:tc>
                    <w:tc>
                      <w:tcPr>
                        <w:tcW w:w="0" w:type="auto"/>
                        <w:tcMar>
                          <w:top w:w="15" w:type="dxa"/>
                          <w:left w:w="15" w:type="dxa"/>
                          <w:bottom w:w="15" w:type="dxa"/>
                          <w:right w:w="15" w:type="dxa"/>
                        </w:tcMar>
                        <w:vAlign w:val="center"/>
                        <w:hideMark/>
                      </w:tcPr>
                      <w:p w14:paraId="75D9A56B" w14:textId="77777777" w:rsidR="00D32B0E" w:rsidRPr="00D32B0E" w:rsidRDefault="00D32B0E" w:rsidP="00D32B0E"/>
                    </w:tc>
                  </w:tr>
                  <w:tr w:rsidR="00D32B0E" w:rsidRPr="00D32B0E" w14:paraId="66EEAD62" w14:textId="77777777">
                    <w:tc>
                      <w:tcPr>
                        <w:tcW w:w="0" w:type="auto"/>
                        <w:tcMar>
                          <w:top w:w="0" w:type="dxa"/>
                          <w:left w:w="0" w:type="dxa"/>
                          <w:bottom w:w="0" w:type="dxa"/>
                          <w:right w:w="0" w:type="dxa"/>
                        </w:tcMar>
                        <w:vAlign w:val="center"/>
                        <w:hideMark/>
                      </w:tcPr>
                      <w:p w14:paraId="14F6249E" w14:textId="77777777" w:rsidR="00D32B0E" w:rsidRPr="00D32B0E" w:rsidRDefault="00D32B0E" w:rsidP="00D32B0E">
                        <w:r w:rsidRPr="00D32B0E">
                          <w:t>E-mail:</w:t>
                        </w:r>
                      </w:p>
                    </w:tc>
                    <w:tc>
                      <w:tcPr>
                        <w:tcW w:w="0" w:type="auto"/>
                        <w:tcMar>
                          <w:top w:w="0" w:type="dxa"/>
                          <w:left w:w="0" w:type="dxa"/>
                          <w:bottom w:w="0" w:type="dxa"/>
                          <w:right w:w="0" w:type="dxa"/>
                        </w:tcMar>
                        <w:vAlign w:val="center"/>
                        <w:hideMark/>
                      </w:tcPr>
                      <w:p w14:paraId="41E77134" w14:textId="77777777" w:rsidR="00D32B0E" w:rsidRPr="00D32B0E" w:rsidRDefault="00D32B0E" w:rsidP="00D32B0E">
                        <w:r w:rsidRPr="005E080F">
                          <w:rPr>
                            <w:highlight w:val="black"/>
                          </w:rPr>
                          <w:t>reditel@ddst.cz</w:t>
                        </w:r>
                      </w:p>
                    </w:tc>
                  </w:tr>
                  <w:tr w:rsidR="00D32B0E" w:rsidRPr="00D32B0E" w14:paraId="5587A091" w14:textId="77777777">
                    <w:tc>
                      <w:tcPr>
                        <w:tcW w:w="0" w:type="auto"/>
                        <w:tcMar>
                          <w:top w:w="0" w:type="dxa"/>
                          <w:left w:w="0" w:type="dxa"/>
                          <w:bottom w:w="0" w:type="dxa"/>
                          <w:right w:w="0" w:type="dxa"/>
                        </w:tcMar>
                        <w:vAlign w:val="center"/>
                        <w:hideMark/>
                      </w:tcPr>
                      <w:p w14:paraId="6D7E6C1B" w14:textId="77777777" w:rsidR="00D32B0E" w:rsidRPr="00D32B0E" w:rsidRDefault="00D32B0E" w:rsidP="00D32B0E">
                        <w:r w:rsidRPr="00D32B0E">
                          <w:t> </w:t>
                        </w:r>
                      </w:p>
                    </w:tc>
                    <w:tc>
                      <w:tcPr>
                        <w:tcW w:w="0" w:type="auto"/>
                        <w:tcMar>
                          <w:top w:w="0" w:type="dxa"/>
                          <w:left w:w="0" w:type="dxa"/>
                          <w:bottom w:w="0" w:type="dxa"/>
                          <w:right w:w="0" w:type="dxa"/>
                        </w:tcMar>
                        <w:vAlign w:val="center"/>
                        <w:hideMark/>
                      </w:tcPr>
                      <w:p w14:paraId="26062A0B" w14:textId="77777777" w:rsidR="00D32B0E" w:rsidRPr="00D32B0E" w:rsidRDefault="00D32B0E" w:rsidP="00D32B0E">
                        <w:r w:rsidRPr="00D32B0E">
                          <w:t> </w:t>
                        </w:r>
                      </w:p>
                    </w:tc>
                  </w:tr>
                </w:tbl>
                <w:p w14:paraId="4F27B9D6" w14:textId="3E9DFB96" w:rsidR="00D32B0E" w:rsidRPr="00D32B0E" w:rsidRDefault="00D32B0E" w:rsidP="00D32B0E">
                  <w:pPr>
                    <w:rPr>
                      <w:b/>
                      <w:bCs/>
                    </w:rPr>
                  </w:pPr>
                  <w:r w:rsidRPr="00D32B0E">
                    <w:rPr>
                      <w:b/>
                      <w:bCs/>
                    </w:rPr>
                    <w:br/>
                    <w:t>Dodací adresa:</w:t>
                  </w:r>
                  <w:r w:rsidR="00DC5D39">
                    <w:rPr>
                      <w:b/>
                      <w:bCs/>
                    </w:rPr>
                    <w:t xml:space="preserve"> </w:t>
                  </w:r>
                  <w:r w:rsidRPr="00D32B0E">
                    <w:rPr>
                      <w:b/>
                      <w:bCs/>
                    </w:rPr>
                    <w:t xml:space="preserve">Domov pro seniory Severní </w:t>
                  </w:r>
                  <w:proofErr w:type="spellStart"/>
                  <w:proofErr w:type="gramStart"/>
                  <w:r w:rsidRPr="00D32B0E">
                    <w:rPr>
                      <w:b/>
                      <w:bCs/>
                    </w:rPr>
                    <w:t>Terasa,p.o</w:t>
                  </w:r>
                  <w:proofErr w:type="spellEnd"/>
                  <w:r w:rsidRPr="00D32B0E">
                    <w:rPr>
                      <w:b/>
                      <w:bCs/>
                    </w:rPr>
                    <w:t>.</w:t>
                  </w:r>
                  <w:proofErr w:type="gramEnd"/>
                  <w:r w:rsidRPr="00D32B0E">
                    <w:rPr>
                      <w:b/>
                      <w:bCs/>
                    </w:rPr>
                    <w:t xml:space="preserve"> </w:t>
                  </w:r>
                </w:p>
              </w:tc>
            </w:tr>
            <w:tr w:rsidR="00D32B0E" w:rsidRPr="00D32B0E" w14:paraId="427B85AA" w14:textId="77777777">
              <w:trPr>
                <w:trHeight w:val="450"/>
              </w:trPr>
              <w:tc>
                <w:tcPr>
                  <w:tcW w:w="0" w:type="auto"/>
                  <w:vMerge w:val="restart"/>
                  <w:tcMar>
                    <w:top w:w="0" w:type="dxa"/>
                    <w:left w:w="0" w:type="dxa"/>
                    <w:bottom w:w="0" w:type="dxa"/>
                    <w:right w:w="0" w:type="dxa"/>
                  </w:tcMar>
                  <w:vAlign w:val="center"/>
                  <w:hideMark/>
                </w:tcPr>
                <w:p w14:paraId="244A1AC1" w14:textId="77777777" w:rsidR="00D32B0E" w:rsidRPr="00D32B0E" w:rsidRDefault="00D32B0E" w:rsidP="00D32B0E">
                  <w:pPr>
                    <w:rPr>
                      <w:b/>
                      <w:bCs/>
                    </w:rPr>
                  </w:pPr>
                  <w:r w:rsidRPr="00D32B0E">
                    <w:rPr>
                      <w:b/>
                      <w:bCs/>
                    </w:rPr>
                    <w:t>TOP TRADE PROFI s.r.o.</w:t>
                  </w:r>
                  <w:r w:rsidRPr="00D32B0E">
                    <w:rPr>
                      <w:b/>
                      <w:bCs/>
                    </w:rPr>
                    <w:br/>
                  </w:r>
                  <w:r w:rsidRPr="00D32B0E">
                    <w:rPr>
                      <w:b/>
                      <w:bCs/>
                    </w:rPr>
                    <w:br/>
                    <w:t>Kaprova 14/13</w:t>
                  </w:r>
                  <w:r w:rsidRPr="00D32B0E">
                    <w:rPr>
                      <w:b/>
                      <w:bCs/>
                    </w:rPr>
                    <w:br/>
                    <w:t>11000 Praha 1</w:t>
                  </w:r>
                  <w:r w:rsidRPr="00D32B0E">
                    <w:rPr>
                      <w:b/>
                      <w:bCs/>
                    </w:rPr>
                    <w:br/>
                    <w:t>Česká Republika</w:t>
                  </w:r>
                </w:p>
              </w:tc>
              <w:tc>
                <w:tcPr>
                  <w:tcW w:w="0" w:type="auto"/>
                  <w:vMerge/>
                  <w:vAlign w:val="center"/>
                  <w:hideMark/>
                </w:tcPr>
                <w:p w14:paraId="49F12093" w14:textId="77777777" w:rsidR="00D32B0E" w:rsidRPr="00D32B0E" w:rsidRDefault="00D32B0E" w:rsidP="00D32B0E">
                  <w:pPr>
                    <w:rPr>
                      <w:b/>
                      <w:bCs/>
                    </w:rPr>
                  </w:pPr>
                </w:p>
              </w:tc>
            </w:tr>
            <w:tr w:rsidR="00D32B0E" w:rsidRPr="00D32B0E" w14:paraId="503FADC6" w14:textId="77777777">
              <w:tc>
                <w:tcPr>
                  <w:tcW w:w="0" w:type="auto"/>
                  <w:vMerge/>
                  <w:vAlign w:val="center"/>
                  <w:hideMark/>
                </w:tcPr>
                <w:p w14:paraId="17C39191" w14:textId="77777777" w:rsidR="00D32B0E" w:rsidRPr="00D32B0E" w:rsidRDefault="00D32B0E" w:rsidP="00D32B0E">
                  <w:pPr>
                    <w:rPr>
                      <w:b/>
                      <w:bCs/>
                    </w:rPr>
                  </w:pPr>
                </w:p>
              </w:tc>
              <w:tc>
                <w:tcPr>
                  <w:tcW w:w="0" w:type="auto"/>
                  <w:tcMar>
                    <w:top w:w="0" w:type="dxa"/>
                    <w:left w:w="0" w:type="dxa"/>
                    <w:bottom w:w="0" w:type="dxa"/>
                    <w:right w:w="0" w:type="dxa"/>
                  </w:tcMar>
                  <w:vAlign w:val="bottom"/>
                  <w:hideMark/>
                </w:tcPr>
                <w:p w14:paraId="44B4341A" w14:textId="77777777" w:rsidR="00D32B0E" w:rsidRPr="00D32B0E" w:rsidRDefault="00D32B0E" w:rsidP="00D32B0E">
                  <w:pPr>
                    <w:rPr>
                      <w:b/>
                      <w:bCs/>
                    </w:rPr>
                  </w:pPr>
                </w:p>
              </w:tc>
            </w:tr>
          </w:tbl>
          <w:p w14:paraId="35FA6716" w14:textId="77777777" w:rsidR="00D32B0E" w:rsidRPr="00D32B0E" w:rsidRDefault="00D32B0E" w:rsidP="00D32B0E"/>
        </w:tc>
      </w:tr>
      <w:tr w:rsidR="00D32B0E" w:rsidRPr="00D32B0E" w14:paraId="28C58CD4" w14:textId="77777777" w:rsidTr="00D32B0E">
        <w:tc>
          <w:tcPr>
            <w:tcW w:w="0" w:type="auto"/>
            <w:tcMar>
              <w:top w:w="0" w:type="dxa"/>
              <w:left w:w="0" w:type="dxa"/>
              <w:bottom w:w="0" w:type="dxa"/>
              <w:right w:w="0" w:type="dxa"/>
            </w:tcMar>
            <w:vAlign w:val="center"/>
            <w:hideMark/>
          </w:tcPr>
          <w:tbl>
            <w:tblPr>
              <w:tblW w:w="9630" w:type="dxa"/>
              <w:tblLook w:val="04A0" w:firstRow="1" w:lastRow="0" w:firstColumn="1" w:lastColumn="0" w:noHBand="0" w:noVBand="1"/>
            </w:tblPr>
            <w:tblGrid>
              <w:gridCol w:w="6940"/>
              <w:gridCol w:w="2690"/>
            </w:tblGrid>
            <w:tr w:rsidR="00D32B0E" w:rsidRPr="00D32B0E" w14:paraId="095114BD" w14:textId="77777777">
              <w:tc>
                <w:tcPr>
                  <w:tcW w:w="0" w:type="auto"/>
                  <w:tcMar>
                    <w:top w:w="0" w:type="dxa"/>
                    <w:left w:w="0" w:type="dxa"/>
                    <w:bottom w:w="0" w:type="dxa"/>
                    <w:right w:w="0" w:type="dxa"/>
                  </w:tcMar>
                  <w:vAlign w:val="center"/>
                  <w:hideMark/>
                </w:tcPr>
                <w:p w14:paraId="6DE35069" w14:textId="77777777" w:rsidR="00D32B0E" w:rsidRPr="00D32B0E" w:rsidRDefault="00D32B0E" w:rsidP="00D32B0E">
                  <w:r w:rsidRPr="00D32B0E">
                    <w:t xml:space="preserve">Vytvořil: Patrik </w:t>
                  </w:r>
                  <w:proofErr w:type="spellStart"/>
                  <w:r w:rsidRPr="00D32B0E">
                    <w:t>Matejovic</w:t>
                  </w:r>
                  <w:proofErr w:type="spellEnd"/>
                  <w:r w:rsidRPr="00D32B0E">
                    <w:t xml:space="preserve">, </w:t>
                  </w:r>
                  <w:proofErr w:type="gramStart"/>
                  <w:r w:rsidRPr="00D32B0E">
                    <w:t>E-mail</w:t>
                  </w:r>
                  <w:proofErr w:type="gramEnd"/>
                  <w:r w:rsidRPr="00D32B0E">
                    <w:t xml:space="preserve">: </w:t>
                  </w:r>
                  <w:r w:rsidRPr="005E080F">
                    <w:rPr>
                      <w:highlight w:val="black"/>
                    </w:rPr>
                    <w:t>patrik.matejovic@toptradeprofi.cz</w:t>
                  </w:r>
                  <w:r w:rsidRPr="00D32B0E">
                    <w:t xml:space="preserve">, Tel.: </w:t>
                  </w:r>
                  <w:r w:rsidRPr="005E080F">
                    <w:rPr>
                      <w:highlight w:val="black"/>
                    </w:rPr>
                    <w:t>737824913</w:t>
                  </w:r>
                </w:p>
              </w:tc>
              <w:tc>
                <w:tcPr>
                  <w:tcW w:w="0" w:type="auto"/>
                  <w:tcMar>
                    <w:top w:w="0" w:type="dxa"/>
                    <w:left w:w="0" w:type="dxa"/>
                    <w:bottom w:w="0" w:type="dxa"/>
                    <w:right w:w="0" w:type="dxa"/>
                  </w:tcMar>
                  <w:vAlign w:val="center"/>
                  <w:hideMark/>
                </w:tcPr>
                <w:tbl>
                  <w:tblPr>
                    <w:tblW w:w="2690" w:type="dxa"/>
                    <w:tblLook w:val="04A0" w:firstRow="1" w:lastRow="0" w:firstColumn="1" w:lastColumn="0" w:noHBand="0" w:noVBand="1"/>
                  </w:tblPr>
                  <w:tblGrid>
                    <w:gridCol w:w="1566"/>
                    <w:gridCol w:w="1124"/>
                  </w:tblGrid>
                  <w:tr w:rsidR="00D32B0E" w:rsidRPr="00D32B0E" w14:paraId="06FE3FDF" w14:textId="77777777">
                    <w:tc>
                      <w:tcPr>
                        <w:tcW w:w="0" w:type="auto"/>
                        <w:tcMar>
                          <w:top w:w="0" w:type="dxa"/>
                          <w:left w:w="120" w:type="dxa"/>
                          <w:bottom w:w="0" w:type="dxa"/>
                          <w:right w:w="0" w:type="dxa"/>
                        </w:tcMar>
                        <w:vAlign w:val="center"/>
                        <w:hideMark/>
                      </w:tcPr>
                      <w:p w14:paraId="4490C3F4" w14:textId="77777777" w:rsidR="00D32B0E" w:rsidRPr="00D32B0E" w:rsidRDefault="00D32B0E" w:rsidP="00D32B0E">
                        <w:r w:rsidRPr="00D32B0E">
                          <w:t>Datum vystavení:</w:t>
                        </w:r>
                      </w:p>
                    </w:tc>
                    <w:tc>
                      <w:tcPr>
                        <w:tcW w:w="0" w:type="auto"/>
                        <w:tcMar>
                          <w:top w:w="0" w:type="dxa"/>
                          <w:left w:w="120" w:type="dxa"/>
                          <w:bottom w:w="0" w:type="dxa"/>
                          <w:right w:w="0" w:type="dxa"/>
                        </w:tcMar>
                        <w:vAlign w:val="center"/>
                        <w:hideMark/>
                      </w:tcPr>
                      <w:p w14:paraId="00BA5291" w14:textId="77777777" w:rsidR="00D32B0E" w:rsidRPr="00D32B0E" w:rsidRDefault="00D32B0E" w:rsidP="00D32B0E">
                        <w:r w:rsidRPr="00D32B0E">
                          <w:t>13.10.2018</w:t>
                        </w:r>
                      </w:p>
                    </w:tc>
                  </w:tr>
                </w:tbl>
                <w:p w14:paraId="62E51485" w14:textId="77777777" w:rsidR="00D32B0E" w:rsidRPr="00D32B0E" w:rsidRDefault="00D32B0E" w:rsidP="00D32B0E"/>
              </w:tc>
            </w:tr>
          </w:tbl>
          <w:p w14:paraId="06954D5D" w14:textId="77777777" w:rsidR="00D32B0E" w:rsidRPr="00D32B0E" w:rsidRDefault="00D32B0E" w:rsidP="00D32B0E"/>
        </w:tc>
      </w:tr>
      <w:tr w:rsidR="00D32B0E" w:rsidRPr="00D32B0E" w14:paraId="02E1102E" w14:textId="77777777" w:rsidTr="00D32B0E">
        <w:tc>
          <w:tcPr>
            <w:tcW w:w="0" w:type="auto"/>
            <w:tcMar>
              <w:top w:w="0" w:type="dxa"/>
              <w:left w:w="0" w:type="dxa"/>
              <w:bottom w:w="0" w:type="dxa"/>
              <w:right w:w="0" w:type="dxa"/>
            </w:tcMar>
            <w:vAlign w:val="center"/>
            <w:hideMark/>
          </w:tcPr>
          <w:tbl>
            <w:tblPr>
              <w:tblW w:w="96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18"/>
              <w:gridCol w:w="1194"/>
              <w:gridCol w:w="1425"/>
              <w:gridCol w:w="770"/>
              <w:gridCol w:w="878"/>
              <w:gridCol w:w="943"/>
              <w:gridCol w:w="1590"/>
              <w:gridCol w:w="1602"/>
            </w:tblGrid>
            <w:tr w:rsidR="00D32B0E" w:rsidRPr="00D32B0E" w14:paraId="64A5DF74" w14:textId="77777777">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3DB862A7" w14:textId="77777777" w:rsidR="00D32B0E" w:rsidRPr="00D32B0E" w:rsidRDefault="00D32B0E" w:rsidP="00D32B0E">
                  <w:pPr>
                    <w:rPr>
                      <w:b/>
                      <w:bCs/>
                    </w:rPr>
                  </w:pPr>
                  <w:r w:rsidRPr="00D32B0E">
                    <w:rPr>
                      <w:b/>
                      <w:bCs/>
                    </w:rPr>
                    <w:t>Popis položky</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65AD7F00" w14:textId="77777777" w:rsidR="00D32B0E" w:rsidRPr="00D32B0E" w:rsidRDefault="00D32B0E" w:rsidP="00D32B0E">
                  <w:pPr>
                    <w:rPr>
                      <w:b/>
                      <w:bCs/>
                    </w:rPr>
                  </w:pPr>
                  <w:r w:rsidRPr="00D32B0E">
                    <w:rPr>
                      <w:b/>
                      <w:bCs/>
                    </w:rPr>
                    <w:t>Počet M.J.</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4BEE1723" w14:textId="77777777" w:rsidR="00D32B0E" w:rsidRPr="00D32B0E" w:rsidRDefault="00D32B0E" w:rsidP="00D32B0E">
                  <w:pPr>
                    <w:rPr>
                      <w:b/>
                      <w:bCs/>
                    </w:rPr>
                  </w:pPr>
                  <w:r w:rsidRPr="00D32B0E">
                    <w:rPr>
                      <w:b/>
                      <w:bCs/>
                    </w:rPr>
                    <w:t>Cena za M.J.</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07FA8863" w14:textId="77777777" w:rsidR="00D32B0E" w:rsidRPr="00D32B0E" w:rsidRDefault="00D32B0E" w:rsidP="00D32B0E">
                  <w:pPr>
                    <w:rPr>
                      <w:b/>
                      <w:bCs/>
                    </w:rPr>
                  </w:pPr>
                  <w:r w:rsidRPr="00D32B0E">
                    <w:rPr>
                      <w:b/>
                      <w:bCs/>
                    </w:rPr>
                    <w:t>DPH %</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314EFC4E" w14:textId="77777777" w:rsidR="00D32B0E" w:rsidRPr="00D32B0E" w:rsidRDefault="00D32B0E" w:rsidP="00D32B0E">
                  <w:pPr>
                    <w:rPr>
                      <w:b/>
                      <w:bCs/>
                    </w:rPr>
                  </w:pPr>
                  <w:r w:rsidRPr="00D32B0E">
                    <w:rPr>
                      <w:b/>
                      <w:bCs/>
                    </w:rPr>
                    <w:t>Sleva %</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3E321AF9" w14:textId="77777777" w:rsidR="00D32B0E" w:rsidRPr="00D32B0E" w:rsidRDefault="00D32B0E" w:rsidP="00D32B0E">
                  <w:pPr>
                    <w:rPr>
                      <w:b/>
                      <w:bCs/>
                    </w:rPr>
                  </w:pPr>
                  <w:r w:rsidRPr="00D32B0E">
                    <w:rPr>
                      <w:b/>
                      <w:bCs/>
                    </w:rPr>
                    <w:t>Sleva Kč</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234185BF" w14:textId="77777777" w:rsidR="00D32B0E" w:rsidRPr="00D32B0E" w:rsidRDefault="00D32B0E" w:rsidP="00D32B0E">
                  <w:pPr>
                    <w:rPr>
                      <w:b/>
                      <w:bCs/>
                    </w:rPr>
                  </w:pPr>
                  <w:r w:rsidRPr="00D32B0E">
                    <w:rPr>
                      <w:b/>
                      <w:bCs/>
                    </w:rPr>
                    <w:t>Cena bez DPH</w:t>
                  </w:r>
                </w:p>
              </w:tc>
              <w:tc>
                <w:tcPr>
                  <w:tcW w:w="0" w:type="auto"/>
                  <w:tcBorders>
                    <w:top w:val="single" w:sz="12" w:space="0" w:color="000000"/>
                    <w:left w:val="outset" w:sz="6" w:space="0" w:color="auto"/>
                    <w:bottom w:val="single" w:sz="12" w:space="0" w:color="000000"/>
                    <w:right w:val="outset" w:sz="6" w:space="0" w:color="auto"/>
                  </w:tcBorders>
                  <w:tcMar>
                    <w:top w:w="0" w:type="dxa"/>
                    <w:left w:w="0" w:type="dxa"/>
                    <w:bottom w:w="0" w:type="dxa"/>
                    <w:right w:w="0" w:type="dxa"/>
                  </w:tcMar>
                  <w:vAlign w:val="center"/>
                  <w:hideMark/>
                </w:tcPr>
                <w:p w14:paraId="23B4A836" w14:textId="77777777" w:rsidR="00D32B0E" w:rsidRPr="00D32B0E" w:rsidRDefault="00D32B0E" w:rsidP="00D32B0E">
                  <w:pPr>
                    <w:rPr>
                      <w:b/>
                      <w:bCs/>
                    </w:rPr>
                  </w:pPr>
                  <w:r w:rsidRPr="00D32B0E">
                    <w:rPr>
                      <w:b/>
                      <w:bCs/>
                    </w:rPr>
                    <w:t>Cena konečná</w:t>
                  </w:r>
                </w:p>
              </w:tc>
            </w:tr>
            <w:tr w:rsidR="00D32B0E" w:rsidRPr="00D32B0E" w14:paraId="246BC20B" w14:textId="77777777">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7A5C0D" w14:textId="77777777" w:rsidR="00D32B0E" w:rsidRPr="00D32B0E" w:rsidRDefault="00D32B0E" w:rsidP="00D32B0E">
                  <w:r w:rsidRPr="00D32B0E">
                    <w:t>SET TABLETOVÝ SYSTÉM ABNER - THERMOLINE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2A42AD" w14:textId="77777777" w:rsidR="00D32B0E" w:rsidRPr="00D32B0E" w:rsidRDefault="00D32B0E" w:rsidP="00D32B0E">
                  <w:r w:rsidRPr="00D32B0E">
                    <w:t>45 ks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4CCC87" w14:textId="77777777" w:rsidR="00D32B0E" w:rsidRPr="00D32B0E" w:rsidRDefault="00D32B0E" w:rsidP="00D32B0E">
                  <w:r w:rsidRPr="00D32B0E">
                    <w:t>2 380,00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4F1D2C" w14:textId="77777777" w:rsidR="00D32B0E" w:rsidRPr="00D32B0E" w:rsidRDefault="00D32B0E" w:rsidP="00D32B0E">
                  <w:r w:rsidRPr="00D32B0E">
                    <w:t>21,00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1F21CA" w14:textId="77777777" w:rsidR="00D32B0E" w:rsidRPr="00D32B0E" w:rsidRDefault="00D32B0E" w:rsidP="00D32B0E">
                  <w:r w:rsidRPr="00D32B0E">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5FFF26" w14:textId="77777777" w:rsidR="00D32B0E" w:rsidRPr="00D32B0E" w:rsidRDefault="00D32B0E" w:rsidP="00D32B0E">
                  <w:r w:rsidRPr="00D32B0E">
                    <w:t>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CC3A90" w14:textId="77777777" w:rsidR="00D32B0E" w:rsidRPr="00D32B0E" w:rsidRDefault="00D32B0E" w:rsidP="00D32B0E">
                  <w:r w:rsidRPr="00D32B0E">
                    <w:t>107 100,00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EF4D0E" w14:textId="77777777" w:rsidR="00D32B0E" w:rsidRPr="00D32B0E" w:rsidRDefault="00D32B0E" w:rsidP="00D32B0E">
                  <w:r w:rsidRPr="00D32B0E">
                    <w:t>129 591,00</w:t>
                  </w:r>
                </w:p>
              </w:tc>
            </w:tr>
            <w:tr w:rsidR="00D32B0E" w:rsidRPr="00D32B0E" w14:paraId="6047048C" w14:textId="77777777">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FFDD10" w14:textId="77777777" w:rsidR="00D32B0E" w:rsidRPr="00D32B0E" w:rsidRDefault="00D32B0E" w:rsidP="00D32B0E">
                  <w:r w:rsidRPr="00D32B0E">
                    <w:t>DOPRAVA ZDARMA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D08A12" w14:textId="77777777" w:rsidR="00D32B0E" w:rsidRPr="00D32B0E" w:rsidRDefault="00D32B0E" w:rsidP="00D32B0E">
                  <w:r w:rsidRPr="00D32B0E">
                    <w:t>1 ks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4DDDE2" w14:textId="77777777" w:rsidR="00D32B0E" w:rsidRPr="00D32B0E" w:rsidRDefault="00D32B0E" w:rsidP="00D32B0E">
                  <w:r w:rsidRPr="00D32B0E">
                    <w:t>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45FEFD" w14:textId="77777777" w:rsidR="00D32B0E" w:rsidRPr="00D32B0E" w:rsidRDefault="00D32B0E" w:rsidP="00D32B0E">
                  <w:r w:rsidRPr="00D32B0E">
                    <w:t>21,00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543296" w14:textId="77777777" w:rsidR="00D32B0E" w:rsidRPr="00D32B0E" w:rsidRDefault="00D32B0E" w:rsidP="00D32B0E">
                  <w:r w:rsidRPr="00D32B0E">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2575F1" w14:textId="77777777" w:rsidR="00D32B0E" w:rsidRPr="00D32B0E" w:rsidRDefault="00D32B0E" w:rsidP="00D32B0E">
                  <w:r w:rsidRPr="00D32B0E">
                    <w:t>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2A6309" w14:textId="77777777" w:rsidR="00D32B0E" w:rsidRPr="00D32B0E" w:rsidRDefault="00D32B0E" w:rsidP="00D32B0E">
                  <w:r w:rsidRPr="00D32B0E">
                    <w:t>0,00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262ADB" w14:textId="77777777" w:rsidR="00D32B0E" w:rsidRPr="00D32B0E" w:rsidRDefault="00D32B0E" w:rsidP="00D32B0E">
                  <w:r w:rsidRPr="00D32B0E">
                    <w:t>0,00</w:t>
                  </w:r>
                </w:p>
              </w:tc>
            </w:tr>
          </w:tbl>
          <w:p w14:paraId="1F866BC4" w14:textId="77777777" w:rsidR="00D32B0E" w:rsidRPr="00D32B0E" w:rsidRDefault="00D32B0E" w:rsidP="00D32B0E"/>
        </w:tc>
      </w:tr>
      <w:tr w:rsidR="00D32B0E" w:rsidRPr="00D32B0E" w14:paraId="0BB89157" w14:textId="77777777" w:rsidTr="00D32B0E">
        <w:tc>
          <w:tcPr>
            <w:tcW w:w="0" w:type="auto"/>
            <w:tcMar>
              <w:top w:w="0" w:type="dxa"/>
              <w:left w:w="0" w:type="dxa"/>
              <w:bottom w:w="0" w:type="dxa"/>
              <w:right w:w="0" w:type="dxa"/>
            </w:tcMar>
            <w:vAlign w:val="center"/>
            <w:hideMark/>
          </w:tcPr>
          <w:tbl>
            <w:tblPr>
              <w:tblW w:w="9630" w:type="dxa"/>
              <w:tblLook w:val="04A0" w:firstRow="1" w:lastRow="0" w:firstColumn="1" w:lastColumn="0" w:noHBand="0" w:noVBand="1"/>
            </w:tblPr>
            <w:tblGrid>
              <w:gridCol w:w="3116"/>
              <w:gridCol w:w="1368"/>
              <w:gridCol w:w="1782"/>
              <w:gridCol w:w="1582"/>
              <w:gridCol w:w="1782"/>
            </w:tblGrid>
            <w:tr w:rsidR="00D32B0E" w:rsidRPr="00D32B0E" w14:paraId="0460D673" w14:textId="77777777">
              <w:tc>
                <w:tcPr>
                  <w:tcW w:w="0" w:type="auto"/>
                  <w:gridSpan w:val="2"/>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0F365D40" w14:textId="77777777" w:rsidR="00D32B0E" w:rsidRPr="00D32B0E" w:rsidRDefault="00D32B0E" w:rsidP="00D32B0E">
                  <w:pPr>
                    <w:rPr>
                      <w:b/>
                      <w:bCs/>
                    </w:rPr>
                  </w:pPr>
                  <w:r w:rsidRPr="00D32B0E">
                    <w:rPr>
                      <w:b/>
                      <w:bCs/>
                    </w:rPr>
                    <w:t>Rozpis částek po odpočtu</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33A41DFF" w14:textId="77777777" w:rsidR="00D32B0E" w:rsidRPr="00D32B0E" w:rsidRDefault="00D32B0E" w:rsidP="00D32B0E">
                  <w:pPr>
                    <w:rPr>
                      <w:b/>
                      <w:bCs/>
                    </w:rPr>
                  </w:pPr>
                  <w:r w:rsidRPr="00D32B0E">
                    <w:rPr>
                      <w:b/>
                      <w:bCs/>
                    </w:rPr>
                    <w:t>Základ</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3A1F7D87" w14:textId="77777777" w:rsidR="00D32B0E" w:rsidRPr="00D32B0E" w:rsidRDefault="00D32B0E" w:rsidP="00D32B0E">
                  <w:pPr>
                    <w:rPr>
                      <w:b/>
                      <w:bCs/>
                    </w:rPr>
                  </w:pPr>
                  <w:r w:rsidRPr="00D32B0E">
                    <w:rPr>
                      <w:b/>
                      <w:bCs/>
                    </w:rPr>
                    <w:t>Výše DPH</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651F7F3B" w14:textId="77777777" w:rsidR="00D32B0E" w:rsidRPr="00D32B0E" w:rsidRDefault="00D32B0E" w:rsidP="00D32B0E">
                  <w:pPr>
                    <w:rPr>
                      <w:b/>
                      <w:bCs/>
                    </w:rPr>
                  </w:pPr>
                  <w:r w:rsidRPr="00D32B0E">
                    <w:rPr>
                      <w:b/>
                      <w:bCs/>
                    </w:rPr>
                    <w:t>Celkem</w:t>
                  </w:r>
                </w:p>
              </w:tc>
            </w:tr>
            <w:tr w:rsidR="00D32B0E" w:rsidRPr="00D32B0E" w14:paraId="35BED174" w14:textId="77777777">
              <w:tc>
                <w:tcPr>
                  <w:tcW w:w="0" w:type="auto"/>
                  <w:tcMar>
                    <w:top w:w="0" w:type="dxa"/>
                    <w:left w:w="0" w:type="dxa"/>
                    <w:bottom w:w="0" w:type="dxa"/>
                    <w:right w:w="0" w:type="dxa"/>
                  </w:tcMar>
                  <w:vAlign w:val="center"/>
                  <w:hideMark/>
                </w:tcPr>
                <w:p w14:paraId="120FAF5B" w14:textId="77777777" w:rsidR="00D32B0E" w:rsidRPr="00D32B0E" w:rsidRDefault="00D32B0E" w:rsidP="00D32B0E">
                  <w:r w:rsidRPr="00D32B0E">
                    <w:t>Nulová sazba</w:t>
                  </w:r>
                </w:p>
              </w:tc>
              <w:tc>
                <w:tcPr>
                  <w:tcW w:w="0" w:type="auto"/>
                  <w:tcMar>
                    <w:top w:w="0" w:type="dxa"/>
                    <w:left w:w="0" w:type="dxa"/>
                    <w:bottom w:w="0" w:type="dxa"/>
                    <w:right w:w="0" w:type="dxa"/>
                  </w:tcMar>
                  <w:vAlign w:val="center"/>
                  <w:hideMark/>
                </w:tcPr>
                <w:p w14:paraId="7EC6E4A9" w14:textId="77777777" w:rsidR="00D32B0E" w:rsidRPr="00D32B0E" w:rsidRDefault="00D32B0E" w:rsidP="00D32B0E">
                  <w:r w:rsidRPr="00D32B0E">
                    <w:t>0,00 %:</w:t>
                  </w:r>
                </w:p>
              </w:tc>
              <w:tc>
                <w:tcPr>
                  <w:tcW w:w="0" w:type="auto"/>
                  <w:tcMar>
                    <w:top w:w="0" w:type="dxa"/>
                    <w:left w:w="0" w:type="dxa"/>
                    <w:bottom w:w="0" w:type="dxa"/>
                    <w:right w:w="0" w:type="dxa"/>
                  </w:tcMar>
                  <w:vAlign w:val="center"/>
                  <w:hideMark/>
                </w:tcPr>
                <w:p w14:paraId="2F3F26D9" w14:textId="77777777" w:rsidR="00D32B0E" w:rsidRPr="00D32B0E" w:rsidRDefault="00D32B0E" w:rsidP="00D32B0E">
                  <w:r w:rsidRPr="00D32B0E">
                    <w:t>0,00</w:t>
                  </w:r>
                </w:p>
              </w:tc>
              <w:tc>
                <w:tcPr>
                  <w:tcW w:w="0" w:type="auto"/>
                  <w:tcMar>
                    <w:top w:w="0" w:type="dxa"/>
                    <w:left w:w="0" w:type="dxa"/>
                    <w:bottom w:w="0" w:type="dxa"/>
                    <w:right w:w="0" w:type="dxa"/>
                  </w:tcMar>
                  <w:vAlign w:val="center"/>
                  <w:hideMark/>
                </w:tcPr>
                <w:p w14:paraId="24C22BA0" w14:textId="77777777" w:rsidR="00D32B0E" w:rsidRPr="00D32B0E" w:rsidRDefault="00D32B0E" w:rsidP="00D32B0E">
                  <w:r w:rsidRPr="00D32B0E">
                    <w:t>0,00</w:t>
                  </w:r>
                </w:p>
              </w:tc>
              <w:tc>
                <w:tcPr>
                  <w:tcW w:w="0" w:type="auto"/>
                  <w:tcMar>
                    <w:top w:w="0" w:type="dxa"/>
                    <w:left w:w="0" w:type="dxa"/>
                    <w:bottom w:w="0" w:type="dxa"/>
                    <w:right w:w="0" w:type="dxa"/>
                  </w:tcMar>
                  <w:vAlign w:val="center"/>
                  <w:hideMark/>
                </w:tcPr>
                <w:p w14:paraId="481055F7" w14:textId="77777777" w:rsidR="00D32B0E" w:rsidRPr="00D32B0E" w:rsidRDefault="00D32B0E" w:rsidP="00D32B0E">
                  <w:r w:rsidRPr="00D32B0E">
                    <w:t>0,00</w:t>
                  </w:r>
                </w:p>
              </w:tc>
            </w:tr>
            <w:tr w:rsidR="00D32B0E" w:rsidRPr="00D32B0E" w14:paraId="5A242585" w14:textId="77777777">
              <w:tc>
                <w:tcPr>
                  <w:tcW w:w="0" w:type="auto"/>
                  <w:tcMar>
                    <w:top w:w="0" w:type="dxa"/>
                    <w:left w:w="0" w:type="dxa"/>
                    <w:bottom w:w="0" w:type="dxa"/>
                    <w:right w:w="0" w:type="dxa"/>
                  </w:tcMar>
                  <w:vAlign w:val="center"/>
                  <w:hideMark/>
                </w:tcPr>
                <w:p w14:paraId="7476181E" w14:textId="45AC31F7" w:rsidR="00D32B0E" w:rsidRPr="00D32B0E" w:rsidRDefault="00D32B0E" w:rsidP="00D32B0E">
                  <w:r w:rsidRPr="00D32B0E">
                    <w:t>Sn</w:t>
                  </w:r>
                  <w:r w:rsidR="00DC5D39">
                    <w:t>í</w:t>
                  </w:r>
                  <w:r w:rsidRPr="00D32B0E">
                    <w:t>žená sazba-2012</w:t>
                  </w:r>
                </w:p>
              </w:tc>
              <w:tc>
                <w:tcPr>
                  <w:tcW w:w="0" w:type="auto"/>
                  <w:tcMar>
                    <w:top w:w="0" w:type="dxa"/>
                    <w:left w:w="0" w:type="dxa"/>
                    <w:bottom w:w="0" w:type="dxa"/>
                    <w:right w:w="0" w:type="dxa"/>
                  </w:tcMar>
                  <w:vAlign w:val="center"/>
                  <w:hideMark/>
                </w:tcPr>
                <w:p w14:paraId="718833F3" w14:textId="77777777" w:rsidR="00D32B0E" w:rsidRPr="00D32B0E" w:rsidRDefault="00D32B0E" w:rsidP="00D32B0E">
                  <w:r w:rsidRPr="00D32B0E">
                    <w:t>15,00 %:</w:t>
                  </w:r>
                </w:p>
              </w:tc>
              <w:tc>
                <w:tcPr>
                  <w:tcW w:w="0" w:type="auto"/>
                  <w:tcMar>
                    <w:top w:w="0" w:type="dxa"/>
                    <w:left w:w="0" w:type="dxa"/>
                    <w:bottom w:w="0" w:type="dxa"/>
                    <w:right w:w="0" w:type="dxa"/>
                  </w:tcMar>
                  <w:vAlign w:val="center"/>
                  <w:hideMark/>
                </w:tcPr>
                <w:p w14:paraId="113DF7A1" w14:textId="77777777" w:rsidR="00D32B0E" w:rsidRPr="00D32B0E" w:rsidRDefault="00D32B0E" w:rsidP="00D32B0E">
                  <w:r w:rsidRPr="00D32B0E">
                    <w:t>0,00</w:t>
                  </w:r>
                </w:p>
              </w:tc>
              <w:tc>
                <w:tcPr>
                  <w:tcW w:w="0" w:type="auto"/>
                  <w:tcMar>
                    <w:top w:w="0" w:type="dxa"/>
                    <w:left w:w="0" w:type="dxa"/>
                    <w:bottom w:w="0" w:type="dxa"/>
                    <w:right w:w="0" w:type="dxa"/>
                  </w:tcMar>
                  <w:vAlign w:val="center"/>
                  <w:hideMark/>
                </w:tcPr>
                <w:p w14:paraId="115182D4" w14:textId="77777777" w:rsidR="00D32B0E" w:rsidRPr="00D32B0E" w:rsidRDefault="00D32B0E" w:rsidP="00D32B0E">
                  <w:r w:rsidRPr="00D32B0E">
                    <w:t>0,00</w:t>
                  </w:r>
                </w:p>
              </w:tc>
              <w:tc>
                <w:tcPr>
                  <w:tcW w:w="0" w:type="auto"/>
                  <w:tcMar>
                    <w:top w:w="0" w:type="dxa"/>
                    <w:left w:w="0" w:type="dxa"/>
                    <w:bottom w:w="0" w:type="dxa"/>
                    <w:right w:w="0" w:type="dxa"/>
                  </w:tcMar>
                  <w:vAlign w:val="center"/>
                  <w:hideMark/>
                </w:tcPr>
                <w:p w14:paraId="7F14C059" w14:textId="77777777" w:rsidR="00D32B0E" w:rsidRPr="00D32B0E" w:rsidRDefault="00D32B0E" w:rsidP="00D32B0E">
                  <w:r w:rsidRPr="00D32B0E">
                    <w:t>0,00</w:t>
                  </w:r>
                </w:p>
              </w:tc>
            </w:tr>
            <w:tr w:rsidR="00D32B0E" w:rsidRPr="00D32B0E" w14:paraId="1D71ED6D" w14:textId="77777777">
              <w:tc>
                <w:tcPr>
                  <w:tcW w:w="0" w:type="auto"/>
                  <w:tcMar>
                    <w:top w:w="0" w:type="dxa"/>
                    <w:left w:w="0" w:type="dxa"/>
                    <w:bottom w:w="0" w:type="dxa"/>
                    <w:right w:w="0" w:type="dxa"/>
                  </w:tcMar>
                  <w:vAlign w:val="center"/>
                  <w:hideMark/>
                </w:tcPr>
                <w:p w14:paraId="37C03DA7" w14:textId="77777777" w:rsidR="00D32B0E" w:rsidRPr="00D32B0E" w:rsidRDefault="00D32B0E" w:rsidP="00D32B0E">
                  <w:r w:rsidRPr="00D32B0E">
                    <w:t>Základní sazba</w:t>
                  </w:r>
                </w:p>
              </w:tc>
              <w:tc>
                <w:tcPr>
                  <w:tcW w:w="0" w:type="auto"/>
                  <w:tcMar>
                    <w:top w:w="0" w:type="dxa"/>
                    <w:left w:w="0" w:type="dxa"/>
                    <w:bottom w:w="0" w:type="dxa"/>
                    <w:right w:w="0" w:type="dxa"/>
                  </w:tcMar>
                  <w:vAlign w:val="center"/>
                  <w:hideMark/>
                </w:tcPr>
                <w:p w14:paraId="6509FD71" w14:textId="77777777" w:rsidR="00D32B0E" w:rsidRPr="00D32B0E" w:rsidRDefault="00D32B0E" w:rsidP="00D32B0E">
                  <w:r w:rsidRPr="00D32B0E">
                    <w:t>21,00 %:</w:t>
                  </w:r>
                </w:p>
              </w:tc>
              <w:tc>
                <w:tcPr>
                  <w:tcW w:w="0" w:type="auto"/>
                  <w:tcMar>
                    <w:top w:w="0" w:type="dxa"/>
                    <w:left w:w="0" w:type="dxa"/>
                    <w:bottom w:w="0" w:type="dxa"/>
                    <w:right w:w="0" w:type="dxa"/>
                  </w:tcMar>
                  <w:vAlign w:val="center"/>
                  <w:hideMark/>
                </w:tcPr>
                <w:p w14:paraId="4B4CC6B8" w14:textId="77777777" w:rsidR="00D32B0E" w:rsidRPr="00D32B0E" w:rsidRDefault="00D32B0E" w:rsidP="00D32B0E">
                  <w:r w:rsidRPr="00D32B0E">
                    <w:t>107 100,00</w:t>
                  </w:r>
                </w:p>
              </w:tc>
              <w:tc>
                <w:tcPr>
                  <w:tcW w:w="0" w:type="auto"/>
                  <w:tcMar>
                    <w:top w:w="0" w:type="dxa"/>
                    <w:left w:w="0" w:type="dxa"/>
                    <w:bottom w:w="0" w:type="dxa"/>
                    <w:right w:w="0" w:type="dxa"/>
                  </w:tcMar>
                  <w:vAlign w:val="center"/>
                  <w:hideMark/>
                </w:tcPr>
                <w:p w14:paraId="5B70658C" w14:textId="77777777" w:rsidR="00D32B0E" w:rsidRPr="00D32B0E" w:rsidRDefault="00D32B0E" w:rsidP="00D32B0E">
                  <w:r w:rsidRPr="00D32B0E">
                    <w:t>22 491,00</w:t>
                  </w:r>
                </w:p>
              </w:tc>
              <w:tc>
                <w:tcPr>
                  <w:tcW w:w="0" w:type="auto"/>
                  <w:tcMar>
                    <w:top w:w="0" w:type="dxa"/>
                    <w:left w:w="0" w:type="dxa"/>
                    <w:bottom w:w="0" w:type="dxa"/>
                    <w:right w:w="0" w:type="dxa"/>
                  </w:tcMar>
                  <w:vAlign w:val="center"/>
                  <w:hideMark/>
                </w:tcPr>
                <w:p w14:paraId="01F48A7F" w14:textId="77777777" w:rsidR="00D32B0E" w:rsidRPr="00D32B0E" w:rsidRDefault="00D32B0E" w:rsidP="00D32B0E">
                  <w:r w:rsidRPr="00D32B0E">
                    <w:t>129 591,00</w:t>
                  </w:r>
                </w:p>
              </w:tc>
            </w:tr>
            <w:tr w:rsidR="00D32B0E" w:rsidRPr="00D32B0E" w14:paraId="5D08BEDC" w14:textId="77777777">
              <w:tc>
                <w:tcPr>
                  <w:tcW w:w="0" w:type="auto"/>
                  <w:gridSpan w:val="2"/>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36AE266C" w14:textId="77777777" w:rsidR="00D32B0E" w:rsidRPr="00D32B0E" w:rsidRDefault="00D32B0E" w:rsidP="00D32B0E">
                  <w:pPr>
                    <w:rPr>
                      <w:b/>
                      <w:bCs/>
                    </w:rPr>
                  </w:pPr>
                  <w:r w:rsidRPr="00D32B0E">
                    <w:rPr>
                      <w:b/>
                      <w:bCs/>
                    </w:rPr>
                    <w:t>Celkem ke zdanění:</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5204D413" w14:textId="77777777" w:rsidR="00D32B0E" w:rsidRPr="00D32B0E" w:rsidRDefault="00D32B0E" w:rsidP="00D32B0E">
                  <w:pPr>
                    <w:rPr>
                      <w:b/>
                      <w:bCs/>
                    </w:rPr>
                  </w:pPr>
                  <w:r w:rsidRPr="00D32B0E">
                    <w:rPr>
                      <w:b/>
                      <w:bCs/>
                    </w:rPr>
                    <w:t>107 100,00</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1E48CAC0" w14:textId="77777777" w:rsidR="00D32B0E" w:rsidRPr="00D32B0E" w:rsidRDefault="00D32B0E" w:rsidP="00D32B0E">
                  <w:pPr>
                    <w:rPr>
                      <w:b/>
                      <w:bCs/>
                    </w:rPr>
                  </w:pPr>
                  <w:r w:rsidRPr="00D32B0E">
                    <w:rPr>
                      <w:b/>
                      <w:bCs/>
                    </w:rPr>
                    <w:t>22 491,00</w:t>
                  </w:r>
                </w:p>
              </w:tc>
              <w:tc>
                <w:tcPr>
                  <w:tcW w:w="0" w:type="auto"/>
                  <w:tcBorders>
                    <w:top w:val="single" w:sz="12" w:space="0" w:color="000000"/>
                    <w:left w:val="nil"/>
                    <w:bottom w:val="single" w:sz="12" w:space="0" w:color="000000"/>
                    <w:right w:val="nil"/>
                  </w:tcBorders>
                  <w:tcMar>
                    <w:top w:w="0" w:type="dxa"/>
                    <w:left w:w="0" w:type="dxa"/>
                    <w:bottom w:w="0" w:type="dxa"/>
                    <w:right w:w="0" w:type="dxa"/>
                  </w:tcMar>
                  <w:vAlign w:val="center"/>
                  <w:hideMark/>
                </w:tcPr>
                <w:p w14:paraId="6996E62A" w14:textId="77777777" w:rsidR="00D32B0E" w:rsidRPr="00D32B0E" w:rsidRDefault="00D32B0E" w:rsidP="00D32B0E">
                  <w:pPr>
                    <w:rPr>
                      <w:b/>
                      <w:bCs/>
                    </w:rPr>
                  </w:pPr>
                  <w:r w:rsidRPr="00D32B0E">
                    <w:rPr>
                      <w:b/>
                      <w:bCs/>
                    </w:rPr>
                    <w:t>129 591,00</w:t>
                  </w:r>
                </w:p>
              </w:tc>
            </w:tr>
          </w:tbl>
          <w:p w14:paraId="338EE373" w14:textId="77777777" w:rsidR="00D32B0E" w:rsidRPr="00D32B0E" w:rsidRDefault="00D32B0E" w:rsidP="00D32B0E"/>
        </w:tc>
      </w:tr>
      <w:tr w:rsidR="00D32B0E" w:rsidRPr="00D32B0E" w14:paraId="7190D74B" w14:textId="77777777" w:rsidTr="00D32B0E">
        <w:tc>
          <w:tcPr>
            <w:tcW w:w="0" w:type="auto"/>
            <w:tcMar>
              <w:top w:w="0" w:type="dxa"/>
              <w:left w:w="0" w:type="dxa"/>
              <w:bottom w:w="0" w:type="dxa"/>
              <w:right w:w="0" w:type="dxa"/>
            </w:tcMar>
            <w:vAlign w:val="center"/>
            <w:hideMark/>
          </w:tcPr>
          <w:p w14:paraId="410B8241" w14:textId="77777777" w:rsidR="00D32B0E" w:rsidRPr="00D32B0E" w:rsidRDefault="00D32B0E" w:rsidP="00D32B0E">
            <w:pPr>
              <w:rPr>
                <w:b/>
                <w:bCs/>
              </w:rPr>
            </w:pPr>
            <w:r w:rsidRPr="00D32B0E">
              <w:rPr>
                <w:b/>
                <w:bCs/>
              </w:rPr>
              <w:t>Specifikace objednávky</w:t>
            </w:r>
          </w:p>
        </w:tc>
      </w:tr>
      <w:tr w:rsidR="00D32B0E" w:rsidRPr="00D32B0E" w14:paraId="6956992E" w14:textId="77777777" w:rsidTr="00D32B0E">
        <w:tc>
          <w:tcPr>
            <w:tcW w:w="0" w:type="auto"/>
            <w:tcMar>
              <w:top w:w="0" w:type="dxa"/>
              <w:left w:w="0" w:type="dxa"/>
              <w:bottom w:w="0" w:type="dxa"/>
              <w:right w:w="0" w:type="dxa"/>
            </w:tcMar>
            <w:vAlign w:val="center"/>
            <w:hideMark/>
          </w:tcPr>
          <w:p w14:paraId="458062AE" w14:textId="77777777" w:rsidR="00D32B0E" w:rsidRPr="00D32B0E" w:rsidRDefault="00D32B0E" w:rsidP="00D32B0E">
            <w:r w:rsidRPr="00D32B0E">
              <w:t>TERMÍN DODÁNÍ DO 4 TÝDNŮ OD ZÁVAZNÉ OBJEDNÁVKY. ZÁRUKA 24 MĚSÍCŮ. PLATEBNÍ PODMÍNKY: SPLATNOST FAKTURY 14 DNÍ.</w:t>
            </w:r>
          </w:p>
        </w:tc>
      </w:tr>
    </w:tbl>
    <w:p w14:paraId="2EBC489F" w14:textId="77777777" w:rsidR="00AD0926" w:rsidRDefault="00AD0926"/>
    <w:sectPr w:rsidR="00AD0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578" w:hanging="360"/>
      </w:pPr>
      <w:rPr>
        <w:b w:val="0"/>
      </w:rPr>
    </w:lvl>
  </w:abstractNum>
  <w:abstractNum w:abstractNumId="3" w15:restartNumberingAfterBreak="0">
    <w:nsid w:val="00000005"/>
    <w:multiLevelType w:val="multilevel"/>
    <w:tmpl w:val="BC963C56"/>
    <w:name w:val="WW8Num6"/>
    <w:lvl w:ilvl="0">
      <w:start w:val="1"/>
      <w:numFmt w:val="decimal"/>
      <w:lvlText w:val="%1."/>
      <w:lvlJc w:val="left"/>
      <w:pPr>
        <w:tabs>
          <w:tab w:val="num" w:pos="644"/>
        </w:tabs>
        <w:ind w:left="644" w:hanging="360"/>
      </w:pPr>
      <w:rPr>
        <w:b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15:restartNumberingAfterBreak="0">
    <w:nsid w:val="00000006"/>
    <w:multiLevelType w:val="singleLevel"/>
    <w:tmpl w:val="AA9001CC"/>
    <w:name w:val="WW8Num7"/>
    <w:lvl w:ilvl="0">
      <w:start w:val="1"/>
      <w:numFmt w:val="decimal"/>
      <w:lvlText w:val="%1."/>
      <w:lvlJc w:val="left"/>
      <w:pPr>
        <w:tabs>
          <w:tab w:val="num" w:pos="0"/>
        </w:tabs>
        <w:ind w:left="1004" w:hanging="360"/>
      </w:pPr>
      <w:rPr>
        <w:color w:val="auto"/>
      </w:rPr>
    </w:lvl>
  </w:abstractNum>
  <w:abstractNum w:abstractNumId="5" w15:restartNumberingAfterBreak="0">
    <w:nsid w:val="00000007"/>
    <w:multiLevelType w:val="singleLevel"/>
    <w:tmpl w:val="00000007"/>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80465F54"/>
    <w:name w:val="WW8Num13"/>
    <w:lvl w:ilvl="0">
      <w:start w:val="1"/>
      <w:numFmt w:val="decimal"/>
      <w:lvlText w:val="%1."/>
      <w:lvlJc w:val="left"/>
      <w:pPr>
        <w:tabs>
          <w:tab w:val="num" w:pos="0"/>
        </w:tabs>
        <w:ind w:left="578" w:hanging="360"/>
      </w:pPr>
      <w:rPr>
        <w:strike w:val="0"/>
        <w:dstrike w:val="0"/>
        <w:color w:val="000000" w:themeColor="text1"/>
        <w:u w:val="none"/>
        <w:effect w:val="none"/>
      </w:rPr>
    </w:lvl>
  </w:abstractNum>
  <w:abstractNum w:abstractNumId="7" w15:restartNumberingAfterBreak="0">
    <w:nsid w:val="2A4F58B0"/>
    <w:multiLevelType w:val="hybridMultilevel"/>
    <w:tmpl w:val="1012E298"/>
    <w:lvl w:ilvl="0" w:tplc="884AFFE8">
      <w:start w:val="1"/>
      <w:numFmt w:val="decimal"/>
      <w:lvlText w:val="%1."/>
      <w:lvlJc w:val="left"/>
      <w:pPr>
        <w:tabs>
          <w:tab w:val="num" w:pos="0"/>
        </w:tabs>
        <w:ind w:left="1004"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4DB6116"/>
    <w:multiLevelType w:val="hybridMultilevel"/>
    <w:tmpl w:val="9CC0F17E"/>
    <w:name w:val="WW8Num1122"/>
    <w:lvl w:ilvl="0" w:tplc="0000000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8B22747"/>
    <w:multiLevelType w:val="hybridMultilevel"/>
    <w:tmpl w:val="0DBE8E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lvlOverride w:ilvl="0">
      <w:startOverride w:val="1"/>
    </w:lvlOverride>
  </w:num>
  <w:num w:numId="2">
    <w:abstractNumId w:val="0"/>
    <w:lvlOverride w:ilvl="0">
      <w:startOverride w:val="1"/>
    </w:lvlOverride>
  </w:num>
  <w:num w:numId="3">
    <w:abstractNumId w:val="2"/>
    <w:lvlOverride w:ilvl="0">
      <w:startOverride w:val="1"/>
    </w:lvlOverride>
  </w:num>
  <w:num w:numId="4">
    <w:abstractNumId w:val="4"/>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0E"/>
    <w:rsid w:val="000C78D4"/>
    <w:rsid w:val="0027343D"/>
    <w:rsid w:val="003C4C20"/>
    <w:rsid w:val="003D6B3F"/>
    <w:rsid w:val="00413C4D"/>
    <w:rsid w:val="004E4A44"/>
    <w:rsid w:val="005B172E"/>
    <w:rsid w:val="005E080F"/>
    <w:rsid w:val="00621F30"/>
    <w:rsid w:val="00695432"/>
    <w:rsid w:val="008063DE"/>
    <w:rsid w:val="00AA7FE3"/>
    <w:rsid w:val="00AD0926"/>
    <w:rsid w:val="00B63799"/>
    <w:rsid w:val="00BD2525"/>
    <w:rsid w:val="00D32B0E"/>
    <w:rsid w:val="00DC5D39"/>
    <w:rsid w:val="00DF20C4"/>
    <w:rsid w:val="00E83047"/>
    <w:rsid w:val="00E92DC7"/>
    <w:rsid w:val="00F4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6241"/>
  <w15:chartTrackingRefBased/>
  <w15:docId w15:val="{835F8692-4D27-45B4-9058-139A84AF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08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3052</Words>
  <Characters>18008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Hrdličková</dc:creator>
  <cp:keywords/>
  <dc:description/>
  <cp:lastModifiedBy>hospodarka</cp:lastModifiedBy>
  <cp:revision>6</cp:revision>
  <cp:lastPrinted>2018-12-11T13:11:00Z</cp:lastPrinted>
  <dcterms:created xsi:type="dcterms:W3CDTF">2018-12-11T12:41:00Z</dcterms:created>
  <dcterms:modified xsi:type="dcterms:W3CDTF">2018-12-11T13:23:00Z</dcterms:modified>
</cp:coreProperties>
</file>