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23" w:rsidRPr="004B046B" w:rsidRDefault="00302623" w:rsidP="004B046B">
      <w:pPr>
        <w:spacing w:after="0"/>
        <w:rPr>
          <w:bCs/>
        </w:rPr>
      </w:pPr>
      <w:r>
        <w:rPr>
          <w:b/>
          <w:bCs/>
        </w:rPr>
        <w:t>BRNĚNSKÉ VODÁRNY A KANALIZACE</w:t>
      </w:r>
      <w:r w:rsidR="004B046B">
        <w:rPr>
          <w:b/>
          <w:bCs/>
        </w:rPr>
        <w:t xml:space="preserve">, a.s., </w:t>
      </w:r>
      <w:r w:rsidR="004B046B" w:rsidRPr="004B046B">
        <w:rPr>
          <w:bCs/>
        </w:rPr>
        <w:t>Pisárecká 555/</w:t>
      </w:r>
      <w:proofErr w:type="gramStart"/>
      <w:r w:rsidR="004B046B" w:rsidRPr="004B046B">
        <w:rPr>
          <w:bCs/>
        </w:rPr>
        <w:t>1a</w:t>
      </w:r>
      <w:proofErr w:type="gramEnd"/>
      <w:r w:rsidR="004B046B" w:rsidRPr="004B046B">
        <w:rPr>
          <w:bCs/>
        </w:rPr>
        <w:t>, 603 00 Brno – Pisárky</w:t>
      </w:r>
    </w:p>
    <w:p w:rsidR="004B046B" w:rsidRPr="004B046B" w:rsidRDefault="004B046B" w:rsidP="004B046B">
      <w:pPr>
        <w:spacing w:after="0"/>
        <w:rPr>
          <w:bCs/>
        </w:rPr>
      </w:pPr>
      <w:r w:rsidRPr="004B046B">
        <w:rPr>
          <w:bCs/>
        </w:rPr>
        <w:t>Zapsané v obchodním rejstříku u Krajského soudu v Brně, oddíl B, vložka 783</w:t>
      </w:r>
    </w:p>
    <w:p w:rsidR="004B046B" w:rsidRDefault="004B046B" w:rsidP="004B046B">
      <w:pPr>
        <w:spacing w:after="0"/>
        <w:rPr>
          <w:b/>
          <w:bCs/>
        </w:rPr>
      </w:pPr>
      <w:r w:rsidRPr="004B046B">
        <w:rPr>
          <w:bCs/>
        </w:rPr>
        <w:t>IČ:</w:t>
      </w:r>
      <w:r>
        <w:rPr>
          <w:b/>
          <w:bCs/>
        </w:rPr>
        <w:t xml:space="preserve"> 463 47 275</w:t>
      </w:r>
    </w:p>
    <w:p w:rsidR="004B046B" w:rsidRDefault="004B046B" w:rsidP="00302623">
      <w:pPr>
        <w:rPr>
          <w:b/>
          <w:bCs/>
        </w:rPr>
      </w:pPr>
      <w:r w:rsidRPr="007F0786">
        <w:rPr>
          <w:bCs/>
        </w:rPr>
        <w:t>DIČ:</w:t>
      </w:r>
      <w:r>
        <w:rPr>
          <w:b/>
          <w:bCs/>
        </w:rPr>
        <w:t xml:space="preserve"> CZ46347275</w:t>
      </w:r>
    </w:p>
    <w:p w:rsidR="00302623" w:rsidRDefault="00302623" w:rsidP="00302623">
      <w:pPr>
        <w:rPr>
          <w:b/>
          <w:bCs/>
        </w:rPr>
      </w:pPr>
    </w:p>
    <w:p w:rsidR="00302623" w:rsidRPr="00302623" w:rsidRDefault="00302623" w:rsidP="00302623">
      <w:r w:rsidRPr="00302623">
        <w:rPr>
          <w:b/>
          <w:bCs/>
        </w:rPr>
        <w:t>Vodné a stočné v městě Brně</w:t>
      </w:r>
      <w:r w:rsidRPr="00302623">
        <w:t> </w:t>
      </w:r>
    </w:p>
    <w:tbl>
      <w:tblPr>
        <w:tblW w:w="825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2"/>
        <w:gridCol w:w="1193"/>
        <w:gridCol w:w="1056"/>
        <w:gridCol w:w="1119"/>
      </w:tblGrid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Obyvatelstvo i ostatní uživatelé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celkem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vodné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stočné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44,68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20,90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23,78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46,91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21,88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25,03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48,79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22,77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26,02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49,98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23,32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26,66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49,98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23,32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26,66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53,97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25,18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28,79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56,68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26,45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30,23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57,20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26,70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30,50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60,17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28,06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32,11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64,30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29,99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34,31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67,61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31,40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36,21</w:t>
            </w:r>
          </w:p>
        </w:tc>
        <w:bookmarkStart w:id="0" w:name="_GoBack"/>
        <w:bookmarkEnd w:id="0"/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70,94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33,73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37,21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74,46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36,10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38,36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75,14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36,78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38,36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75,74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37,08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38,66</w:t>
            </w:r>
          </w:p>
        </w:tc>
      </w:tr>
      <w:tr w:rsidR="00302623" w:rsidRPr="00302623" w:rsidTr="00302623">
        <w:trPr>
          <w:tblCellSpacing w:w="7" w:type="dxa"/>
        </w:trPr>
        <w:tc>
          <w:tcPr>
            <w:tcW w:w="0" w:type="auto"/>
            <w:shd w:val="clear" w:color="auto" w:fill="E8F3F9"/>
            <w:vAlign w:val="center"/>
            <w:hideMark/>
          </w:tcPr>
          <w:p w:rsidR="00302623" w:rsidRPr="00302623" w:rsidRDefault="00302623" w:rsidP="00302623">
            <w:r w:rsidRPr="00302623">
              <w:rPr>
                <w:b/>
                <w:bCs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75,74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37,08</w:t>
            </w:r>
          </w:p>
        </w:tc>
        <w:tc>
          <w:tcPr>
            <w:tcW w:w="0" w:type="auto"/>
            <w:vAlign w:val="center"/>
            <w:hideMark/>
          </w:tcPr>
          <w:p w:rsidR="00302623" w:rsidRPr="00302623" w:rsidRDefault="00302623" w:rsidP="00302623">
            <w:r w:rsidRPr="00302623">
              <w:t>38,66</w:t>
            </w:r>
          </w:p>
        </w:tc>
      </w:tr>
      <w:tr w:rsidR="00302623" w:rsidRPr="00302623" w:rsidTr="007F0786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F3F9"/>
            <w:vAlign w:val="center"/>
            <w:hideMark/>
          </w:tcPr>
          <w:p w:rsidR="00302623" w:rsidRPr="00302623" w:rsidRDefault="00302623" w:rsidP="00302623">
            <w:pPr>
              <w:rPr>
                <w:b/>
              </w:rPr>
            </w:pPr>
            <w:r w:rsidRPr="00302623">
              <w:rPr>
                <w:b/>
                <w:bCs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02623" w:rsidRPr="00302623" w:rsidRDefault="00302623" w:rsidP="00302623">
            <w:pPr>
              <w:rPr>
                <w:b/>
              </w:rPr>
            </w:pPr>
            <w:r w:rsidRPr="00302623">
              <w:rPr>
                <w:b/>
              </w:rPr>
              <w:t>79,53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02623" w:rsidRPr="00302623" w:rsidRDefault="00302623" w:rsidP="00302623">
            <w:pPr>
              <w:rPr>
                <w:b/>
              </w:rPr>
            </w:pPr>
            <w:r w:rsidRPr="00302623">
              <w:rPr>
                <w:b/>
              </w:rPr>
              <w:t>38,80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3" w:rsidRPr="00302623" w:rsidRDefault="00302623" w:rsidP="00302623">
            <w:pPr>
              <w:rPr>
                <w:b/>
              </w:rPr>
            </w:pPr>
            <w:r w:rsidRPr="00302623">
              <w:rPr>
                <w:b/>
              </w:rPr>
              <w:t>40,73</w:t>
            </w:r>
          </w:p>
        </w:tc>
      </w:tr>
    </w:tbl>
    <w:p w:rsidR="00302623" w:rsidRPr="00302623" w:rsidRDefault="00302623" w:rsidP="00302623">
      <w:r w:rsidRPr="00302623">
        <w:t> Ceny jsou v Kč/m</w:t>
      </w:r>
      <w:r w:rsidRPr="00302623">
        <w:rPr>
          <w:vertAlign w:val="superscript"/>
        </w:rPr>
        <w:t>3</w:t>
      </w:r>
      <w:r w:rsidRPr="00302623">
        <w:t xml:space="preserve"> včetně DPH.</w:t>
      </w:r>
    </w:p>
    <w:p w:rsidR="00652260" w:rsidRDefault="00652260"/>
    <w:p w:rsidR="00302623" w:rsidRDefault="00302623">
      <w:r>
        <w:t xml:space="preserve">STAŽENO Z WEBOVÝCH STRÁNEK </w:t>
      </w:r>
      <w:proofErr w:type="spellStart"/>
      <w:r>
        <w:t>BVaK</w:t>
      </w:r>
      <w:proofErr w:type="spellEnd"/>
      <w:r>
        <w:t xml:space="preserve"> dne 7. 12. 2018</w:t>
      </w:r>
    </w:p>
    <w:p w:rsidR="004B046B" w:rsidRDefault="004B046B">
      <w:r>
        <w:t>Ing. Josef Jánský</w:t>
      </w:r>
    </w:p>
    <w:sectPr w:rsidR="004B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23"/>
    <w:rsid w:val="00302623"/>
    <w:rsid w:val="004B046B"/>
    <w:rsid w:val="00652260"/>
    <w:rsid w:val="007F0786"/>
    <w:rsid w:val="00960F7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00FC"/>
  <w15:chartTrackingRefBased/>
  <w15:docId w15:val="{5B456603-B1CA-4168-9210-7EF5F851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03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0536">
                      <w:marLeft w:val="45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60167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1</cp:revision>
  <cp:lastPrinted>2018-12-07T08:23:00Z</cp:lastPrinted>
  <dcterms:created xsi:type="dcterms:W3CDTF">2018-12-07T08:20:00Z</dcterms:created>
  <dcterms:modified xsi:type="dcterms:W3CDTF">2018-12-07T08:46:00Z</dcterms:modified>
</cp:coreProperties>
</file>