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15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Popis návrhu způsobu provádění projektového a finančního managementu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Heading2"/>
        <w:numPr>
          <w:ilvl w:val="0"/>
          <w:numId w:val="1"/>
        </w:numPr>
        <w:tabs>
          <w:tab w:pos="534" w:val="left" w:leader="none"/>
        </w:tabs>
        <w:spacing w:line="312" w:lineRule="auto" w:before="100" w:after="0"/>
        <w:ind w:left="533" w:right="120" w:hanging="356"/>
        <w:jc w:val="left"/>
      </w:pPr>
      <w:r>
        <w:rPr/>
        <w:t>způsob organizace projektového řízení v souladu s požadavky vyplývajícími ze schválené</w:t>
      </w:r>
      <w:r>
        <w:rPr>
          <w:spacing w:val="-6"/>
        </w:rPr>
        <w:t> </w:t>
      </w:r>
      <w:r>
        <w:rPr/>
        <w:t>projektové</w:t>
      </w:r>
      <w:r>
        <w:rPr>
          <w:spacing w:val="-8"/>
        </w:rPr>
        <w:t> </w:t>
      </w:r>
      <w:r>
        <w:rPr/>
        <w:t>žádosti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náležitostmi</w:t>
      </w:r>
      <w:r>
        <w:rPr>
          <w:spacing w:val="-8"/>
        </w:rPr>
        <w:t> </w:t>
      </w:r>
      <w:r>
        <w:rPr/>
        <w:t>Pravidel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žadatele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příjemce</w:t>
      </w:r>
      <w:r>
        <w:rPr>
          <w:spacing w:val="-5"/>
        </w:rPr>
        <w:t> </w:t>
      </w:r>
      <w:r>
        <w:rPr/>
        <w:t>OP</w:t>
      </w:r>
      <w:r>
        <w:rPr>
          <w:spacing w:val="-6"/>
        </w:rPr>
        <w:t> </w:t>
      </w:r>
      <w:r>
        <w:rPr/>
        <w:t>Praha</w:t>
      </w:r>
    </w:p>
    <w:p>
      <w:pPr>
        <w:spacing w:line="280" w:lineRule="exact" w:before="0"/>
        <w:ind w:left="533" w:right="0" w:firstLine="0"/>
        <w:jc w:val="left"/>
        <w:rPr>
          <w:b/>
          <w:sz w:val="24"/>
        </w:rPr>
      </w:pPr>
      <w:r>
        <w:rPr>
          <w:b/>
          <w:sz w:val="24"/>
        </w:rPr>
        <w:t>– pól růstu ČR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line="312" w:lineRule="auto"/>
        <w:ind w:left="247" w:right="113"/>
        <w:jc w:val="both"/>
      </w:pPr>
      <w:r>
        <w:rPr/>
        <w:t>V rámci dodávané služby budou zajišťovány všechny činnosti, uvedené v bodu 2 Zadávací dokumentace, a to formou komplexního managementu projektu v době jeho realizace, s cílem splnění veškerých podmínek stanovených v poskytovatelem dotace a v rámci všech aktuálně platných pravidel. Jedná se zejména o následující činnosti:</w:t>
      </w:r>
    </w:p>
    <w:p>
      <w:pPr>
        <w:pStyle w:val="BodyText"/>
        <w:spacing w:before="120"/>
        <w:ind w:left="247"/>
        <w:jc w:val="both"/>
      </w:pPr>
      <w:r>
        <w:rPr/>
        <w:t>Primárně bude zajišťována kompletní administrace projektu v MS 2014+, obnášející: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240" w:lineRule="auto" w:before="195" w:after="0"/>
        <w:ind w:left="1238" w:right="0" w:hanging="360"/>
        <w:jc w:val="left"/>
        <w:rPr>
          <w:sz w:val="22"/>
        </w:rPr>
      </w:pPr>
      <w:r>
        <w:rPr>
          <w:sz w:val="22"/>
        </w:rPr>
        <w:t>Přípravu žádostí o platbu včetně veškerých požadovaných</w:t>
      </w:r>
      <w:r>
        <w:rPr>
          <w:spacing w:val="-11"/>
          <w:sz w:val="22"/>
        </w:rPr>
        <w:t> </w:t>
      </w:r>
      <w:r>
        <w:rPr>
          <w:sz w:val="22"/>
        </w:rPr>
        <w:t>příloh.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309" w:lineRule="auto" w:before="198" w:after="0"/>
        <w:ind w:left="1238" w:right="114" w:hanging="360"/>
        <w:jc w:val="left"/>
        <w:rPr>
          <w:sz w:val="22"/>
        </w:rPr>
      </w:pPr>
      <w:r>
        <w:rPr>
          <w:sz w:val="22"/>
        </w:rPr>
        <w:t>Přípravu veškerých požadovaných zpráv, zejména zprávy o realizaci projektu (průběžné, závěrečné), případně následných zpráv o udržitelnosti</w:t>
      </w:r>
      <w:r>
        <w:rPr>
          <w:spacing w:val="-7"/>
          <w:sz w:val="22"/>
        </w:rPr>
        <w:t> </w:t>
      </w:r>
      <w:r>
        <w:rPr>
          <w:sz w:val="22"/>
        </w:rPr>
        <w:t>projektu.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307" w:lineRule="auto" w:before="123" w:after="0"/>
        <w:ind w:left="1238" w:right="116" w:hanging="360"/>
        <w:jc w:val="left"/>
        <w:rPr>
          <w:sz w:val="22"/>
        </w:rPr>
      </w:pPr>
      <w:r>
        <w:rPr>
          <w:sz w:val="22"/>
        </w:rPr>
        <w:t>Příprava a vypracování žádostí o případné změny podmínek poskytnutí dotace a případné změny</w:t>
      </w:r>
      <w:r>
        <w:rPr>
          <w:spacing w:val="-1"/>
          <w:sz w:val="22"/>
        </w:rPr>
        <w:t> </w:t>
      </w:r>
      <w:r>
        <w:rPr>
          <w:sz w:val="22"/>
        </w:rPr>
        <w:t>projektu.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240" w:lineRule="auto" w:before="126" w:after="0"/>
        <w:ind w:left="1238" w:right="0" w:hanging="360"/>
        <w:jc w:val="left"/>
        <w:rPr>
          <w:sz w:val="22"/>
        </w:rPr>
      </w:pPr>
      <w:r>
        <w:rPr>
          <w:sz w:val="22"/>
        </w:rPr>
        <w:t>Zadávání údajů do modulu veřejných</w:t>
      </w:r>
      <w:r>
        <w:rPr>
          <w:spacing w:val="-4"/>
          <w:sz w:val="22"/>
        </w:rPr>
        <w:t> </w:t>
      </w:r>
      <w:r>
        <w:rPr>
          <w:sz w:val="22"/>
        </w:rPr>
        <w:t>zakázek.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  <w:tab w:pos="1239" w:val="left" w:leader="none"/>
        </w:tabs>
        <w:spacing w:line="309" w:lineRule="auto" w:before="198" w:after="0"/>
        <w:ind w:left="1238" w:right="118" w:hanging="360"/>
        <w:jc w:val="left"/>
        <w:rPr>
          <w:sz w:val="22"/>
        </w:rPr>
      </w:pPr>
      <w:r>
        <w:rPr>
          <w:sz w:val="22"/>
        </w:rPr>
        <w:t>Přehled průběžného plnění stanovených indikátorů projektu včetně příslušných podkladů prokazujících plnění indikátorů a cílů</w:t>
      </w:r>
      <w:r>
        <w:rPr>
          <w:spacing w:val="-12"/>
          <w:sz w:val="22"/>
        </w:rPr>
        <w:t> </w:t>
      </w:r>
      <w:r>
        <w:rPr>
          <w:sz w:val="22"/>
        </w:rPr>
        <w:t>projektu.</w:t>
      </w:r>
    </w:p>
    <w:p>
      <w:pPr>
        <w:pStyle w:val="BodyText"/>
        <w:spacing w:line="312" w:lineRule="auto" w:before="120"/>
        <w:ind w:left="247" w:right="118"/>
        <w:jc w:val="both"/>
      </w:pPr>
      <w:r>
        <w:rPr/>
        <w:t>V rámci organizace projektového řízení bude také zajišťována komunikace s řídícím orgánem OP PPR a ověřování souladu projektu s podmínkami daného operačního programu.</w:t>
      </w:r>
    </w:p>
    <w:p>
      <w:pPr>
        <w:pStyle w:val="BodyText"/>
        <w:spacing w:line="312" w:lineRule="auto" w:before="120"/>
        <w:ind w:left="247" w:right="113"/>
        <w:jc w:val="both"/>
      </w:pPr>
      <w:r>
        <w:rPr/>
        <w:t>Z hlediska administrativní složky projektového řízení bude zajišťována kompletace účetních dokladů a dalších</w:t>
      </w:r>
      <w:r>
        <w:rPr>
          <w:spacing w:val="-6"/>
        </w:rPr>
        <w:t> </w:t>
      </w:r>
      <w:r>
        <w:rPr/>
        <w:t>dokumentů</w:t>
      </w:r>
      <w:r>
        <w:rPr>
          <w:spacing w:val="-6"/>
        </w:rPr>
        <w:t> </w:t>
      </w:r>
      <w:r>
        <w:rPr/>
        <w:t>dokladující</w:t>
      </w:r>
      <w:r>
        <w:rPr>
          <w:spacing w:val="-6"/>
        </w:rPr>
        <w:t> </w:t>
      </w:r>
      <w:r>
        <w:rPr/>
        <w:t>uskutečněné</w:t>
      </w:r>
      <w:r>
        <w:rPr>
          <w:spacing w:val="-6"/>
        </w:rPr>
        <w:t> </w:t>
      </w:r>
      <w:r>
        <w:rPr/>
        <w:t>výdaje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osob,</w:t>
      </w:r>
      <w:r>
        <w:rPr>
          <w:spacing w:val="-7"/>
        </w:rPr>
        <w:t> </w:t>
      </w:r>
      <w:r>
        <w:rPr/>
        <w:t>které</w:t>
      </w:r>
      <w:r>
        <w:rPr>
          <w:spacing w:val="-6"/>
        </w:rPr>
        <w:t> </w:t>
      </w:r>
      <w:r>
        <w:rPr/>
        <w:t>jejich</w:t>
      </w:r>
      <w:r>
        <w:rPr>
          <w:spacing w:val="-6"/>
        </w:rPr>
        <w:t> </w:t>
      </w:r>
      <w:r>
        <w:rPr/>
        <w:t>zpracování</w:t>
      </w:r>
      <w:r>
        <w:rPr>
          <w:spacing w:val="-6"/>
        </w:rPr>
        <w:t> </w:t>
      </w:r>
      <w:r>
        <w:rPr/>
        <w:t>garantují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tj.</w:t>
      </w:r>
      <w:r>
        <w:rPr>
          <w:spacing w:val="-6"/>
        </w:rPr>
        <w:t> </w:t>
      </w:r>
      <w:r>
        <w:rPr/>
        <w:t>typicky se</w:t>
      </w:r>
      <w:r>
        <w:rPr>
          <w:spacing w:val="-14"/>
        </w:rPr>
        <w:t> </w:t>
      </w:r>
      <w:r>
        <w:rPr/>
        <w:t>bude</w:t>
      </w:r>
      <w:r>
        <w:rPr>
          <w:spacing w:val="-13"/>
        </w:rPr>
        <w:t> </w:t>
      </w:r>
      <w:r>
        <w:rPr/>
        <w:t>jednat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objednávky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smlouvy,</w:t>
      </w:r>
      <w:r>
        <w:rPr>
          <w:spacing w:val="-13"/>
        </w:rPr>
        <w:t> </w:t>
      </w:r>
      <w:r>
        <w:rPr/>
        <w:t>předávací</w:t>
      </w:r>
      <w:r>
        <w:rPr>
          <w:spacing w:val="-13"/>
        </w:rPr>
        <w:t> </w:t>
      </w:r>
      <w:r>
        <w:rPr/>
        <w:t>protokoly,</w:t>
      </w:r>
      <w:r>
        <w:rPr>
          <w:spacing w:val="-13"/>
        </w:rPr>
        <w:t> </w:t>
      </w:r>
      <w:r>
        <w:rPr/>
        <w:t>soupisy</w:t>
      </w:r>
      <w:r>
        <w:rPr>
          <w:spacing w:val="-15"/>
        </w:rPr>
        <w:t> </w:t>
      </w:r>
      <w:r>
        <w:rPr/>
        <w:t>prací,</w:t>
      </w:r>
      <w:r>
        <w:rPr>
          <w:spacing w:val="-13"/>
        </w:rPr>
        <w:t> </w:t>
      </w:r>
      <w:r>
        <w:rPr/>
        <w:t>doklady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zaúčtování,</w:t>
      </w:r>
      <w:r>
        <w:rPr>
          <w:spacing w:val="-13"/>
        </w:rPr>
        <w:t> </w:t>
      </w:r>
      <w:r>
        <w:rPr/>
        <w:t>doklady o úhradě</w:t>
      </w:r>
      <w:r>
        <w:rPr>
          <w:spacing w:val="1"/>
        </w:rPr>
        <w:t> </w:t>
      </w:r>
      <w:r>
        <w:rPr/>
        <w:t>apod.</w:t>
      </w:r>
    </w:p>
    <w:p>
      <w:pPr>
        <w:pStyle w:val="BodyText"/>
        <w:spacing w:line="312" w:lineRule="auto" w:before="118"/>
        <w:ind w:left="247" w:right="114"/>
        <w:jc w:val="both"/>
      </w:pPr>
      <w:r>
        <w:rPr/>
        <w:t>Zároveň bude zajišťováno průběžné sledování čerpání rozpočtu, řízení cash-flow projektu a dodržování celkového projektového rozpočtu. V případě změn bude řešen management změny, se zohledněním požadavků zadavatele a současně poskytovatele dotace.</w:t>
      </w:r>
    </w:p>
    <w:p>
      <w:pPr>
        <w:pStyle w:val="BodyText"/>
        <w:spacing w:line="312" w:lineRule="auto" w:before="120"/>
        <w:ind w:left="247" w:right="112"/>
        <w:jc w:val="both"/>
      </w:pPr>
      <w:r>
        <w:rPr/>
        <w:t>Průběžně bude zajišťován monitoring projektu ve všech jeho fázích, a to včetně zpracování monitorovacích</w:t>
      </w:r>
      <w:r>
        <w:rPr>
          <w:spacing w:val="-4"/>
        </w:rPr>
        <w:t> </w:t>
      </w:r>
      <w:r>
        <w:rPr/>
        <w:t>zpráv</w:t>
      </w:r>
      <w:r>
        <w:rPr>
          <w:spacing w:val="-4"/>
        </w:rPr>
        <w:t> </w:t>
      </w:r>
      <w:r>
        <w:rPr/>
        <w:t>či</w:t>
      </w:r>
      <w:r>
        <w:rPr>
          <w:spacing w:val="-3"/>
        </w:rPr>
        <w:t> </w:t>
      </w:r>
      <w:r>
        <w:rPr/>
        <w:t>zpráv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pokroku</w:t>
      </w:r>
      <w:r>
        <w:rPr>
          <w:spacing w:val="-4"/>
        </w:rPr>
        <w:t> </w:t>
      </w:r>
      <w:r>
        <w:rPr/>
        <w:t>nejen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poskytovatele</w:t>
      </w:r>
      <w:r>
        <w:rPr>
          <w:spacing w:val="-3"/>
        </w:rPr>
        <w:t> </w:t>
      </w:r>
      <w:r>
        <w:rPr/>
        <w:t>dotace</w:t>
      </w:r>
      <w:r>
        <w:rPr>
          <w:spacing w:val="-4"/>
        </w:rPr>
        <w:t> </w:t>
      </w:r>
      <w:r>
        <w:rPr/>
        <w:t>(viz</w:t>
      </w:r>
      <w:r>
        <w:rPr>
          <w:spacing w:val="-6"/>
        </w:rPr>
        <w:t> </w:t>
      </w:r>
      <w:r>
        <w:rPr/>
        <w:t>administrace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MS</w:t>
      </w:r>
      <w:r>
        <w:rPr>
          <w:spacing w:val="-4"/>
        </w:rPr>
        <w:t> </w:t>
      </w:r>
      <w:r>
        <w:rPr/>
        <w:t>2014+), ale i pro vedení IPR Praha, případně pro zřizovatele (Hlavní město Praha). Současně s tím bude sledován postup ve smyslu plnění či budoucího výstupů (indikátorů)</w:t>
      </w:r>
      <w:r>
        <w:rPr>
          <w:spacing w:val="-13"/>
        </w:rPr>
        <w:t> </w:t>
      </w:r>
      <w:r>
        <w:rPr/>
        <w:t>projektu.</w:t>
      </w:r>
    </w:p>
    <w:p>
      <w:pPr>
        <w:pStyle w:val="BodyText"/>
        <w:spacing w:line="312" w:lineRule="auto" w:before="118"/>
        <w:ind w:left="247" w:right="112"/>
        <w:jc w:val="both"/>
      </w:pPr>
      <w:r>
        <w:rPr/>
        <w:t>V oblasti veřejných zakázek bude zajišťována koordinace přípravy podkladů pro administrátora veřejných zakázek, kontrola stavu veřejných zakázek a jejich souladu s požadavky OPPPR a případné konzultace sporných či nejasných bodů v zadávací dokumentaci s poskytovatelem dotace.</w:t>
      </w:r>
    </w:p>
    <w:p>
      <w:pPr>
        <w:pStyle w:val="BodyText"/>
        <w:spacing w:line="312" w:lineRule="auto" w:before="120"/>
        <w:ind w:left="247" w:right="112"/>
        <w:jc w:val="both"/>
      </w:pPr>
      <w:r>
        <w:rPr/>
        <w:t>V neposlední řadě bude také kontrolováno splnění podmínek OP PPR na publicitu a pro jednotlivé prvky povinné publicity budou zpracovány primární grafické a textové podklady, včetně připomínkování a potvrzeného odsouhlasení ze strany OP PPR.</w:t>
      </w:r>
    </w:p>
    <w:p>
      <w:pPr>
        <w:spacing w:after="0" w:line="312" w:lineRule="auto"/>
        <w:jc w:val="both"/>
        <w:sectPr>
          <w:type w:val="continuous"/>
          <w:pgSz w:w="11910" w:h="16840"/>
          <w:pgMar w:top="740" w:bottom="280" w:left="900" w:right="860"/>
        </w:sectPr>
      </w:pPr>
    </w:p>
    <w:p>
      <w:pPr>
        <w:pStyle w:val="BodyText"/>
        <w:spacing w:line="312" w:lineRule="auto" w:before="81"/>
        <w:ind w:left="967" w:right="476"/>
        <w:jc w:val="both"/>
      </w:pPr>
      <w:r>
        <w:rPr/>
        <w:t>Samozřejmou součástí projektového řízení je také řešení operativních otázek a případných problémů, které v současné době nelze předvídat, ale které obvykle vyvstanou během realizace jednotlivých fází projektu.</w:t>
      </w:r>
    </w:p>
    <w:p>
      <w:pPr>
        <w:pStyle w:val="BodyText"/>
        <w:spacing w:line="312" w:lineRule="auto" w:before="120"/>
        <w:ind w:left="967" w:right="480"/>
        <w:jc w:val="both"/>
      </w:pPr>
      <w:r>
        <w:rPr/>
        <w:t>Pro lepší přehlednost jsou základní kroky, prováděné v rámci projektového managementu, znázorněny  v grafické</w:t>
      </w:r>
      <w:r>
        <w:rPr>
          <w:spacing w:val="-1"/>
        </w:rPr>
        <w:t> </w:t>
      </w:r>
      <w:r>
        <w:rPr/>
        <w:t>podobě: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186689</wp:posOffset>
            </wp:positionH>
            <wp:positionV relativeFrom="paragraph">
              <wp:posOffset>215600</wp:posOffset>
            </wp:positionV>
            <wp:extent cx="6973100" cy="6170295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100" cy="617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2"/>
        <w:numPr>
          <w:ilvl w:val="0"/>
          <w:numId w:val="1"/>
        </w:numPr>
        <w:tabs>
          <w:tab w:pos="1254" w:val="left" w:leader="none"/>
        </w:tabs>
        <w:spacing w:line="240" w:lineRule="auto" w:before="1" w:after="0"/>
        <w:ind w:left="1253" w:right="0" w:hanging="356"/>
        <w:jc w:val="both"/>
      </w:pPr>
      <w:r>
        <w:rPr/>
        <w:t>organizace kontrolních dnů a jednání vedení projektu, vedení a distribuci</w:t>
      </w:r>
      <w:r>
        <w:rPr>
          <w:spacing w:val="-22"/>
        </w:rPr>
        <w:t> </w:t>
      </w:r>
      <w:r>
        <w:rPr/>
        <w:t>zápisů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line="312" w:lineRule="auto" w:before="1"/>
        <w:ind w:left="967" w:right="475"/>
        <w:jc w:val="both"/>
      </w:pPr>
      <w:r>
        <w:rPr/>
        <w:t>Kontrolní  dny budou  organizovány na  pravidelné  bázi,  kdy se  v přípravné  fázi  projektu,  především  v souvislosti s přípravou výběrových řízení, zadání prací a stanovení úkolů jednotlivých členů projektového týmu předpokládá kontrolní den jednou</w:t>
      </w:r>
      <w:r>
        <w:rPr>
          <w:spacing w:val="-8"/>
        </w:rPr>
        <w:t> </w:t>
      </w:r>
      <w:r>
        <w:rPr/>
        <w:t>týdně.</w:t>
      </w:r>
    </w:p>
    <w:p>
      <w:pPr>
        <w:pStyle w:val="BodyText"/>
        <w:spacing w:line="312" w:lineRule="auto" w:before="118"/>
        <w:ind w:left="967" w:right="477"/>
        <w:jc w:val="both"/>
      </w:pPr>
      <w:r>
        <w:rPr/>
        <w:t>Po spuštění realizace projektu a zahájení vlastních realizačních prací budou kontrolní dny organizovány frekvencí  dvakrát  měsíčně.  V případě  komplikací  či  u  náročnějších  kroků  bude  zajištěna organizace</w:t>
      </w:r>
    </w:p>
    <w:p>
      <w:pPr>
        <w:spacing w:after="0" w:line="312" w:lineRule="auto"/>
        <w:jc w:val="both"/>
        <w:sectPr>
          <w:pgSz w:w="11910" w:h="16840"/>
          <w:pgMar w:top="620" w:bottom="280" w:left="180" w:right="500"/>
        </w:sectPr>
      </w:pPr>
    </w:p>
    <w:p>
      <w:pPr>
        <w:pStyle w:val="BodyText"/>
        <w:spacing w:line="312" w:lineRule="auto" w:before="81"/>
        <w:ind w:left="187" w:right="116"/>
        <w:jc w:val="both"/>
      </w:pPr>
      <w:r>
        <w:rPr/>
        <w:t>mimořádných kontrolních dnů častěji, a to dle dohody členů projektového týmu na pravidelných kontrolních dnech.</w:t>
      </w:r>
    </w:p>
    <w:p>
      <w:pPr>
        <w:pStyle w:val="BodyText"/>
        <w:spacing w:line="312" w:lineRule="auto" w:before="118"/>
        <w:ind w:left="187" w:right="119"/>
        <w:jc w:val="both"/>
      </w:pPr>
      <w:r>
        <w:rPr/>
        <w:t>Po  ukončení  kontrolního  dne  bude  do  druhého  dne  (resp.  do  24  hodin)  zaslán  návrh  zápisu           k připomínkování. Připomínkování zápisu bude ukončeno do dvou pracovních dnů, pokud se na kontrolním dnu nedohodnou účastníci jinak. Po zapracování připomínek bude do dvou dalších pracovních dnů zaslána finální verze</w:t>
      </w:r>
      <w:r>
        <w:rPr>
          <w:spacing w:val="-8"/>
        </w:rPr>
        <w:t> </w:t>
      </w:r>
      <w:r>
        <w:rPr/>
        <w:t>zápisu.</w:t>
      </w:r>
    </w:p>
    <w:p>
      <w:pPr>
        <w:pStyle w:val="BodyText"/>
        <w:spacing w:line="312" w:lineRule="auto" w:before="118"/>
        <w:ind w:left="187" w:right="118"/>
        <w:jc w:val="both"/>
      </w:pPr>
      <w:r>
        <w:rPr/>
        <w:t>V součtu tedy bude konečná podoba zápisu zaslána nejpozději do pěti pracovních dnů od ukončení jednání. V případě potřeby je možné připomínkování a zapracování zkrátit každé na jeden den, poté je možné distribuovat zápis již do tří dnů.</w:t>
      </w:r>
    </w:p>
    <w:p>
      <w:pPr>
        <w:pStyle w:val="BodyText"/>
        <w:spacing w:line="312" w:lineRule="auto" w:before="118"/>
        <w:ind w:left="187" w:right="118"/>
        <w:jc w:val="both"/>
      </w:pPr>
      <w:r>
        <w:rPr/>
        <w:t>Struktura zápisu bude vždy obsahovat část informační, kde budou uvedeny veškeré nově získané informace, sdělené na jednání a relevantní k předmětu projektu. Poslední část bude úkolová, kde budou uvedeny nově vzniklé úkoly vždy s uvedením popisu úkolu, odpovědné osoby (konkrétního člena projektového týmu) a termínu splnění. Od druhého zápisu dále bude také začleněna část kontrolní, kde budou uvedeny úkoly z předchozích zápisů a stav jejich plnění.</w:t>
      </w:r>
    </w:p>
    <w:p>
      <w:pPr>
        <w:pStyle w:val="BodyText"/>
        <w:spacing w:line="312" w:lineRule="auto" w:before="121"/>
        <w:ind w:left="187" w:right="119"/>
        <w:jc w:val="both"/>
      </w:pPr>
      <w:r>
        <w:rPr/>
        <w:t>Zápisy budou  distribuovány  v elektronické  podobě  všem  členům  projektového  týmu  a  archivovány v jednom tištěném paré u projektového manažera.</w:t>
      </w:r>
    </w:p>
    <w:p>
      <w:pPr>
        <w:pStyle w:val="BodyText"/>
        <w:spacing w:line="312" w:lineRule="auto" w:before="118"/>
        <w:ind w:left="187" w:right="114"/>
        <w:jc w:val="both"/>
      </w:pPr>
      <w:r>
        <w:rPr/>
        <w:t>Dle</w:t>
      </w:r>
      <w:r>
        <w:rPr>
          <w:spacing w:val="-6"/>
        </w:rPr>
        <w:t> </w:t>
      </w:r>
      <w:r>
        <w:rPr/>
        <w:t>potřeby</w:t>
      </w:r>
      <w:r>
        <w:rPr>
          <w:spacing w:val="-8"/>
        </w:rPr>
        <w:t> </w:t>
      </w:r>
      <w:r>
        <w:rPr/>
        <w:t>lze</w:t>
      </w:r>
      <w:r>
        <w:rPr>
          <w:spacing w:val="-6"/>
        </w:rPr>
        <w:t> </w:t>
      </w:r>
      <w:r>
        <w:rPr/>
        <w:t>jako</w:t>
      </w:r>
      <w:r>
        <w:rPr>
          <w:spacing w:val="-7"/>
        </w:rPr>
        <w:t> </w:t>
      </w:r>
      <w:r>
        <w:rPr/>
        <w:t>moderní</w:t>
      </w:r>
      <w:r>
        <w:rPr>
          <w:spacing w:val="-6"/>
        </w:rPr>
        <w:t> </w:t>
      </w:r>
      <w:r>
        <w:rPr/>
        <w:t>nástroj</w:t>
      </w:r>
      <w:r>
        <w:rPr>
          <w:spacing w:val="-8"/>
        </w:rPr>
        <w:t> </w:t>
      </w:r>
      <w:r>
        <w:rPr/>
        <w:t>řízení</w:t>
      </w:r>
      <w:r>
        <w:rPr>
          <w:spacing w:val="-6"/>
        </w:rPr>
        <w:t> </w:t>
      </w:r>
      <w:r>
        <w:rPr/>
        <w:t>oběhu</w:t>
      </w:r>
      <w:r>
        <w:rPr>
          <w:spacing w:val="-6"/>
        </w:rPr>
        <w:t> </w:t>
      </w:r>
      <w:r>
        <w:rPr/>
        <w:t>dokumentů</w:t>
      </w:r>
      <w:r>
        <w:rPr>
          <w:spacing w:val="-6"/>
        </w:rPr>
        <w:t> </w:t>
      </w:r>
      <w:r>
        <w:rPr/>
        <w:t>zvolit</w:t>
      </w:r>
      <w:r>
        <w:rPr>
          <w:spacing w:val="-7"/>
        </w:rPr>
        <w:t> </w:t>
      </w:r>
      <w:r>
        <w:rPr/>
        <w:t>také</w:t>
      </w:r>
      <w:r>
        <w:rPr>
          <w:spacing w:val="-7"/>
        </w:rPr>
        <w:t> </w:t>
      </w:r>
      <w:r>
        <w:rPr/>
        <w:t>některé</w:t>
      </w:r>
      <w:r>
        <w:rPr>
          <w:spacing w:val="-7"/>
        </w:rPr>
        <w:t> </w:t>
      </w:r>
      <w:r>
        <w:rPr/>
        <w:t>z</w:t>
      </w:r>
      <w:r>
        <w:rPr>
          <w:spacing w:val="-1"/>
        </w:rPr>
        <w:t> </w:t>
      </w:r>
      <w:r>
        <w:rPr/>
        <w:t>dostupných</w:t>
      </w:r>
      <w:r>
        <w:rPr>
          <w:spacing w:val="-6"/>
        </w:rPr>
        <w:t> </w:t>
      </w:r>
      <w:r>
        <w:rPr/>
        <w:t>sdílených pracovních on-line</w:t>
      </w:r>
      <w:r>
        <w:rPr>
          <w:spacing w:val="-7"/>
        </w:rPr>
        <w:t> </w:t>
      </w:r>
      <w:r>
        <w:rPr/>
        <w:t>prostředí.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314" w:lineRule="auto" w:before="0" w:after="0"/>
        <w:ind w:left="473" w:right="122" w:hanging="356"/>
        <w:jc w:val="left"/>
      </w:pPr>
      <w:r>
        <w:rPr/>
        <w:t>způsob</w:t>
      </w:r>
      <w:r>
        <w:rPr>
          <w:spacing w:val="-13"/>
        </w:rPr>
        <w:t> </w:t>
      </w:r>
      <w:r>
        <w:rPr/>
        <w:t>identifikace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eliminace</w:t>
      </w:r>
      <w:r>
        <w:rPr>
          <w:spacing w:val="-13"/>
        </w:rPr>
        <w:t> </w:t>
      </w:r>
      <w:r>
        <w:rPr/>
        <w:t>organizačních,</w:t>
      </w:r>
      <w:r>
        <w:rPr>
          <w:spacing w:val="-14"/>
        </w:rPr>
        <w:t> </w:t>
      </w:r>
      <w:r>
        <w:rPr/>
        <w:t>věcných,</w:t>
      </w:r>
      <w:r>
        <w:rPr>
          <w:spacing w:val="-14"/>
        </w:rPr>
        <w:t> </w:t>
      </w:r>
      <w:r>
        <w:rPr/>
        <w:t>administrativních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finančních rizik</w:t>
      </w:r>
      <w:r>
        <w:rPr>
          <w:spacing w:val="-10"/>
        </w:rPr>
        <w:t> </w:t>
      </w:r>
      <w:r>
        <w:rPr/>
        <w:t>projektu</w:t>
      </w:r>
    </w:p>
    <w:p>
      <w:pPr>
        <w:pStyle w:val="BodyText"/>
        <w:spacing w:line="312" w:lineRule="auto" w:before="236"/>
        <w:ind w:left="187" w:right="113"/>
        <w:jc w:val="both"/>
      </w:pPr>
      <w:r>
        <w:rPr/>
        <w:t>Již před zahájením projektu lze identifikovat základní rizika, která mohou v tomto typu záměru nastat. Pro úplnost jsou tato rizika, kterých si je uchazeč vědom, uvedena v přehledu níže: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312" w:lineRule="auto" w:before="0" w:after="0"/>
        <w:ind w:left="907" w:right="114" w:hanging="360"/>
        <w:jc w:val="both"/>
        <w:rPr>
          <w:sz w:val="22"/>
        </w:rPr>
      </w:pPr>
      <w:r>
        <w:rPr>
          <w:b/>
          <w:sz w:val="22"/>
        </w:rPr>
        <w:t>Neočekávané zvýšení nákladů na vývojové práce: </w:t>
      </w:r>
      <w:r>
        <w:rPr>
          <w:sz w:val="22"/>
        </w:rPr>
        <w:t>Vyplývá jak z ne zcela známého objemu prací,</w:t>
      </w:r>
      <w:r>
        <w:rPr>
          <w:spacing w:val="-11"/>
          <w:sz w:val="22"/>
        </w:rPr>
        <w:t> </w:t>
      </w:r>
      <w:r>
        <w:rPr>
          <w:sz w:val="22"/>
        </w:rPr>
        <w:t>které</w:t>
      </w:r>
      <w:r>
        <w:rPr>
          <w:spacing w:val="-11"/>
          <w:sz w:val="22"/>
        </w:rPr>
        <w:t> </w:t>
      </w:r>
      <w:r>
        <w:rPr>
          <w:sz w:val="22"/>
        </w:rPr>
        <w:t>je</w:t>
      </w:r>
      <w:r>
        <w:rPr>
          <w:spacing w:val="-11"/>
          <w:sz w:val="22"/>
        </w:rPr>
        <w:t> </w:t>
      </w:r>
      <w:r>
        <w:rPr>
          <w:sz w:val="22"/>
        </w:rPr>
        <w:t>nutno</w:t>
      </w:r>
      <w:r>
        <w:rPr>
          <w:spacing w:val="-12"/>
          <w:sz w:val="22"/>
        </w:rPr>
        <w:t> </w:t>
      </w:r>
      <w:r>
        <w:rPr>
          <w:sz w:val="22"/>
        </w:rPr>
        <w:t>pro</w:t>
      </w:r>
      <w:r>
        <w:rPr>
          <w:spacing w:val="-12"/>
          <w:sz w:val="22"/>
        </w:rPr>
        <w:t> </w:t>
      </w:r>
      <w:r>
        <w:rPr>
          <w:sz w:val="22"/>
        </w:rPr>
        <w:t>dosažení</w:t>
      </w:r>
      <w:r>
        <w:rPr>
          <w:spacing w:val="-13"/>
          <w:sz w:val="22"/>
        </w:rPr>
        <w:t> </w:t>
      </w:r>
      <w:r>
        <w:rPr>
          <w:sz w:val="22"/>
        </w:rPr>
        <w:t>cíle</w:t>
      </w:r>
      <w:r>
        <w:rPr>
          <w:spacing w:val="-11"/>
          <w:sz w:val="22"/>
        </w:rPr>
        <w:t> </w:t>
      </w:r>
      <w:r>
        <w:rPr>
          <w:sz w:val="22"/>
        </w:rPr>
        <w:t>provést,</w:t>
      </w:r>
      <w:r>
        <w:rPr>
          <w:spacing w:val="-11"/>
          <w:sz w:val="22"/>
        </w:rPr>
        <w:t> </w:t>
      </w:r>
      <w:r>
        <w:rPr>
          <w:sz w:val="22"/>
        </w:rPr>
        <w:t>tak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ze</w:t>
      </w:r>
      <w:r>
        <w:rPr>
          <w:spacing w:val="-11"/>
          <w:sz w:val="22"/>
        </w:rPr>
        <w:t> </w:t>
      </w:r>
      <w:r>
        <w:rPr>
          <w:sz w:val="22"/>
        </w:rPr>
        <w:t>zvyšujících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cen</w:t>
      </w:r>
      <w:r>
        <w:rPr>
          <w:spacing w:val="-12"/>
          <w:sz w:val="22"/>
        </w:rPr>
        <w:t> </w:t>
      </w:r>
      <w:r>
        <w:rPr>
          <w:sz w:val="22"/>
        </w:rPr>
        <w:t>prací</w:t>
      </w:r>
      <w:r>
        <w:rPr>
          <w:spacing w:val="-11"/>
          <w:sz w:val="22"/>
        </w:rPr>
        <w:t> </w:t>
      </w:r>
      <w:r>
        <w:rPr>
          <w:sz w:val="22"/>
        </w:rPr>
        <w:t>ICT</w:t>
      </w:r>
      <w:r>
        <w:rPr>
          <w:spacing w:val="-10"/>
          <w:sz w:val="22"/>
        </w:rPr>
        <w:t> </w:t>
      </w:r>
      <w:r>
        <w:rPr>
          <w:sz w:val="22"/>
        </w:rPr>
        <w:t>odborníků.</w:t>
      </w:r>
      <w:r>
        <w:rPr>
          <w:spacing w:val="-13"/>
          <w:sz w:val="22"/>
        </w:rPr>
        <w:t> </w:t>
      </w:r>
      <w:r>
        <w:rPr>
          <w:sz w:val="22"/>
        </w:rPr>
        <w:t>Toto riziko bude nutno sledovat především před podpisem smlouvy s budoucím dodavatelem nebo dodavateli.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309" w:lineRule="auto" w:before="1" w:after="0"/>
        <w:ind w:left="907" w:right="116" w:hanging="360"/>
        <w:jc w:val="both"/>
        <w:rPr>
          <w:sz w:val="22"/>
        </w:rPr>
      </w:pPr>
      <w:r>
        <w:rPr>
          <w:b/>
          <w:sz w:val="22"/>
        </w:rPr>
        <w:t>Nedodržení podmínek OPPPR: </w:t>
      </w:r>
      <w:r>
        <w:rPr>
          <w:sz w:val="22"/>
        </w:rPr>
        <w:t>Standardní administrativní riziko, jehož eliminaci zajišťuje právě  dodavatel   projektového   managementu   průběžným   projednáváním   stavu   projektu   s poskytovatelem</w:t>
      </w:r>
      <w:r>
        <w:rPr>
          <w:spacing w:val="-8"/>
          <w:sz w:val="22"/>
        </w:rPr>
        <w:t> </w:t>
      </w:r>
      <w:r>
        <w:rPr>
          <w:sz w:val="22"/>
        </w:rPr>
        <w:t>dotace.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312" w:lineRule="auto" w:before="0" w:after="0"/>
        <w:ind w:left="907" w:right="113" w:hanging="360"/>
        <w:jc w:val="both"/>
        <w:rPr>
          <w:sz w:val="22"/>
        </w:rPr>
      </w:pPr>
      <w:r>
        <w:rPr>
          <w:b/>
          <w:sz w:val="22"/>
        </w:rPr>
        <w:t>Chybný výběr dodavatele smluvního vývoje</w:t>
      </w:r>
      <w:r>
        <w:rPr>
          <w:sz w:val="22"/>
        </w:rPr>
        <w:t>: Jedná o velice závažné riziko s významným dopadem. Část prací, zvláště vysoce specializované vývojové práce na návrzích algoritmů pro práci s daty mobilních operátorů a většina velkoobjemových výpočtů včetně převodu algoritmů do</w:t>
      </w:r>
      <w:r>
        <w:rPr>
          <w:spacing w:val="-5"/>
          <w:sz w:val="22"/>
        </w:rPr>
        <w:t> </w:t>
      </w:r>
      <w:r>
        <w:rPr>
          <w:sz w:val="22"/>
        </w:rPr>
        <w:t>použitelného</w:t>
      </w:r>
      <w:r>
        <w:rPr>
          <w:spacing w:val="-5"/>
          <w:sz w:val="22"/>
        </w:rPr>
        <w:t> </w:t>
      </w:r>
      <w:r>
        <w:rPr>
          <w:sz w:val="22"/>
        </w:rPr>
        <w:t>software,</w:t>
      </w:r>
      <w:r>
        <w:rPr>
          <w:spacing w:val="-8"/>
          <w:sz w:val="22"/>
        </w:rPr>
        <w:t> </w:t>
      </w:r>
      <w:r>
        <w:rPr>
          <w:sz w:val="22"/>
        </w:rPr>
        <w:t>budou</w:t>
      </w:r>
      <w:r>
        <w:rPr>
          <w:spacing w:val="-5"/>
          <w:sz w:val="22"/>
        </w:rPr>
        <w:t> </w:t>
      </w:r>
      <w:r>
        <w:rPr>
          <w:sz w:val="22"/>
        </w:rPr>
        <w:t>muset</w:t>
      </w:r>
      <w:r>
        <w:rPr>
          <w:spacing w:val="-6"/>
          <w:sz w:val="22"/>
        </w:rPr>
        <w:t> </w:t>
      </w:r>
      <w:r>
        <w:rPr>
          <w:sz w:val="22"/>
        </w:rPr>
        <w:t>být</w:t>
      </w:r>
      <w:r>
        <w:rPr>
          <w:spacing w:val="-6"/>
          <w:sz w:val="22"/>
        </w:rPr>
        <w:t> </w:t>
      </w:r>
      <w:r>
        <w:rPr>
          <w:sz w:val="22"/>
        </w:rPr>
        <w:t>objednána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externích</w:t>
      </w:r>
      <w:r>
        <w:rPr>
          <w:spacing w:val="-5"/>
          <w:sz w:val="22"/>
        </w:rPr>
        <w:t> </w:t>
      </w:r>
      <w:r>
        <w:rPr>
          <w:sz w:val="22"/>
        </w:rPr>
        <w:t>subjektů.</w:t>
      </w:r>
      <w:r>
        <w:rPr>
          <w:spacing w:val="-5"/>
          <w:sz w:val="22"/>
        </w:rPr>
        <w:t> </w:t>
      </w:r>
      <w:r>
        <w:rPr>
          <w:sz w:val="22"/>
        </w:rPr>
        <w:t>Vzhledem</w:t>
      </w:r>
      <w:r>
        <w:rPr>
          <w:spacing w:val="-5"/>
          <w:sz w:val="22"/>
        </w:rPr>
        <w:t> </w:t>
      </w:r>
      <w:r>
        <w:rPr>
          <w:sz w:val="22"/>
        </w:rPr>
        <w:t>k</w:t>
      </w:r>
      <w:r>
        <w:rPr>
          <w:spacing w:val="-6"/>
          <w:sz w:val="22"/>
        </w:rPr>
        <w:t> </w:t>
      </w:r>
      <w:r>
        <w:rPr>
          <w:sz w:val="22"/>
        </w:rPr>
        <w:t>tomu,</w:t>
      </w:r>
      <w:r>
        <w:rPr>
          <w:spacing w:val="-5"/>
          <w:sz w:val="22"/>
        </w:rPr>
        <w:t> </w:t>
      </w:r>
      <w:r>
        <w:rPr>
          <w:sz w:val="22"/>
        </w:rPr>
        <w:t>že se bude jednat o relativně vysoké finanční objemy, bude důležité zvládnout výběr dodavatelů v souladu se všemi legislativními pravidly a směrnicemi Operačního programu Praha Pól růstu, ale současně při požadavcích na maximální odbornost</w:t>
      </w:r>
      <w:r>
        <w:rPr>
          <w:spacing w:val="-14"/>
          <w:sz w:val="22"/>
        </w:rPr>
        <w:t> </w:t>
      </w:r>
      <w:r>
        <w:rPr>
          <w:sz w:val="22"/>
        </w:rPr>
        <w:t>dodavatele.</w:t>
      </w:r>
    </w:p>
    <w:p>
      <w:pPr>
        <w:spacing w:after="0" w:line="312" w:lineRule="auto"/>
        <w:jc w:val="both"/>
        <w:rPr>
          <w:sz w:val="22"/>
        </w:rPr>
        <w:sectPr>
          <w:pgSz w:w="11910" w:h="16840"/>
          <w:pgMar w:top="620" w:bottom="280" w:left="960" w:right="860"/>
        </w:sect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312" w:lineRule="auto" w:before="77" w:after="0"/>
        <w:ind w:left="827" w:right="374" w:hanging="360"/>
        <w:jc w:val="both"/>
        <w:rPr>
          <w:sz w:val="22"/>
        </w:rPr>
      </w:pPr>
      <w:r>
        <w:rPr>
          <w:b/>
          <w:sz w:val="22"/>
        </w:rPr>
        <w:t>Neplánované změny v realizačním týmu</w:t>
      </w:r>
      <w:r>
        <w:rPr>
          <w:sz w:val="22"/>
        </w:rPr>
        <w:t>: K těmto změnám běžně dochází v průběhu víceletých projektů a jsou nutným rizikem, se kterým je nutno vždy počítat. Snížení pravděpodobnosti je možné pouze částečně především na straně zaměstnavatele (tedy IPR Praha) a proto je nutné se zaměřit na snížení dopadů již případně nastalého rizika, a to především tím, že pro všechny klíčové posty bude zajištěna zastupitelnost (i pro případy dočasných nepřítomností, jako je nemoc či dovolená) a veškeré probíhající činnosti budou pečlivě dokumentovány, aby bylo možno po prostudování záznamů z doposud realizovaných prací hladce navázat s dalšími</w:t>
      </w:r>
      <w:r>
        <w:rPr>
          <w:spacing w:val="-11"/>
          <w:sz w:val="22"/>
        </w:rPr>
        <w:t> </w:t>
      </w:r>
      <w:r>
        <w:rPr>
          <w:sz w:val="22"/>
        </w:rPr>
        <w:t>činnostmi.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312" w:lineRule="auto" w:before="0" w:after="0"/>
        <w:ind w:left="827" w:right="374" w:hanging="360"/>
        <w:jc w:val="both"/>
        <w:rPr>
          <w:sz w:val="22"/>
        </w:rPr>
      </w:pPr>
      <w:r>
        <w:rPr>
          <w:b/>
          <w:sz w:val="22"/>
        </w:rPr>
        <w:t>Riziko nedodržení plánovaného harmonogramu prací: </w:t>
      </w:r>
      <w:r>
        <w:rPr>
          <w:sz w:val="22"/>
        </w:rPr>
        <w:t>Toto riziko je další z řady</w:t>
      </w:r>
      <w:r>
        <w:rPr>
          <w:spacing w:val="-26"/>
          <w:sz w:val="22"/>
        </w:rPr>
        <w:t> </w:t>
      </w:r>
      <w:r>
        <w:rPr>
          <w:sz w:val="22"/>
        </w:rPr>
        <w:t>poměrně obvyklých, zvláště v oblasti vývoje, neboť se jedná o činnosti, které sice je možné částečně naplánovat, ale částečně je skladba budoucích prací závislá na průběhu a výsledcích prací předcházejících. Toto riziko nelze zcela eliminovat, ke změně harmonogramu může dojít kdykoliv,</w:t>
      </w:r>
      <w:r>
        <w:rPr>
          <w:spacing w:val="-12"/>
          <w:sz w:val="22"/>
        </w:rPr>
        <w:t> </w:t>
      </w:r>
      <w:r>
        <w:rPr>
          <w:sz w:val="22"/>
        </w:rPr>
        <w:t>proto</w:t>
      </w:r>
      <w:r>
        <w:rPr>
          <w:spacing w:val="-12"/>
          <w:sz w:val="22"/>
        </w:rPr>
        <w:t> </w:t>
      </w:r>
      <w:r>
        <w:rPr>
          <w:sz w:val="22"/>
        </w:rPr>
        <w:t>bude</w:t>
      </w:r>
      <w:r>
        <w:rPr>
          <w:spacing w:val="-12"/>
          <w:sz w:val="22"/>
        </w:rPr>
        <w:t> </w:t>
      </w:r>
      <w:r>
        <w:rPr>
          <w:sz w:val="22"/>
        </w:rPr>
        <w:t>nutné</w:t>
      </w:r>
      <w:r>
        <w:rPr>
          <w:spacing w:val="-13"/>
          <w:sz w:val="22"/>
        </w:rPr>
        <w:t> </w:t>
      </w:r>
      <w:r>
        <w:rPr>
          <w:sz w:val="22"/>
        </w:rPr>
        <w:t>počítat</w:t>
      </w:r>
      <w:r>
        <w:rPr>
          <w:spacing w:val="-13"/>
          <w:sz w:val="22"/>
        </w:rPr>
        <w:t> </w:t>
      </w:r>
      <w:r>
        <w:rPr>
          <w:sz w:val="22"/>
        </w:rPr>
        <w:t>buď</w:t>
      </w:r>
      <w:r>
        <w:rPr>
          <w:spacing w:val="-15"/>
          <w:sz w:val="22"/>
        </w:rPr>
        <w:t> </w:t>
      </w:r>
      <w:r>
        <w:rPr>
          <w:sz w:val="22"/>
        </w:rPr>
        <w:t>s</w:t>
      </w:r>
      <w:r>
        <w:rPr>
          <w:spacing w:val="-1"/>
          <w:sz w:val="22"/>
        </w:rPr>
        <w:t> </w:t>
      </w:r>
      <w:r>
        <w:rPr>
          <w:sz w:val="22"/>
        </w:rPr>
        <w:t>posílením</w:t>
      </w:r>
      <w:r>
        <w:rPr>
          <w:spacing w:val="-14"/>
          <w:sz w:val="22"/>
        </w:rPr>
        <w:t> </w:t>
      </w:r>
      <w:r>
        <w:rPr>
          <w:sz w:val="22"/>
        </w:rPr>
        <w:t>projektového</w:t>
      </w:r>
      <w:r>
        <w:rPr>
          <w:spacing w:val="-12"/>
          <w:sz w:val="22"/>
        </w:rPr>
        <w:t> </w:t>
      </w:r>
      <w:r>
        <w:rPr>
          <w:sz w:val="22"/>
        </w:rPr>
        <w:t>týmu,</w:t>
      </w:r>
      <w:r>
        <w:rPr>
          <w:spacing w:val="-12"/>
          <w:sz w:val="22"/>
        </w:rPr>
        <w:t> </w:t>
      </w:r>
      <w:r>
        <w:rPr>
          <w:sz w:val="22"/>
        </w:rPr>
        <w:t>anebo</w:t>
      </w:r>
      <w:r>
        <w:rPr>
          <w:spacing w:val="-14"/>
          <w:sz w:val="22"/>
        </w:rPr>
        <w:t> </w:t>
      </w:r>
      <w:r>
        <w:rPr>
          <w:sz w:val="22"/>
        </w:rPr>
        <w:t>bude</w:t>
      </w:r>
      <w:r>
        <w:rPr>
          <w:spacing w:val="-12"/>
          <w:sz w:val="22"/>
        </w:rPr>
        <w:t> </w:t>
      </w:r>
      <w:r>
        <w:rPr>
          <w:sz w:val="22"/>
        </w:rPr>
        <w:t>projektový manažer zajišťovat prodloužení harmonogramu projektu s OP</w:t>
      </w:r>
      <w:r>
        <w:rPr>
          <w:spacing w:val="-12"/>
          <w:sz w:val="22"/>
        </w:rPr>
        <w:t> </w:t>
      </w:r>
      <w:r>
        <w:rPr>
          <w:sz w:val="22"/>
        </w:rPr>
        <w:t>PPR.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312" w:lineRule="auto" w:before="0" w:after="0"/>
        <w:ind w:left="827" w:right="374" w:hanging="360"/>
        <w:jc w:val="both"/>
        <w:rPr>
          <w:sz w:val="22"/>
        </w:rPr>
      </w:pPr>
      <w:r>
        <w:rPr>
          <w:b/>
          <w:sz w:val="22"/>
        </w:rPr>
        <w:t>Komplikace při zpracování dostupných dat: </w:t>
      </w:r>
      <w:r>
        <w:rPr>
          <w:sz w:val="22"/>
        </w:rPr>
        <w:t>Jedná se o riziko vyplývající z toho, že část dat mobilních operátorů bude mít nestandardní parametry a metadata, které nemají mnoho analogií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jiných</w:t>
      </w:r>
      <w:r>
        <w:rPr>
          <w:spacing w:val="-6"/>
          <w:sz w:val="22"/>
        </w:rPr>
        <w:t> </w:t>
      </w:r>
      <w:r>
        <w:rPr>
          <w:sz w:val="22"/>
        </w:rPr>
        <w:t>odvětvích.</w:t>
      </w:r>
      <w:r>
        <w:rPr>
          <w:spacing w:val="-5"/>
          <w:sz w:val="22"/>
        </w:rPr>
        <w:t> </w:t>
      </w:r>
      <w:r>
        <w:rPr>
          <w:sz w:val="22"/>
        </w:rPr>
        <w:t>Zde</w:t>
      </w:r>
      <w:r>
        <w:rPr>
          <w:spacing w:val="-7"/>
          <w:sz w:val="22"/>
        </w:rPr>
        <w:t> </w:t>
      </w:r>
      <w:r>
        <w:rPr>
          <w:sz w:val="22"/>
        </w:rPr>
        <w:t>bude</w:t>
      </w:r>
      <w:r>
        <w:rPr>
          <w:spacing w:val="-6"/>
          <w:sz w:val="22"/>
        </w:rPr>
        <w:t> </w:t>
      </w:r>
      <w:r>
        <w:rPr>
          <w:sz w:val="22"/>
        </w:rPr>
        <w:t>nutno</w:t>
      </w:r>
      <w:r>
        <w:rPr>
          <w:spacing w:val="-7"/>
          <w:sz w:val="22"/>
        </w:rPr>
        <w:t> </w:t>
      </w:r>
      <w:r>
        <w:rPr>
          <w:sz w:val="22"/>
        </w:rPr>
        <w:t>pečlivě</w:t>
      </w:r>
      <w:r>
        <w:rPr>
          <w:spacing w:val="-9"/>
          <w:sz w:val="22"/>
        </w:rPr>
        <w:t> </w:t>
      </w:r>
      <w:r>
        <w:rPr>
          <w:sz w:val="22"/>
        </w:rPr>
        <w:t>sledovat</w:t>
      </w:r>
      <w:r>
        <w:rPr>
          <w:spacing w:val="-7"/>
          <w:sz w:val="22"/>
        </w:rPr>
        <w:t> </w:t>
      </w:r>
      <w:r>
        <w:rPr>
          <w:sz w:val="22"/>
        </w:rPr>
        <w:t>vývoj</w:t>
      </w:r>
      <w:r>
        <w:rPr>
          <w:spacing w:val="-6"/>
          <w:sz w:val="22"/>
        </w:rPr>
        <w:t> </w:t>
      </w:r>
      <w:r>
        <w:rPr>
          <w:sz w:val="22"/>
        </w:rPr>
        <w:t>obsahu</w:t>
      </w:r>
      <w:r>
        <w:rPr>
          <w:spacing w:val="-6"/>
          <w:sz w:val="22"/>
        </w:rPr>
        <w:t> </w:t>
      </w:r>
      <w:r>
        <w:rPr>
          <w:sz w:val="22"/>
        </w:rPr>
        <w:t>projektu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případě nestandardních situací či nečekaných komplikací okamžitě</w:t>
      </w:r>
      <w:r>
        <w:rPr>
          <w:spacing w:val="-12"/>
          <w:sz w:val="22"/>
        </w:rPr>
        <w:t> </w:t>
      </w:r>
      <w:r>
        <w:rPr>
          <w:sz w:val="22"/>
        </w:rPr>
        <w:t>zasáhnout.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312" w:lineRule="auto"/>
        <w:ind w:left="107" w:right="119"/>
        <w:jc w:val="both"/>
      </w:pPr>
      <w:r>
        <w:rPr/>
        <w:t>Průběžně bude probíhat identifikace rizik pomocí kontrolních činností při výkonu běžného věcného, finančního a administrativního managementu projektu, tedy typicky při kontrole plnění projektového harmonogramu, plnění rozpočtu či plnění finančního plánu.</w:t>
      </w:r>
    </w:p>
    <w:p>
      <w:pPr>
        <w:pStyle w:val="BodyText"/>
        <w:spacing w:line="312" w:lineRule="auto" w:before="120"/>
        <w:ind w:left="107" w:right="116"/>
        <w:jc w:val="both"/>
      </w:pPr>
      <w:r>
        <w:rPr/>
        <w:t>Dále bude probíhat průběžná kontrola kvality plnění, tedy kontrola konkrétních výstupů z projektových činností převzatých od dodavatelů technickým a programovým manažerem, současně s tím i kontrola přijatých účetních dokladů vůči příslušným smlouvám (v součinnosti s účetním) a kontroly průběžného plnění úkolů členy projektového týmu.</w:t>
      </w:r>
    </w:p>
    <w:p>
      <w:pPr>
        <w:pStyle w:val="BodyText"/>
        <w:spacing w:line="312" w:lineRule="auto" w:before="120"/>
        <w:ind w:left="107" w:right="113"/>
        <w:jc w:val="both"/>
      </w:pPr>
      <w:r>
        <w:rPr/>
        <w:t>Při zjištění nově vzniklého či vznikajícího rizika bude toto nejdříve projednáno s relevantními subjekty, ať to budou členové projektového týmu, zástupci vedení zadavatele či zástupci poskytovatele dotace a následně budou provedeny nezbytné kroky k eliminaci či snížení závažnosti dopadu rizika. Po dobu řešení rizikové situace budou veškeré kroky vykonávány v režimu změnového managementu s prvky krizového řízení (tj. provádění výhradně zcela nezbytných kroků) a po dokončení ošetření rizika dojde   k návratu do běžného projektového</w:t>
      </w:r>
      <w:r>
        <w:rPr>
          <w:spacing w:val="-5"/>
        </w:rPr>
        <w:t> </w:t>
      </w:r>
      <w:r>
        <w:rPr/>
        <w:t>řízení.</w:t>
      </w:r>
    </w:p>
    <w:p>
      <w:pPr>
        <w:spacing w:after="0" w:line="312" w:lineRule="auto"/>
        <w:jc w:val="both"/>
        <w:sectPr>
          <w:pgSz w:w="11910" w:h="16840"/>
          <w:pgMar w:top="1080" w:bottom="280" w:left="1040" w:right="860"/>
        </w:sectPr>
      </w:pPr>
    </w:p>
    <w:p>
      <w:pPr>
        <w:pStyle w:val="BodyText"/>
        <w:spacing w:before="81"/>
        <w:ind w:left="187"/>
        <w:jc w:val="both"/>
      </w:pPr>
      <w:r>
        <w:rPr/>
        <w:t>Základní procesní tok při řízení rizik je uvedeno v následujícím grafickém schématu:</w:t>
      </w: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914400</wp:posOffset>
            </wp:positionH>
            <wp:positionV relativeFrom="paragraph">
              <wp:posOffset>125199</wp:posOffset>
            </wp:positionV>
            <wp:extent cx="6156325" cy="553974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553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3" w:right="0" w:hanging="356"/>
        <w:jc w:val="both"/>
      </w:pPr>
      <w:r>
        <w:rPr/>
        <w:t>vedení výkaznictví o projektových činnostech a řízení průběhu nákladů</w:t>
      </w:r>
      <w:r>
        <w:rPr>
          <w:spacing w:val="-14"/>
        </w:rPr>
        <w:t> </w:t>
      </w:r>
      <w:r>
        <w:rPr/>
        <w:t>projektu;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line="309" w:lineRule="auto"/>
        <w:ind w:left="187" w:right="319"/>
        <w:jc w:val="both"/>
      </w:pPr>
      <w:r>
        <w:rPr/>
        <w:t>Výkaznictví o projektových činnostech bude vedeno formou měsíčních zpráv o postupu projektu a současně vykázaných prací v členění na měsíce a jednotlivé členy projektového týmu.</w:t>
      </w:r>
    </w:p>
    <w:p>
      <w:pPr>
        <w:pStyle w:val="BodyText"/>
        <w:spacing w:line="312" w:lineRule="auto" w:before="122"/>
        <w:ind w:left="187" w:right="320"/>
        <w:jc w:val="both"/>
      </w:pPr>
      <w:r>
        <w:rPr/>
        <w:t>Samostatně budou uváděny činnosti čistě administrativního charakteru (tj. administrace projektu jako taková) a samostatně činnosti, spočívající v aktivním řízení projektu (tj. projektový management).</w:t>
      </w:r>
    </w:p>
    <w:p>
      <w:pPr>
        <w:pStyle w:val="BodyText"/>
        <w:spacing w:line="312" w:lineRule="auto" w:before="117"/>
        <w:ind w:left="187" w:right="316"/>
        <w:jc w:val="both"/>
      </w:pPr>
      <w:r>
        <w:rPr/>
        <w:t>Finanční management je součástí projektového managementu, jeho evidence ale bude prováděna taktéž s tím, že přesně dělení například do evidenčních podkapitol bude případně určeno po zahájení projektu na setkání projektového týmu.</w:t>
      </w:r>
    </w:p>
    <w:p>
      <w:pPr>
        <w:pStyle w:val="BodyText"/>
        <w:spacing w:line="312" w:lineRule="auto" w:before="120"/>
        <w:ind w:left="187" w:right="316"/>
        <w:jc w:val="both"/>
      </w:pPr>
      <w:r>
        <w:rPr/>
        <w:t>Součástí</w:t>
      </w:r>
      <w:r>
        <w:rPr>
          <w:spacing w:val="-4"/>
        </w:rPr>
        <w:t> </w:t>
      </w:r>
      <w:r>
        <w:rPr/>
        <w:t>výkaznictví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také</w:t>
      </w:r>
      <w:r>
        <w:rPr>
          <w:spacing w:val="-4"/>
        </w:rPr>
        <w:t> </w:t>
      </w:r>
      <w:r>
        <w:rPr/>
        <w:t>zpracování</w:t>
      </w:r>
      <w:r>
        <w:rPr>
          <w:spacing w:val="-3"/>
        </w:rPr>
        <w:t> </w:t>
      </w:r>
      <w:r>
        <w:rPr/>
        <w:t>zápisů</w:t>
      </w:r>
      <w:r>
        <w:rPr>
          <w:spacing w:val="-4"/>
        </w:rPr>
        <w:t> </w:t>
      </w:r>
      <w:r>
        <w:rPr/>
        <w:t>z porad</w:t>
      </w:r>
      <w:r>
        <w:rPr>
          <w:spacing w:val="-4"/>
        </w:rPr>
        <w:t> </w:t>
      </w:r>
      <w:r>
        <w:rPr/>
        <w:t>projektového</w:t>
      </w:r>
      <w:r>
        <w:rPr>
          <w:spacing w:val="-4"/>
        </w:rPr>
        <w:t> </w:t>
      </w:r>
      <w:r>
        <w:rPr/>
        <w:t>tým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kontrolních</w:t>
      </w:r>
      <w:r>
        <w:rPr>
          <w:spacing w:val="-4"/>
        </w:rPr>
        <w:t> </w:t>
      </w:r>
      <w:r>
        <w:rPr/>
        <w:t>dnů</w:t>
      </w:r>
      <w:r>
        <w:rPr>
          <w:spacing w:val="-4"/>
        </w:rPr>
        <w:t> </w:t>
      </w:r>
      <w:r>
        <w:rPr/>
        <w:t>(viz</w:t>
      </w:r>
      <w:r>
        <w:rPr>
          <w:spacing w:val="-4"/>
        </w:rPr>
        <w:t> </w:t>
      </w:r>
      <w:r>
        <w:rPr/>
        <w:t>bod</w:t>
      </w:r>
      <w:r>
        <w:rPr>
          <w:spacing w:val="-4"/>
        </w:rPr>
        <w:t> </w:t>
      </w:r>
      <w:r>
        <w:rPr/>
        <w:t>b))</w:t>
      </w:r>
      <w:r>
        <w:rPr>
          <w:spacing w:val="-7"/>
        </w:rPr>
        <w:t> </w:t>
      </w:r>
      <w:r>
        <w:rPr/>
        <w:t>a v neposlední řadě také evidence veškerých elektronických materiálů, zpracovaných a zasílaných prostřednictvím dotačního systému MS</w:t>
      </w:r>
      <w:r>
        <w:rPr>
          <w:spacing w:val="-8"/>
        </w:rPr>
        <w:t> </w:t>
      </w:r>
      <w:r>
        <w:rPr/>
        <w:t>2014+.</w:t>
      </w:r>
    </w:p>
    <w:p>
      <w:pPr>
        <w:spacing w:after="0" w:line="312" w:lineRule="auto"/>
        <w:jc w:val="both"/>
        <w:sectPr>
          <w:pgSz w:w="11910" w:h="16840"/>
          <w:pgMar w:top="620" w:bottom="280" w:left="960" w:right="660"/>
        </w:sectPr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312" w:lineRule="auto" w:before="77" w:after="0"/>
        <w:ind w:left="473" w:right="124" w:hanging="356"/>
        <w:jc w:val="left"/>
      </w:pPr>
      <w:r>
        <w:rPr/>
        <w:t>způsob součinnost se zadavatelem při povinném výkaznictví a auditech ze strany poskytovatele dotace, MHMP a dalších oprávněných</w:t>
      </w:r>
      <w:r>
        <w:rPr>
          <w:spacing w:val="-21"/>
        </w:rPr>
        <w:t> </w:t>
      </w:r>
      <w:r>
        <w:rPr/>
        <w:t>kontrolách.</w:t>
      </w:r>
    </w:p>
    <w:p>
      <w:pPr>
        <w:pStyle w:val="BodyText"/>
        <w:spacing w:line="312" w:lineRule="auto" w:before="241"/>
        <w:ind w:left="187" w:right="113"/>
        <w:jc w:val="both"/>
      </w:pPr>
      <w:r>
        <w:rPr/>
        <w:t>Součinnost se zadavatelem bude spočívat v přípravě potřebných dokladů pro audity či kontroly, osobní účast projektových pracovníků při kontrolách projektu a auditech v souvislosti s realizací projektu, průběžné provádění či zajištění nápravných opatření, poskytnutí požadované dokumentace a příprava odpovědí kontrolnímu orgánu.</w:t>
      </w:r>
    </w:p>
    <w:p>
      <w:pPr>
        <w:pStyle w:val="BodyText"/>
        <w:spacing w:line="312" w:lineRule="auto" w:before="118"/>
        <w:ind w:left="187" w:right="122"/>
        <w:jc w:val="both"/>
      </w:pPr>
      <w:r>
        <w:rPr/>
        <w:t>Za klíčovou lze v kontextu jakéhokoliv auditu považovat přímou osobní účast projektového a finančního managementu projektu.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100"/>
        <w:ind w:left="8803" w:right="385" w:firstLine="0"/>
        <w:jc w:val="left"/>
        <w:rPr>
          <w:rFonts w:ascii="Calibri" w:hAnsi="Calibri"/>
          <w:sz w:val="12"/>
        </w:rPr>
      </w:pPr>
      <w:r>
        <w:rPr/>
        <w:pict>
          <v:shape style="position:absolute;margin-left:465.768555pt;margin-top:5.875698pt;width:43.5pt;height:43.2pt;mso-position-horizontal-relative:page;mso-position-vertical-relative:paragraph;z-index:-5128" coordorigin="9315,118" coordsize="870,864" path="m9472,798l9396,847,9348,895,9323,936,9315,966,9321,978,9326,981,9382,981,9387,979,9332,979,9340,947,9368,901,9414,849,9472,798xm9687,118l9670,129,9661,156,9658,186,9657,208,9658,227,9660,248,9662,271,9666,294,9670,317,9675,341,9681,365,9687,389,9681,418,9662,469,9634,538,9598,618,9556,702,9511,785,9464,861,9417,922,9372,964,9332,979,9387,979,9390,978,9436,938,9491,868,9557,763,9566,760,9557,760,9620,645,9662,557,9688,490,9703,438,9734,438,9715,387,9721,341,9703,341,9693,303,9686,265,9682,230,9681,198,9681,185,9683,162,9689,139,9700,123,9721,123,9710,118,9687,118xm10176,758l10151,758,10141,767,10141,791,10151,800,10176,800,10180,796,10154,796,10146,789,10146,770,10154,763,10180,763,10176,758xm10180,763l10173,763,10179,770,10179,789,10173,796,10180,796,10185,791,10185,767,10180,763xm10169,766l10155,766,10155,791,10159,791,10159,781,10170,781,10170,781,10167,780,10172,778,10159,778,10159,771,10172,771,10171,769,10169,766xm10170,781l10164,781,10166,784,10167,787,10168,791,10172,791,10171,787,10171,783,10170,781xm10172,771l10165,771,10167,772,10167,777,10164,778,10172,778,10172,774,10172,771xm9734,438l9703,438,9751,534,9800,599,9847,641,9885,665,9805,681,9722,702,9639,728,9557,760,9566,760,9623,742,9694,724,9768,709,9843,697,9917,688,9984,688,9970,681,10030,679,10167,679,10144,666,10111,659,9931,659,9910,648,9890,635,9870,622,9851,608,9807,563,9770,510,9739,450,9734,438xm9984,688l9917,688,9975,714,10033,734,10086,746,10130,750,10148,749,10162,746,10171,739,10173,736,10148,736,10113,732,10070,721,10021,704,9984,688xm10176,730l10170,733,10160,736,10173,736,10176,730xm10167,679l10030,679,10099,681,10157,693,10179,720,10182,714,10185,712,10185,705,10174,683,10167,679xm10037,653l10013,654,9987,655,9931,659,10111,659,10097,656,10037,653xm9730,190l9725,216,9719,250,9712,291,9703,341,9721,341,9722,336,9726,287,9728,239,9730,190xm9721,123l9700,123,9709,129,9718,139,9726,153,9730,174,9733,141,9726,125,9721,123xe" filled="true" fillcolor="#ffd8d8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4.468292pt;margin-top:8.608588pt;width:42.45pt;height:17.4pt;mso-position-horizontal-relative:page;mso-position-vertical-relative:paragraph;z-index:1096" type="#_x0000_t202" filled="false" stroked="false">
            <v:textbox inset="0,0,0,0">
              <w:txbxContent>
                <w:p>
                  <w:pPr>
                    <w:spacing w:line="347" w:lineRule="exact" w:before="0"/>
                    <w:ind w:left="0" w:right="0" w:firstLine="0"/>
                    <w:jc w:val="left"/>
                    <w:rPr>
                      <w:rFonts w:ascii="Calibri" w:hAnsi="Calibri"/>
                      <w:sz w:val="29"/>
                    </w:rPr>
                  </w:pPr>
                  <w:r>
                    <w:rPr>
                      <w:rFonts w:ascii="Calibri" w:hAnsi="Calibri"/>
                      <w:w w:val="105"/>
                      <w:sz w:val="29"/>
                    </w:rPr>
                    <w:t>Ing.</w:t>
                  </w:r>
                  <w:r>
                    <w:rPr>
                      <w:rFonts w:ascii="Calibri" w:hAnsi="Calibri"/>
                      <w:spacing w:val="-21"/>
                      <w:w w:val="105"/>
                      <w:sz w:val="29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9"/>
                    </w:rPr>
                    <w:t>Jiří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/>
          <w:w w:val="105"/>
          <w:sz w:val="12"/>
        </w:rPr>
        <w:t>Digitálně podepsal Ing. Jiří Otta</w:t>
      </w:r>
    </w:p>
    <w:p>
      <w:pPr>
        <w:spacing w:after="0"/>
        <w:jc w:val="left"/>
        <w:rPr>
          <w:rFonts w:ascii="Calibri" w:hAnsi="Calibri"/>
          <w:sz w:val="12"/>
        </w:rPr>
        <w:sectPr>
          <w:pgSz w:w="11910" w:h="16840"/>
          <w:pgMar w:top="1080" w:bottom="280" w:left="960" w:right="860"/>
        </w:sectPr>
      </w:pPr>
    </w:p>
    <w:p>
      <w:pPr>
        <w:pStyle w:val="Heading1"/>
        <w:jc w:val="right"/>
      </w:pPr>
      <w:r>
        <w:rPr/>
        <w:t>Otta</w:t>
      </w:r>
    </w:p>
    <w:p>
      <w:pPr>
        <w:spacing w:line="235" w:lineRule="auto" w:before="0"/>
        <w:ind w:left="304" w:right="423" w:firstLine="0"/>
        <w:jc w:val="left"/>
        <w:rPr>
          <w:rFonts w:ascii="Calibri"/>
          <w:sz w:val="12"/>
        </w:rPr>
      </w:pPr>
      <w:r>
        <w:rPr/>
        <w:br w:type="column"/>
      </w:r>
      <w:r>
        <w:rPr>
          <w:rFonts w:ascii="Calibri"/>
          <w:sz w:val="12"/>
        </w:rPr>
        <w:t>Datum: </w:t>
      </w:r>
      <w:r>
        <w:rPr>
          <w:rFonts w:ascii="Calibri"/>
          <w:w w:val="95"/>
          <w:sz w:val="12"/>
        </w:rPr>
        <w:t>2018.10.25</w:t>
      </w:r>
    </w:p>
    <w:p>
      <w:pPr>
        <w:spacing w:line="144" w:lineRule="exact" w:before="1"/>
        <w:ind w:left="304" w:right="0" w:firstLine="0"/>
        <w:jc w:val="left"/>
        <w:rPr>
          <w:rFonts w:ascii="Calibri"/>
          <w:sz w:val="12"/>
        </w:rPr>
      </w:pPr>
      <w:r>
        <w:rPr>
          <w:rFonts w:ascii="Calibri"/>
          <w:sz w:val="12"/>
        </w:rPr>
        <w:t>23:14:22 +02'00'</w:t>
      </w:r>
    </w:p>
    <w:sectPr>
      <w:type w:val="continuous"/>
      <w:pgSz w:w="11910" w:h="16840"/>
      <w:pgMar w:top="740" w:bottom="280" w:left="960" w:right="860"/>
      <w:cols w:num="2" w:equalWidth="0">
        <w:col w:w="8460" w:space="40"/>
        <w:col w:w="15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238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13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5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533" w:hanging="356"/>
        <w:jc w:val="right"/>
      </w:pPr>
      <w:rPr>
        <w:rFonts w:hint="default" w:ascii="Cambria" w:hAnsi="Cambria" w:eastAsia="Cambria" w:cs="Cambria"/>
        <w:b/>
        <w:bCs/>
        <w:spacing w:val="-14"/>
        <w:w w:val="99"/>
        <w:sz w:val="24"/>
        <w:szCs w:val="24"/>
      </w:rPr>
    </w:lvl>
    <w:lvl w:ilvl="1">
      <w:start w:val="0"/>
      <w:numFmt w:val="bullet"/>
      <w:lvlText w:val=""/>
      <w:lvlJc w:val="left"/>
      <w:pPr>
        <w:ind w:left="90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9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9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4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9" w:hanging="360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341" w:lineRule="exact"/>
      <w:outlineLvl w:val="1"/>
    </w:pPr>
    <w:rPr>
      <w:rFonts w:ascii="Calibri" w:hAnsi="Calibri" w:eastAsia="Calibri" w:cs="Calibri"/>
      <w:sz w:val="29"/>
      <w:szCs w:val="29"/>
    </w:rPr>
  </w:style>
  <w:style w:styleId="Heading2" w:type="paragraph">
    <w:name w:val="Heading 2"/>
    <w:basedOn w:val="Normal"/>
    <w:uiPriority w:val="1"/>
    <w:qFormat/>
    <w:pPr>
      <w:ind w:left="473" w:hanging="356"/>
      <w:outlineLvl w:val="2"/>
    </w:pPr>
    <w:rPr>
      <w:rFonts w:ascii="Cambria" w:hAnsi="Cambria" w:eastAsia="Cambria" w:cs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38" w:hanging="36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Novotný</dc:creator>
  <dcterms:created xsi:type="dcterms:W3CDTF">2018-12-10T15:30:20Z</dcterms:created>
  <dcterms:modified xsi:type="dcterms:W3CDTF">2018-12-10T15:30:20Z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2018-12-10T00:00:00Z</vt:filetime>
  </property>
</Properties>
</file>