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77" w:rsidRPr="006C721B" w:rsidRDefault="00935017" w:rsidP="006C721B">
      <w:pPr>
        <w:pStyle w:val="Nadpis"/>
        <w:spacing w:before="0" w:after="0" w:line="240" w:lineRule="atLeast"/>
        <w:jc w:val="center"/>
        <w:rPr>
          <w:rFonts w:cs="Arial"/>
          <w:b/>
          <w:spacing w:val="20"/>
          <w:sz w:val="32"/>
          <w:szCs w:val="36"/>
        </w:rPr>
      </w:pPr>
      <w:r w:rsidRPr="006C721B">
        <w:rPr>
          <w:rFonts w:cs="Arial"/>
          <w:b/>
          <w:spacing w:val="20"/>
          <w:sz w:val="32"/>
          <w:szCs w:val="36"/>
        </w:rPr>
        <w:t>D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O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H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O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D</w:t>
      </w:r>
      <w:r w:rsidR="00225BC6" w:rsidRPr="006C721B">
        <w:rPr>
          <w:rFonts w:cs="Arial"/>
          <w:b/>
          <w:spacing w:val="20"/>
          <w:sz w:val="32"/>
          <w:szCs w:val="36"/>
        </w:rPr>
        <w:t xml:space="preserve"> </w:t>
      </w:r>
      <w:r w:rsidRPr="006C721B">
        <w:rPr>
          <w:rFonts w:cs="Arial"/>
          <w:b/>
          <w:spacing w:val="20"/>
          <w:sz w:val="32"/>
          <w:szCs w:val="36"/>
        </w:rPr>
        <w:t>A</w:t>
      </w:r>
    </w:p>
    <w:p w:rsidR="006C721B" w:rsidRDefault="006C721B" w:rsidP="006C721B">
      <w:pPr>
        <w:pStyle w:val="Nadpis"/>
        <w:spacing w:before="0" w:after="0" w:line="240" w:lineRule="atLeast"/>
        <w:rPr>
          <w:rFonts w:cs="Arial"/>
          <w:b/>
          <w:sz w:val="24"/>
          <w:szCs w:val="36"/>
        </w:rPr>
      </w:pPr>
    </w:p>
    <w:p w:rsidR="00F6008E" w:rsidRPr="006C721B" w:rsidRDefault="00612772" w:rsidP="006C721B">
      <w:pPr>
        <w:pStyle w:val="Nadpis"/>
        <w:spacing w:before="0" w:after="0" w:line="240" w:lineRule="atLeast"/>
        <w:jc w:val="center"/>
        <w:rPr>
          <w:rFonts w:cs="Arial"/>
          <w:b/>
          <w:sz w:val="24"/>
          <w:szCs w:val="36"/>
        </w:rPr>
      </w:pPr>
      <w:r w:rsidRPr="006C721B">
        <w:rPr>
          <w:rFonts w:cs="Arial"/>
          <w:b/>
          <w:sz w:val="24"/>
          <w:szCs w:val="36"/>
        </w:rPr>
        <w:t xml:space="preserve">o </w:t>
      </w:r>
      <w:r w:rsidR="00935017" w:rsidRPr="006C721B">
        <w:rPr>
          <w:rFonts w:cs="Arial"/>
          <w:b/>
          <w:sz w:val="24"/>
          <w:szCs w:val="36"/>
        </w:rPr>
        <w:t>vypořádání nároků</w:t>
      </w:r>
      <w:r w:rsidR="00BD2577" w:rsidRPr="006C721B">
        <w:rPr>
          <w:rFonts w:cs="Arial"/>
          <w:b/>
          <w:sz w:val="24"/>
          <w:szCs w:val="36"/>
        </w:rPr>
        <w:t xml:space="preserve"> z neplatné smlouvy</w:t>
      </w:r>
    </w:p>
    <w:p w:rsidR="006C721B" w:rsidRPr="006C721B" w:rsidRDefault="006C721B" w:rsidP="006C721B">
      <w:pPr>
        <w:spacing w:line="240" w:lineRule="atLeast"/>
        <w:rPr>
          <w:rFonts w:cs="Arial"/>
          <w:szCs w:val="22"/>
        </w:rPr>
      </w:pPr>
    </w:p>
    <w:p w:rsidR="00DB6688" w:rsidRPr="006C721B" w:rsidRDefault="00DB6688" w:rsidP="006C721B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uzavřená </w:t>
      </w:r>
      <w:r w:rsidR="00BC6A50" w:rsidRPr="006C721B">
        <w:rPr>
          <w:rFonts w:cs="Arial"/>
          <w:szCs w:val="22"/>
        </w:rPr>
        <w:t xml:space="preserve">podle </w:t>
      </w:r>
      <w:r w:rsidRPr="006C721B">
        <w:rPr>
          <w:rFonts w:cs="Arial"/>
          <w:szCs w:val="22"/>
        </w:rPr>
        <w:t xml:space="preserve">§ </w:t>
      </w:r>
      <w:r w:rsidR="008532CE" w:rsidRPr="006C721B">
        <w:rPr>
          <w:rFonts w:cs="Arial"/>
          <w:szCs w:val="22"/>
        </w:rPr>
        <w:t>2993</w:t>
      </w:r>
      <w:r w:rsidRPr="006C721B">
        <w:rPr>
          <w:rFonts w:cs="Arial"/>
          <w:szCs w:val="22"/>
        </w:rPr>
        <w:t xml:space="preserve"> občanského zákoníku mezi těmito </w:t>
      </w:r>
      <w:r w:rsidR="00A60A33" w:rsidRPr="006C721B">
        <w:rPr>
          <w:rFonts w:cs="Arial"/>
          <w:szCs w:val="22"/>
        </w:rPr>
        <w:t xml:space="preserve">smluvními </w:t>
      </w:r>
      <w:r w:rsidRPr="006C721B">
        <w:rPr>
          <w:rFonts w:cs="Arial"/>
          <w:szCs w:val="22"/>
        </w:rPr>
        <w:t>stranami:</w:t>
      </w:r>
    </w:p>
    <w:p w:rsidR="00C46C83" w:rsidRDefault="00C46C83" w:rsidP="00C46C83">
      <w:pPr>
        <w:spacing w:line="240" w:lineRule="atLeast"/>
        <w:rPr>
          <w:rFonts w:cs="Arial"/>
          <w:szCs w:val="22"/>
        </w:rPr>
      </w:pPr>
    </w:p>
    <w:p w:rsidR="006C721B" w:rsidRPr="006C721B" w:rsidRDefault="006C721B" w:rsidP="00C46C83">
      <w:pPr>
        <w:spacing w:line="240" w:lineRule="atLeast"/>
        <w:rPr>
          <w:rFonts w:cs="Arial"/>
          <w:szCs w:val="22"/>
        </w:rPr>
      </w:pPr>
    </w:p>
    <w:p w:rsidR="008532CE" w:rsidRPr="006C721B" w:rsidRDefault="00BC6A50" w:rsidP="00BC6A50">
      <w:pPr>
        <w:spacing w:line="240" w:lineRule="atLeast"/>
        <w:rPr>
          <w:rFonts w:cs="Arial"/>
          <w:b/>
          <w:szCs w:val="22"/>
        </w:rPr>
      </w:pPr>
      <w:r w:rsidRPr="006C721B">
        <w:rPr>
          <w:rFonts w:cs="Arial"/>
          <w:szCs w:val="22"/>
        </w:rPr>
        <w:t xml:space="preserve">1. </w:t>
      </w:r>
      <w:r w:rsidR="008532CE" w:rsidRPr="006C721B">
        <w:rPr>
          <w:rFonts w:cs="Arial"/>
          <w:b/>
          <w:szCs w:val="22"/>
        </w:rPr>
        <w:t>Zařízení následné rehabilitační a hospicové péče, příspěvková organizace</w:t>
      </w:r>
    </w:p>
    <w:p w:rsidR="00BC6A50" w:rsidRPr="006C721B" w:rsidRDefault="008532CE" w:rsidP="00BC6A50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</w:t>
      </w:r>
      <w:r w:rsidR="00BC6A50" w:rsidRPr="006C721B">
        <w:rPr>
          <w:rFonts w:cs="Arial"/>
          <w:szCs w:val="22"/>
        </w:rPr>
        <w:t xml:space="preserve">IČO </w:t>
      </w:r>
      <w:r w:rsidR="00BD2577" w:rsidRPr="006C721B">
        <w:rPr>
          <w:rFonts w:cs="Arial"/>
          <w:szCs w:val="22"/>
        </w:rPr>
        <w:t>69979821</w:t>
      </w:r>
      <w:r w:rsidRPr="006C721B">
        <w:rPr>
          <w:rFonts w:cs="Arial"/>
          <w:szCs w:val="22"/>
        </w:rPr>
        <w:t xml:space="preserve">, </w:t>
      </w:r>
      <w:r w:rsidR="00BC6A50" w:rsidRPr="006C721B">
        <w:rPr>
          <w:rFonts w:cs="Arial"/>
          <w:szCs w:val="22"/>
        </w:rPr>
        <w:t xml:space="preserve">se sídlem </w:t>
      </w:r>
      <w:r w:rsidRPr="006C721B">
        <w:rPr>
          <w:rFonts w:cs="Arial"/>
          <w:szCs w:val="22"/>
        </w:rPr>
        <w:t>Nejdek</w:t>
      </w:r>
      <w:r w:rsidR="00BC6A50" w:rsidRPr="006C721B">
        <w:rPr>
          <w:rFonts w:cs="Arial"/>
          <w:szCs w:val="22"/>
        </w:rPr>
        <w:t xml:space="preserve">, </w:t>
      </w:r>
      <w:r w:rsidRPr="006C721B">
        <w:rPr>
          <w:rFonts w:cs="Arial"/>
          <w:szCs w:val="22"/>
        </w:rPr>
        <w:t>Perninská 975</w:t>
      </w:r>
      <w:r w:rsidR="00BC6A50" w:rsidRPr="006C721B">
        <w:rPr>
          <w:rFonts w:cs="Arial"/>
          <w:szCs w:val="22"/>
        </w:rPr>
        <w:t xml:space="preserve">, PSČ 362 </w:t>
      </w:r>
      <w:r w:rsidRPr="006C721B">
        <w:rPr>
          <w:rFonts w:cs="Arial"/>
          <w:szCs w:val="22"/>
        </w:rPr>
        <w:t>21</w:t>
      </w:r>
    </w:p>
    <w:p w:rsidR="008532CE" w:rsidRPr="006C721B" w:rsidRDefault="008532CE" w:rsidP="00BC6A50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zapsaná v rejstříku přísp. organizací u Krajského soudu v Plzni pod sp. zn. Pr 542</w:t>
      </w:r>
    </w:p>
    <w:p w:rsidR="00BC6A50" w:rsidRPr="006C721B" w:rsidRDefault="00BC6A50" w:rsidP="006C721B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zastoupen</w:t>
      </w:r>
      <w:r w:rsidR="008532CE" w:rsidRPr="006C721B">
        <w:rPr>
          <w:rFonts w:cs="Arial"/>
          <w:szCs w:val="22"/>
        </w:rPr>
        <w:t>á</w:t>
      </w:r>
      <w:r w:rsidRPr="006C721B">
        <w:rPr>
          <w:rFonts w:cs="Arial"/>
          <w:szCs w:val="22"/>
        </w:rPr>
        <w:t xml:space="preserve"> </w:t>
      </w:r>
      <w:r w:rsidR="008532CE" w:rsidRPr="006C721B">
        <w:rPr>
          <w:rFonts w:cs="Arial"/>
          <w:szCs w:val="22"/>
        </w:rPr>
        <w:t>ředitelkou p. Olgou Pištejovou, DiS</w:t>
      </w:r>
    </w:p>
    <w:p w:rsidR="006C721B" w:rsidRDefault="006C721B" w:rsidP="006C721B">
      <w:pPr>
        <w:spacing w:line="240" w:lineRule="atLeast"/>
        <w:rPr>
          <w:rFonts w:cs="Arial"/>
          <w:szCs w:val="22"/>
        </w:rPr>
      </w:pPr>
    </w:p>
    <w:p w:rsidR="00BC6A50" w:rsidRPr="006C721B" w:rsidRDefault="00BC6A50" w:rsidP="006C721B">
      <w:pPr>
        <w:spacing w:line="240" w:lineRule="atLeast"/>
        <w:rPr>
          <w:rFonts w:cs="Arial"/>
          <w:b/>
          <w:i/>
          <w:szCs w:val="22"/>
        </w:rPr>
      </w:pPr>
      <w:r w:rsidRPr="006C721B">
        <w:rPr>
          <w:rFonts w:cs="Arial"/>
          <w:szCs w:val="22"/>
        </w:rPr>
        <w:t xml:space="preserve">    dále  jen</w:t>
      </w:r>
      <w:r w:rsidRPr="006C721B">
        <w:rPr>
          <w:rFonts w:cs="Arial"/>
          <w:szCs w:val="22"/>
        </w:rPr>
        <w:tab/>
      </w:r>
      <w:r w:rsidR="008532CE" w:rsidRPr="006C721B">
        <w:rPr>
          <w:rFonts w:cs="Arial"/>
          <w:b/>
          <w:i/>
          <w:szCs w:val="22"/>
        </w:rPr>
        <w:t>o r g a n i z a c e</w:t>
      </w:r>
    </w:p>
    <w:p w:rsidR="006C721B" w:rsidRDefault="006C721B" w:rsidP="006C721B">
      <w:pPr>
        <w:spacing w:line="240" w:lineRule="atLeast"/>
        <w:jc w:val="center"/>
        <w:rPr>
          <w:rFonts w:cs="Arial"/>
          <w:szCs w:val="22"/>
        </w:rPr>
      </w:pPr>
    </w:p>
    <w:p w:rsidR="00BC6A50" w:rsidRPr="006C721B" w:rsidRDefault="00BC6A50" w:rsidP="006C721B">
      <w:pPr>
        <w:spacing w:line="240" w:lineRule="atLeast"/>
        <w:jc w:val="center"/>
        <w:rPr>
          <w:rFonts w:cs="Arial"/>
          <w:szCs w:val="22"/>
        </w:rPr>
      </w:pPr>
      <w:r w:rsidRPr="006C721B">
        <w:rPr>
          <w:rFonts w:cs="Arial"/>
          <w:szCs w:val="22"/>
        </w:rPr>
        <w:t>a</w:t>
      </w:r>
    </w:p>
    <w:p w:rsidR="00BC6A50" w:rsidRPr="006C721B" w:rsidRDefault="00BC6A50" w:rsidP="006C721B">
      <w:pPr>
        <w:spacing w:line="240" w:lineRule="atLeast"/>
        <w:rPr>
          <w:rFonts w:cs="Arial"/>
          <w:szCs w:val="22"/>
        </w:rPr>
      </w:pPr>
    </w:p>
    <w:p w:rsidR="00046089" w:rsidRPr="006C721B" w:rsidRDefault="00BC6A50" w:rsidP="006C721B">
      <w:pPr>
        <w:spacing w:line="240" w:lineRule="atLeast"/>
        <w:rPr>
          <w:rFonts w:cs="Arial"/>
          <w:b/>
          <w:szCs w:val="22"/>
        </w:rPr>
      </w:pPr>
      <w:r w:rsidRPr="006C721B">
        <w:rPr>
          <w:rFonts w:cs="Arial"/>
          <w:szCs w:val="22"/>
        </w:rPr>
        <w:t>2</w:t>
      </w:r>
      <w:r w:rsidR="00046089" w:rsidRPr="006C721B">
        <w:rPr>
          <w:rFonts w:cs="Arial"/>
          <w:szCs w:val="22"/>
        </w:rPr>
        <w:t>.</w:t>
      </w:r>
      <w:r w:rsidR="000D22AB" w:rsidRPr="006C721B">
        <w:rPr>
          <w:rFonts w:cs="Arial"/>
          <w:szCs w:val="22"/>
        </w:rPr>
        <w:t xml:space="preserve"> </w:t>
      </w:r>
      <w:r w:rsidR="002A294F">
        <w:rPr>
          <w:rFonts w:cs="Arial"/>
          <w:b/>
          <w:szCs w:val="22"/>
        </w:rPr>
        <w:t>VÝTAHY SCHMITT+SOHN s.r.o.</w:t>
      </w:r>
    </w:p>
    <w:p w:rsidR="008532CE" w:rsidRPr="006C721B" w:rsidRDefault="008532CE" w:rsidP="006C721B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IČO 2</w:t>
      </w:r>
      <w:r w:rsidR="002A294F">
        <w:rPr>
          <w:rFonts w:cs="Arial"/>
          <w:szCs w:val="22"/>
        </w:rPr>
        <w:t>5218883</w:t>
      </w:r>
      <w:r w:rsidRPr="006C721B">
        <w:rPr>
          <w:rFonts w:cs="Arial"/>
          <w:szCs w:val="22"/>
        </w:rPr>
        <w:t xml:space="preserve">, se sídlem </w:t>
      </w:r>
      <w:r w:rsidR="002A294F">
        <w:rPr>
          <w:rFonts w:cs="Arial"/>
          <w:szCs w:val="22"/>
        </w:rPr>
        <w:t>Jenišov 116</w:t>
      </w:r>
      <w:r w:rsidRPr="006C721B">
        <w:rPr>
          <w:rFonts w:cs="Arial"/>
          <w:szCs w:val="22"/>
        </w:rPr>
        <w:t>, PSČ 3</w:t>
      </w:r>
      <w:r w:rsidR="002A294F">
        <w:rPr>
          <w:rFonts w:cs="Arial"/>
          <w:szCs w:val="22"/>
        </w:rPr>
        <w:t>62</w:t>
      </w:r>
      <w:r w:rsidRPr="006C721B">
        <w:rPr>
          <w:rFonts w:cs="Arial"/>
          <w:szCs w:val="22"/>
        </w:rPr>
        <w:t xml:space="preserve"> </w:t>
      </w:r>
      <w:r w:rsidR="002A294F">
        <w:rPr>
          <w:rFonts w:cs="Arial"/>
          <w:szCs w:val="22"/>
        </w:rPr>
        <w:t>1</w:t>
      </w:r>
      <w:r w:rsidRPr="006C721B">
        <w:rPr>
          <w:rFonts w:cs="Arial"/>
          <w:szCs w:val="22"/>
        </w:rPr>
        <w:t>1</w:t>
      </w:r>
    </w:p>
    <w:p w:rsidR="008532CE" w:rsidRPr="006C721B" w:rsidRDefault="008532CE" w:rsidP="006C721B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zapsaná v obchodním rejstříku u Krajského soudu v Plzni </w:t>
      </w:r>
      <w:r w:rsidR="002A294F">
        <w:rPr>
          <w:rFonts w:cs="Arial"/>
          <w:szCs w:val="22"/>
        </w:rPr>
        <w:t>odd</w:t>
      </w:r>
      <w:r w:rsidRPr="006C721B">
        <w:rPr>
          <w:rFonts w:cs="Arial"/>
          <w:szCs w:val="22"/>
        </w:rPr>
        <w:t xml:space="preserve"> C </w:t>
      </w:r>
      <w:r w:rsidR="002A294F">
        <w:rPr>
          <w:rFonts w:cs="Arial"/>
          <w:szCs w:val="22"/>
        </w:rPr>
        <w:t>vložka 9649</w:t>
      </w:r>
    </w:p>
    <w:p w:rsidR="006C721B" w:rsidRDefault="00EE1206" w:rsidP="006C721B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</w:t>
      </w:r>
      <w:r w:rsidR="008532CE" w:rsidRPr="006C721B">
        <w:rPr>
          <w:rFonts w:cs="Arial"/>
          <w:szCs w:val="22"/>
        </w:rPr>
        <w:t xml:space="preserve">zastoupená jednatelem p. </w:t>
      </w:r>
      <w:r w:rsidR="002A294F">
        <w:rPr>
          <w:rFonts w:cs="Arial"/>
          <w:szCs w:val="22"/>
        </w:rPr>
        <w:t>Antonínem Jarošem nebo Ivo Marešem</w:t>
      </w:r>
    </w:p>
    <w:p w:rsidR="002A294F" w:rsidRDefault="002A294F" w:rsidP="006C721B">
      <w:pPr>
        <w:spacing w:line="240" w:lineRule="atLeast"/>
        <w:rPr>
          <w:rFonts w:cs="Arial"/>
          <w:szCs w:val="22"/>
        </w:rPr>
      </w:pPr>
    </w:p>
    <w:p w:rsidR="00046089" w:rsidRPr="006C721B" w:rsidRDefault="00C46C83" w:rsidP="006C721B">
      <w:pPr>
        <w:spacing w:line="240" w:lineRule="atLeast"/>
        <w:rPr>
          <w:rFonts w:cs="Arial"/>
          <w:b/>
          <w:i/>
          <w:szCs w:val="22"/>
        </w:rPr>
      </w:pPr>
      <w:r w:rsidRPr="006C721B">
        <w:rPr>
          <w:rFonts w:cs="Arial"/>
          <w:szCs w:val="22"/>
        </w:rPr>
        <w:t xml:space="preserve">   </w:t>
      </w:r>
      <w:r w:rsidR="000D22AB" w:rsidRPr="006C721B">
        <w:rPr>
          <w:rFonts w:cs="Arial"/>
          <w:szCs w:val="22"/>
        </w:rPr>
        <w:t xml:space="preserve"> </w:t>
      </w:r>
      <w:r w:rsidR="00046089" w:rsidRPr="006C721B">
        <w:rPr>
          <w:rFonts w:cs="Arial"/>
          <w:szCs w:val="22"/>
        </w:rPr>
        <w:t xml:space="preserve">dále  jen   </w:t>
      </w:r>
      <w:r w:rsidRPr="006C721B">
        <w:rPr>
          <w:rFonts w:cs="Arial"/>
          <w:szCs w:val="22"/>
        </w:rPr>
        <w:tab/>
      </w:r>
      <w:r w:rsidR="008532CE" w:rsidRPr="006C721B">
        <w:rPr>
          <w:rFonts w:cs="Arial"/>
          <w:b/>
          <w:i/>
          <w:szCs w:val="22"/>
        </w:rPr>
        <w:t>s p o l e č n o s t</w:t>
      </w:r>
    </w:p>
    <w:p w:rsidR="004B76FB" w:rsidRDefault="004B76FB" w:rsidP="006C721B">
      <w:pPr>
        <w:spacing w:line="240" w:lineRule="atLeast"/>
        <w:jc w:val="both"/>
        <w:rPr>
          <w:rFonts w:cs="Arial"/>
          <w:szCs w:val="22"/>
        </w:rPr>
      </w:pPr>
    </w:p>
    <w:p w:rsidR="006C721B" w:rsidRPr="006C721B" w:rsidRDefault="006C721B" w:rsidP="006C721B">
      <w:pPr>
        <w:spacing w:line="240" w:lineRule="atLeast"/>
        <w:jc w:val="both"/>
        <w:rPr>
          <w:rFonts w:cs="Arial"/>
          <w:szCs w:val="22"/>
        </w:rPr>
      </w:pPr>
    </w:p>
    <w:p w:rsidR="00F6008E" w:rsidRDefault="00F6008E" w:rsidP="00935017">
      <w:pPr>
        <w:spacing w:line="240" w:lineRule="atLeast"/>
        <w:jc w:val="center"/>
        <w:rPr>
          <w:rFonts w:cs="Arial"/>
          <w:b/>
          <w:szCs w:val="22"/>
        </w:rPr>
      </w:pPr>
      <w:r w:rsidRPr="006C721B">
        <w:rPr>
          <w:rFonts w:cs="Arial"/>
          <w:b/>
          <w:szCs w:val="22"/>
        </w:rPr>
        <w:t>I.</w:t>
      </w:r>
    </w:p>
    <w:p w:rsidR="006C721B" w:rsidRPr="006C721B" w:rsidRDefault="006C721B" w:rsidP="00935017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Původní závazek</w:t>
      </w:r>
    </w:p>
    <w:p w:rsidR="00935017" w:rsidRPr="006C721B" w:rsidRDefault="00935017" w:rsidP="00935017">
      <w:pPr>
        <w:spacing w:line="240" w:lineRule="atLeast"/>
        <w:jc w:val="center"/>
        <w:rPr>
          <w:rFonts w:cs="Arial"/>
          <w:b/>
          <w:szCs w:val="22"/>
        </w:rPr>
      </w:pPr>
    </w:p>
    <w:p w:rsidR="008532CE" w:rsidRPr="006C721B" w:rsidRDefault="008532CE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Strany mezi sebou dne </w:t>
      </w:r>
      <w:r w:rsidR="00374E17">
        <w:rPr>
          <w:rFonts w:cs="Arial"/>
          <w:szCs w:val="22"/>
        </w:rPr>
        <w:t>1</w:t>
      </w:r>
      <w:r w:rsidRPr="006C721B">
        <w:rPr>
          <w:rFonts w:cs="Arial"/>
          <w:szCs w:val="22"/>
        </w:rPr>
        <w:t xml:space="preserve">. </w:t>
      </w:r>
      <w:r w:rsidR="00374E17">
        <w:rPr>
          <w:rFonts w:cs="Arial"/>
          <w:szCs w:val="22"/>
        </w:rPr>
        <w:t>5</w:t>
      </w:r>
      <w:r w:rsidRPr="006C721B">
        <w:rPr>
          <w:rFonts w:cs="Arial"/>
          <w:szCs w:val="22"/>
        </w:rPr>
        <w:t>. 201</w:t>
      </w:r>
      <w:r w:rsidR="00374E17">
        <w:rPr>
          <w:rFonts w:cs="Arial"/>
          <w:szCs w:val="22"/>
        </w:rPr>
        <w:t>8</w:t>
      </w:r>
      <w:r w:rsidRPr="006C721B">
        <w:rPr>
          <w:rFonts w:cs="Arial"/>
          <w:szCs w:val="22"/>
        </w:rPr>
        <w:t xml:space="preserve"> uzavřely smlouvu </w:t>
      </w:r>
      <w:r w:rsidR="00374E17">
        <w:rPr>
          <w:rFonts w:cs="Arial"/>
          <w:szCs w:val="22"/>
        </w:rPr>
        <w:t>o údržbě výtahů č. 18B3 1897/2018</w:t>
      </w:r>
      <w:r w:rsidRPr="006C721B">
        <w:rPr>
          <w:rFonts w:cs="Arial"/>
          <w:szCs w:val="22"/>
        </w:rPr>
        <w:t xml:space="preserve">, a to organizace jako objednatel a společnost jako zhotovitel. Předmětem smlouvy </w:t>
      </w:r>
      <w:r w:rsidR="00374E17">
        <w:rPr>
          <w:rFonts w:cs="Arial"/>
          <w:szCs w:val="22"/>
        </w:rPr>
        <w:t xml:space="preserve">je provádění a zajišťování prací na výtazích v objektu. </w:t>
      </w:r>
      <w:r w:rsidR="0053442B" w:rsidRPr="006C721B">
        <w:rPr>
          <w:rFonts w:cs="Arial"/>
          <w:szCs w:val="22"/>
        </w:rPr>
        <w:t xml:space="preserve"> Cena díla byla sjednána ve výši </w:t>
      </w:r>
      <w:r w:rsidR="00374E17">
        <w:rPr>
          <w:rFonts w:cs="Arial"/>
          <w:szCs w:val="22"/>
        </w:rPr>
        <w:t>7.290,--</w:t>
      </w:r>
      <w:r w:rsidR="0053442B" w:rsidRPr="006C721B">
        <w:rPr>
          <w:rFonts w:cs="Arial"/>
          <w:szCs w:val="22"/>
        </w:rPr>
        <w:t xml:space="preserve"> Kč</w:t>
      </w:r>
      <w:r w:rsidR="00374E17">
        <w:rPr>
          <w:rFonts w:cs="Arial"/>
          <w:szCs w:val="22"/>
        </w:rPr>
        <w:t xml:space="preserve"> za čtvrtletí</w:t>
      </w:r>
      <w:r w:rsidR="0053442B" w:rsidRPr="006C721B">
        <w:rPr>
          <w:rFonts w:cs="Arial"/>
          <w:szCs w:val="22"/>
        </w:rPr>
        <w:t xml:space="preserve"> </w:t>
      </w:r>
      <w:r w:rsidR="00374E17">
        <w:rPr>
          <w:rFonts w:cs="Arial"/>
          <w:szCs w:val="22"/>
        </w:rPr>
        <w:t>bez</w:t>
      </w:r>
      <w:r w:rsidR="0053442B" w:rsidRPr="006C721B">
        <w:rPr>
          <w:rFonts w:cs="Arial"/>
          <w:szCs w:val="22"/>
        </w:rPr>
        <w:t xml:space="preserve"> DPH</w:t>
      </w:r>
      <w:r w:rsidR="00374E17">
        <w:rPr>
          <w:rFonts w:cs="Arial"/>
          <w:szCs w:val="22"/>
        </w:rPr>
        <w:t xml:space="preserve"> a práce nezahrnuté v paušálu budou účtovány zvlášť</w:t>
      </w:r>
      <w:r w:rsidR="0053442B" w:rsidRPr="006C721B">
        <w:rPr>
          <w:rFonts w:cs="Arial"/>
          <w:szCs w:val="22"/>
        </w:rPr>
        <w:t xml:space="preserve"> . Úhrada ceny díla měla být provedena po ukončení díla, jeho převzetí a vystavení faktury.</w:t>
      </w: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Strany shodně konstatují, že všechna práva a povinnosti z uvedené smlouvy byly splněny, dílo </w:t>
      </w:r>
      <w:r w:rsidR="006C721B" w:rsidRPr="006C721B">
        <w:rPr>
          <w:rFonts w:cs="Arial"/>
          <w:szCs w:val="22"/>
        </w:rPr>
        <w:t xml:space="preserve">bylo </w:t>
      </w:r>
      <w:r w:rsidRPr="006C721B">
        <w:rPr>
          <w:rFonts w:cs="Arial"/>
          <w:szCs w:val="22"/>
        </w:rPr>
        <w:t>provedeno a předáno včas a cena uhrazena v plné výši.</w:t>
      </w: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Default="0053442B" w:rsidP="0053442B">
      <w:pPr>
        <w:spacing w:line="240" w:lineRule="atLeast"/>
        <w:jc w:val="center"/>
        <w:rPr>
          <w:rFonts w:cs="Arial"/>
          <w:b/>
          <w:szCs w:val="22"/>
        </w:rPr>
      </w:pPr>
      <w:r w:rsidRPr="006C721B">
        <w:rPr>
          <w:rFonts w:cs="Arial"/>
          <w:b/>
          <w:szCs w:val="22"/>
        </w:rPr>
        <w:t>II.</w:t>
      </w:r>
    </w:p>
    <w:p w:rsidR="006C721B" w:rsidRPr="006C721B" w:rsidRDefault="006C721B" w:rsidP="0053442B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Neplatnost</w:t>
      </w:r>
      <w:r w:rsidR="006312EF">
        <w:rPr>
          <w:rFonts w:cs="Arial"/>
          <w:b/>
          <w:szCs w:val="22"/>
        </w:rPr>
        <w:t xml:space="preserve"> závazku</w:t>
      </w:r>
    </w:p>
    <w:p w:rsidR="008532CE" w:rsidRPr="006C721B" w:rsidRDefault="008532CE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>Organizace je povinný subjekt podle § 2 písm. h) zákona č. 340/2015 Sb., o zvláštních podmínkách účinnosti některých smluv, uveřejňování těchto smluv a o registru smluv (zákon o registru smluv), ve znění pozdějších předpisů.</w:t>
      </w:r>
    </w:p>
    <w:p w:rsidR="0053442B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Default="0053442B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>S ohledem na výši plnění shora uvedené smlouvy přesahující částku 50 000 Kč bylo zapotřebí k účinnosti smlouvy její registrace do 3 měsíců od jejího uzavření, jinak je od počátku neplatná. (§ 6 a 7 cit. zák.).</w:t>
      </w:r>
    </w:p>
    <w:p w:rsidR="006C721B" w:rsidRDefault="006C721B" w:rsidP="008532CE">
      <w:pPr>
        <w:spacing w:line="240" w:lineRule="atLeast"/>
        <w:jc w:val="both"/>
        <w:rPr>
          <w:rFonts w:cs="Arial"/>
          <w:szCs w:val="22"/>
        </w:rPr>
      </w:pPr>
    </w:p>
    <w:p w:rsidR="006C721B" w:rsidRDefault="006C721B" w:rsidP="008532CE">
      <w:pPr>
        <w:spacing w:line="240" w:lineRule="atLeast"/>
        <w:jc w:val="both"/>
        <w:rPr>
          <w:rFonts w:cs="Arial"/>
          <w:szCs w:val="22"/>
        </w:rPr>
      </w:pPr>
    </w:p>
    <w:p w:rsidR="0053442B" w:rsidRDefault="006C721B" w:rsidP="006C721B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III.</w:t>
      </w:r>
    </w:p>
    <w:p w:rsidR="006C721B" w:rsidRDefault="006C721B" w:rsidP="006C721B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Obsah dohody</w:t>
      </w:r>
    </w:p>
    <w:p w:rsidR="006C721B" w:rsidRPr="006C721B" w:rsidRDefault="006C721B" w:rsidP="006C721B">
      <w:pPr>
        <w:spacing w:line="240" w:lineRule="atLeast"/>
        <w:jc w:val="center"/>
        <w:rPr>
          <w:rFonts w:cs="Arial"/>
          <w:b/>
          <w:szCs w:val="22"/>
        </w:rPr>
      </w:pPr>
    </w:p>
    <w:p w:rsidR="00935017" w:rsidRPr="006C721B" w:rsidRDefault="0053442B" w:rsidP="008532CE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>V</w:t>
      </w:r>
      <w:r w:rsidR="00935017" w:rsidRPr="006C721B">
        <w:rPr>
          <w:rFonts w:cs="Arial"/>
          <w:szCs w:val="22"/>
        </w:rPr>
        <w:t xml:space="preserve"> důsledku administrativního nezaviněného nedopatření </w:t>
      </w:r>
      <w:r w:rsidRPr="006C721B">
        <w:rPr>
          <w:rFonts w:cs="Arial"/>
          <w:szCs w:val="22"/>
        </w:rPr>
        <w:t>nedošlo ke včasné registraci uvedené smlouvy, proto se strany touto dohodou vypořádávají následovně:</w:t>
      </w:r>
    </w:p>
    <w:p w:rsidR="00935017" w:rsidRPr="006C721B" w:rsidRDefault="00935017" w:rsidP="0053442B">
      <w:pPr>
        <w:spacing w:line="240" w:lineRule="atLeast"/>
        <w:jc w:val="both"/>
        <w:rPr>
          <w:rFonts w:cs="Arial"/>
          <w:szCs w:val="22"/>
        </w:rPr>
      </w:pPr>
    </w:p>
    <w:p w:rsidR="0053442B" w:rsidRPr="006C721B" w:rsidRDefault="0053442B" w:rsidP="006C721B">
      <w:pPr>
        <w:spacing w:line="240" w:lineRule="atLeast"/>
        <w:ind w:left="284" w:hanging="284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1. </w:t>
      </w:r>
      <w:r w:rsidR="006C721B" w:rsidRPr="006C721B">
        <w:rPr>
          <w:rFonts w:cs="Arial"/>
          <w:szCs w:val="22"/>
        </w:rPr>
        <w:tab/>
      </w:r>
      <w:r w:rsidRPr="006C721B">
        <w:rPr>
          <w:rFonts w:cs="Arial"/>
          <w:szCs w:val="22"/>
        </w:rPr>
        <w:t xml:space="preserve">provedená plnění stran se nebudou vracet, neboť výše provedených činností a prací společností odpovídá dohodnuté a uhrazené </w:t>
      </w:r>
      <w:r w:rsidR="00AE7448">
        <w:rPr>
          <w:rFonts w:cs="Arial"/>
          <w:szCs w:val="22"/>
        </w:rPr>
        <w:t xml:space="preserve">částce </w:t>
      </w:r>
      <w:r w:rsidR="00E248DA">
        <w:rPr>
          <w:rFonts w:cs="Arial"/>
          <w:szCs w:val="22"/>
        </w:rPr>
        <w:t>7.290,--</w:t>
      </w:r>
      <w:r w:rsidRPr="006C721B">
        <w:rPr>
          <w:rFonts w:cs="Arial"/>
          <w:szCs w:val="22"/>
        </w:rPr>
        <w:t xml:space="preserve"> Kč.</w:t>
      </w:r>
      <w:r w:rsidR="00E248DA">
        <w:rPr>
          <w:rFonts w:cs="Arial"/>
          <w:szCs w:val="22"/>
        </w:rPr>
        <w:t>(čtvrtletně)</w:t>
      </w:r>
    </w:p>
    <w:p w:rsidR="006C721B" w:rsidRDefault="006C721B" w:rsidP="006C721B">
      <w:pPr>
        <w:spacing w:line="240" w:lineRule="atLeast"/>
        <w:ind w:left="284" w:hanging="284"/>
        <w:jc w:val="both"/>
        <w:rPr>
          <w:rFonts w:cs="Arial"/>
          <w:szCs w:val="22"/>
        </w:rPr>
      </w:pPr>
    </w:p>
    <w:p w:rsidR="00BD2577" w:rsidRPr="006C721B" w:rsidRDefault="0053442B" w:rsidP="006C721B">
      <w:pPr>
        <w:spacing w:after="100" w:line="240" w:lineRule="atLeast"/>
        <w:ind w:left="284" w:hanging="284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2. </w:t>
      </w:r>
      <w:r w:rsidR="006C721B" w:rsidRPr="006C721B">
        <w:rPr>
          <w:rFonts w:cs="Arial"/>
          <w:szCs w:val="22"/>
        </w:rPr>
        <w:tab/>
      </w:r>
      <w:r w:rsidRPr="006C721B">
        <w:rPr>
          <w:rFonts w:cs="Arial"/>
          <w:szCs w:val="22"/>
        </w:rPr>
        <w:t xml:space="preserve">společnost </w:t>
      </w:r>
      <w:r w:rsidR="00BD2577" w:rsidRPr="006C721B">
        <w:rPr>
          <w:rFonts w:cs="Arial"/>
          <w:szCs w:val="22"/>
        </w:rPr>
        <w:t xml:space="preserve">přebírá záruku za dílo </w:t>
      </w:r>
      <w:r w:rsidR="006312EF">
        <w:rPr>
          <w:rFonts w:cs="Arial"/>
          <w:szCs w:val="22"/>
        </w:rPr>
        <w:t xml:space="preserve">shodně </w:t>
      </w:r>
      <w:r w:rsidR="00BD2577" w:rsidRPr="006C721B">
        <w:rPr>
          <w:rFonts w:cs="Arial"/>
          <w:szCs w:val="22"/>
        </w:rPr>
        <w:t xml:space="preserve">ve smyslu čl. </w:t>
      </w:r>
      <w:r w:rsidR="00E248DA">
        <w:rPr>
          <w:rFonts w:cs="Arial"/>
          <w:szCs w:val="22"/>
        </w:rPr>
        <w:t>5.0</w:t>
      </w:r>
      <w:r w:rsidR="00BD2577" w:rsidRPr="006C721B">
        <w:rPr>
          <w:rFonts w:cs="Arial"/>
          <w:szCs w:val="22"/>
        </w:rPr>
        <w:t xml:space="preserve"> </w:t>
      </w:r>
      <w:r w:rsidR="006312EF">
        <w:rPr>
          <w:rFonts w:cs="Arial"/>
          <w:szCs w:val="22"/>
        </w:rPr>
        <w:t xml:space="preserve">původní </w:t>
      </w:r>
      <w:r w:rsidR="00BD2577" w:rsidRPr="006C721B">
        <w:rPr>
          <w:rFonts w:cs="Arial"/>
          <w:szCs w:val="22"/>
        </w:rPr>
        <w:t xml:space="preserve">smlouvy o dílo za podmínek tam uvedených, tj. </w:t>
      </w:r>
    </w:p>
    <w:p w:rsidR="00225BC6" w:rsidRPr="006C721B" w:rsidRDefault="00225BC6" w:rsidP="00E248DA">
      <w:pPr>
        <w:spacing w:after="100" w:line="240" w:lineRule="atLeast"/>
        <w:ind w:left="567" w:hanging="283"/>
        <w:jc w:val="both"/>
        <w:rPr>
          <w:rFonts w:cs="Arial"/>
          <w:szCs w:val="22"/>
        </w:rPr>
      </w:pPr>
    </w:p>
    <w:p w:rsidR="00225BC6" w:rsidRPr="006C721B" w:rsidRDefault="00225BC6" w:rsidP="00225BC6">
      <w:pPr>
        <w:spacing w:line="240" w:lineRule="atLeast"/>
        <w:jc w:val="both"/>
        <w:rPr>
          <w:rFonts w:cs="Arial"/>
          <w:szCs w:val="22"/>
        </w:rPr>
      </w:pPr>
    </w:p>
    <w:p w:rsidR="00F22ACD" w:rsidRDefault="00BD2577" w:rsidP="00935017">
      <w:pPr>
        <w:spacing w:line="240" w:lineRule="atLeast"/>
        <w:jc w:val="center"/>
        <w:rPr>
          <w:rFonts w:cs="Arial"/>
          <w:b/>
          <w:szCs w:val="22"/>
        </w:rPr>
      </w:pPr>
      <w:r w:rsidRPr="006C721B">
        <w:rPr>
          <w:rFonts w:cs="Arial"/>
          <w:b/>
          <w:szCs w:val="22"/>
        </w:rPr>
        <w:t>I</w:t>
      </w:r>
      <w:r w:rsidR="006C721B">
        <w:rPr>
          <w:rFonts w:cs="Arial"/>
          <w:b/>
          <w:szCs w:val="22"/>
        </w:rPr>
        <w:t>V</w:t>
      </w:r>
      <w:r w:rsidR="00225BC6" w:rsidRPr="006C721B">
        <w:rPr>
          <w:rFonts w:cs="Arial"/>
          <w:b/>
          <w:szCs w:val="22"/>
        </w:rPr>
        <w:t>.</w:t>
      </w:r>
    </w:p>
    <w:p w:rsidR="006C721B" w:rsidRDefault="006C721B" w:rsidP="00935017">
      <w:pPr>
        <w:spacing w:line="240" w:lineRule="atLeas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Společná a závěrečná ustanovení</w:t>
      </w:r>
    </w:p>
    <w:p w:rsidR="006C721B" w:rsidRPr="006C721B" w:rsidRDefault="006C721B" w:rsidP="00935017">
      <w:pPr>
        <w:spacing w:line="240" w:lineRule="atLeast"/>
        <w:jc w:val="center"/>
        <w:rPr>
          <w:rFonts w:cs="Arial"/>
          <w:b/>
          <w:szCs w:val="22"/>
        </w:rPr>
      </w:pPr>
    </w:p>
    <w:p w:rsidR="006C721B" w:rsidRPr="006C721B" w:rsidRDefault="006C721B" w:rsidP="00935017">
      <w:pPr>
        <w:spacing w:line="24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Ve věcech neupravených touto dohodou platí občanský zákoník.</w:t>
      </w:r>
    </w:p>
    <w:p w:rsidR="006C721B" w:rsidRDefault="006C721B" w:rsidP="00935017">
      <w:pPr>
        <w:spacing w:line="240" w:lineRule="atLeast"/>
        <w:jc w:val="both"/>
        <w:rPr>
          <w:rFonts w:cs="Arial"/>
          <w:szCs w:val="22"/>
        </w:rPr>
      </w:pPr>
    </w:p>
    <w:p w:rsidR="00BD2577" w:rsidRPr="006C721B" w:rsidRDefault="00DA2105" w:rsidP="00935017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Tato </w:t>
      </w:r>
      <w:r w:rsidR="00BD2577" w:rsidRPr="006C721B">
        <w:rPr>
          <w:rFonts w:cs="Arial"/>
          <w:szCs w:val="22"/>
        </w:rPr>
        <w:t xml:space="preserve">dohoda </w:t>
      </w:r>
      <w:r w:rsidR="00C96020" w:rsidRPr="006C721B">
        <w:rPr>
          <w:rFonts w:cs="Arial"/>
          <w:szCs w:val="22"/>
        </w:rPr>
        <w:t>se vyhotovujem dvojmo</w:t>
      </w:r>
      <w:r w:rsidRPr="006C721B">
        <w:rPr>
          <w:rFonts w:cs="Arial"/>
          <w:szCs w:val="22"/>
        </w:rPr>
        <w:t>, pro každou stranu</w:t>
      </w:r>
      <w:r w:rsidR="003011AD" w:rsidRPr="006C721B">
        <w:rPr>
          <w:rFonts w:cs="Arial"/>
          <w:szCs w:val="22"/>
        </w:rPr>
        <w:t xml:space="preserve"> jedno </w:t>
      </w:r>
      <w:r w:rsidR="00BD2577" w:rsidRPr="006C721B">
        <w:rPr>
          <w:rFonts w:cs="Arial"/>
          <w:szCs w:val="22"/>
        </w:rPr>
        <w:t>vyhotovení.</w:t>
      </w:r>
    </w:p>
    <w:p w:rsidR="00BD2577" w:rsidRPr="006C721B" w:rsidRDefault="00BD2577" w:rsidP="00935017">
      <w:pPr>
        <w:spacing w:line="240" w:lineRule="atLeast"/>
        <w:jc w:val="both"/>
        <w:rPr>
          <w:rFonts w:cs="Arial"/>
          <w:szCs w:val="22"/>
        </w:rPr>
      </w:pPr>
    </w:p>
    <w:p w:rsidR="00225BC6" w:rsidRPr="006C721B" w:rsidRDefault="00BD2577" w:rsidP="006C721B">
      <w:pPr>
        <w:spacing w:line="240" w:lineRule="atLeast"/>
        <w:jc w:val="both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Tato dohoda </w:t>
      </w:r>
      <w:r w:rsidR="00F6008E" w:rsidRPr="006C721B">
        <w:rPr>
          <w:rFonts w:cs="Arial"/>
          <w:szCs w:val="22"/>
        </w:rPr>
        <w:t xml:space="preserve">nabývá </w:t>
      </w:r>
      <w:r w:rsidR="00C96020" w:rsidRPr="006C721B">
        <w:rPr>
          <w:rFonts w:cs="Arial"/>
          <w:szCs w:val="22"/>
        </w:rPr>
        <w:t xml:space="preserve">platnosti a </w:t>
      </w:r>
      <w:r w:rsidR="00F6008E" w:rsidRPr="006C721B">
        <w:rPr>
          <w:rFonts w:cs="Arial"/>
          <w:szCs w:val="22"/>
        </w:rPr>
        <w:t xml:space="preserve">účinnosti dnem </w:t>
      </w:r>
      <w:r w:rsidR="00C96020" w:rsidRPr="006C721B">
        <w:rPr>
          <w:rFonts w:cs="Arial"/>
          <w:szCs w:val="22"/>
        </w:rPr>
        <w:t xml:space="preserve">podpisu </w:t>
      </w:r>
      <w:r w:rsidR="003011AD" w:rsidRPr="006C721B">
        <w:rPr>
          <w:rFonts w:cs="Arial"/>
          <w:szCs w:val="22"/>
        </w:rPr>
        <w:t xml:space="preserve">stran. </w:t>
      </w:r>
    </w:p>
    <w:p w:rsidR="00225BC6" w:rsidRPr="006C721B" w:rsidRDefault="00225BC6" w:rsidP="00935017">
      <w:pPr>
        <w:spacing w:line="240" w:lineRule="atLeast"/>
        <w:jc w:val="both"/>
        <w:rPr>
          <w:rFonts w:cs="Arial"/>
          <w:szCs w:val="22"/>
        </w:rPr>
      </w:pPr>
    </w:p>
    <w:p w:rsidR="00225BC6" w:rsidRDefault="00225BC6" w:rsidP="00935017">
      <w:pPr>
        <w:spacing w:line="240" w:lineRule="atLeast"/>
        <w:rPr>
          <w:rFonts w:cs="Arial"/>
          <w:szCs w:val="22"/>
        </w:rPr>
      </w:pPr>
    </w:p>
    <w:p w:rsidR="006C721B" w:rsidRPr="006C721B" w:rsidRDefault="006C721B" w:rsidP="00935017">
      <w:pPr>
        <w:spacing w:line="240" w:lineRule="atLeast"/>
        <w:rPr>
          <w:rFonts w:cs="Arial"/>
          <w:szCs w:val="22"/>
        </w:rPr>
      </w:pPr>
    </w:p>
    <w:p w:rsidR="007F797C" w:rsidRPr="006C721B" w:rsidRDefault="00F6008E" w:rsidP="00935017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>V</w:t>
      </w:r>
      <w:r w:rsidR="00BD2577" w:rsidRPr="006C721B">
        <w:rPr>
          <w:rFonts w:cs="Arial"/>
          <w:szCs w:val="22"/>
        </w:rPr>
        <w:t xml:space="preserve"> Nejdku </w:t>
      </w:r>
      <w:r w:rsidR="006C721B">
        <w:rPr>
          <w:rFonts w:cs="Arial"/>
          <w:szCs w:val="22"/>
        </w:rPr>
        <w:t>dne</w:t>
      </w:r>
    </w:p>
    <w:p w:rsidR="00BD2577" w:rsidRDefault="00BD2577" w:rsidP="00935017">
      <w:pPr>
        <w:spacing w:line="240" w:lineRule="atLeast"/>
        <w:rPr>
          <w:rFonts w:cs="Arial"/>
          <w:szCs w:val="22"/>
        </w:rPr>
      </w:pPr>
    </w:p>
    <w:p w:rsidR="006C721B" w:rsidRDefault="006C721B" w:rsidP="00935017">
      <w:pPr>
        <w:spacing w:line="240" w:lineRule="atLeast"/>
        <w:rPr>
          <w:rFonts w:cs="Arial"/>
          <w:szCs w:val="22"/>
        </w:rPr>
      </w:pPr>
    </w:p>
    <w:p w:rsidR="006C721B" w:rsidRPr="006C721B" w:rsidRDefault="006C721B" w:rsidP="00935017">
      <w:pPr>
        <w:spacing w:line="240" w:lineRule="atLeast"/>
        <w:rPr>
          <w:rFonts w:cs="Arial"/>
          <w:szCs w:val="22"/>
        </w:rPr>
      </w:pPr>
    </w:p>
    <w:p w:rsidR="003011AD" w:rsidRPr="006C721B" w:rsidRDefault="003011AD" w:rsidP="00935017">
      <w:pPr>
        <w:spacing w:line="240" w:lineRule="atLeast"/>
        <w:rPr>
          <w:rFonts w:cs="Arial"/>
          <w:szCs w:val="22"/>
        </w:rPr>
      </w:pPr>
    </w:p>
    <w:p w:rsidR="003011AD" w:rsidRPr="006C721B" w:rsidRDefault="003011AD" w:rsidP="00935017">
      <w:pPr>
        <w:spacing w:line="240" w:lineRule="atLeast"/>
        <w:rPr>
          <w:rFonts w:cs="Arial"/>
          <w:szCs w:val="22"/>
        </w:rPr>
      </w:pPr>
    </w:p>
    <w:p w:rsidR="007F797C" w:rsidRPr="006C721B" w:rsidRDefault="00BD2577" w:rsidP="00935017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>…………</w:t>
      </w:r>
      <w:r w:rsidR="00EE1206" w:rsidRPr="006C721B">
        <w:rPr>
          <w:rFonts w:cs="Arial"/>
          <w:szCs w:val="22"/>
        </w:rPr>
        <w:t>……</w:t>
      </w:r>
      <w:r w:rsidR="007F797C" w:rsidRPr="006C721B">
        <w:rPr>
          <w:rFonts w:cs="Arial"/>
          <w:szCs w:val="22"/>
        </w:rPr>
        <w:t>................................................</w:t>
      </w:r>
      <w:r w:rsidR="007F797C" w:rsidRPr="006C721B">
        <w:rPr>
          <w:rFonts w:cs="Arial"/>
          <w:szCs w:val="22"/>
        </w:rPr>
        <w:tab/>
        <w:t>..............................................</w:t>
      </w:r>
    </w:p>
    <w:p w:rsidR="00BD2577" w:rsidRPr="006C721B" w:rsidRDefault="007F797C" w:rsidP="00935017">
      <w:pPr>
        <w:spacing w:line="240" w:lineRule="atLeast"/>
        <w:rPr>
          <w:rFonts w:cs="Arial"/>
          <w:b/>
          <w:szCs w:val="22"/>
        </w:rPr>
      </w:pPr>
      <w:r w:rsidRPr="006C721B">
        <w:rPr>
          <w:rFonts w:cs="Arial"/>
          <w:b/>
          <w:szCs w:val="22"/>
        </w:rPr>
        <w:t xml:space="preserve">  </w:t>
      </w:r>
      <w:r w:rsidR="007C641B" w:rsidRPr="006C721B">
        <w:rPr>
          <w:rFonts w:cs="Arial"/>
          <w:b/>
          <w:szCs w:val="22"/>
        </w:rPr>
        <w:t xml:space="preserve">  </w:t>
      </w:r>
      <w:r w:rsidR="003011AD" w:rsidRPr="006C721B">
        <w:rPr>
          <w:rFonts w:cs="Arial"/>
          <w:b/>
          <w:szCs w:val="22"/>
        </w:rPr>
        <w:t xml:space="preserve">   </w:t>
      </w:r>
      <w:r w:rsidR="00BD2577" w:rsidRPr="006C721B">
        <w:rPr>
          <w:rFonts w:cs="Arial"/>
          <w:b/>
          <w:szCs w:val="22"/>
        </w:rPr>
        <w:t xml:space="preserve">Zařízení následné rehabilitační </w:t>
      </w:r>
      <w:r w:rsidR="00BD2577" w:rsidRPr="006C721B">
        <w:rPr>
          <w:rFonts w:cs="Arial"/>
          <w:b/>
          <w:szCs w:val="22"/>
        </w:rPr>
        <w:tab/>
      </w:r>
      <w:r w:rsidR="00E248DA">
        <w:rPr>
          <w:rFonts w:cs="Arial"/>
          <w:b/>
          <w:szCs w:val="22"/>
        </w:rPr>
        <w:t xml:space="preserve">      ÝTAHY SCHMITT+SOHN s.r.o.</w:t>
      </w:r>
    </w:p>
    <w:p w:rsidR="007F797C" w:rsidRPr="006C721B" w:rsidRDefault="00BD2577" w:rsidP="00935017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b/>
          <w:szCs w:val="22"/>
        </w:rPr>
        <w:t>a hospicové péče, příspěvsková organizace</w:t>
      </w:r>
      <w:r w:rsidR="003011AD" w:rsidRPr="006C721B">
        <w:rPr>
          <w:rFonts w:cs="Arial"/>
          <w:b/>
          <w:szCs w:val="22"/>
        </w:rPr>
        <w:t xml:space="preserve">   </w:t>
      </w:r>
      <w:r w:rsidRPr="006C721B">
        <w:rPr>
          <w:rFonts w:cs="Arial"/>
          <w:b/>
          <w:szCs w:val="22"/>
        </w:rPr>
        <w:tab/>
        <w:t xml:space="preserve">     </w:t>
      </w:r>
      <w:r w:rsidRPr="006C721B">
        <w:rPr>
          <w:rFonts w:cs="Arial"/>
          <w:szCs w:val="22"/>
        </w:rPr>
        <w:t xml:space="preserve">jednatel </w:t>
      </w:r>
      <w:bookmarkStart w:id="0" w:name="_GoBack"/>
      <w:bookmarkEnd w:id="0"/>
    </w:p>
    <w:p w:rsidR="00F6008E" w:rsidRPr="006C721B" w:rsidRDefault="00C96020" w:rsidP="00225BC6">
      <w:pPr>
        <w:spacing w:line="240" w:lineRule="atLeast"/>
        <w:rPr>
          <w:rFonts w:cs="Arial"/>
          <w:szCs w:val="22"/>
        </w:rPr>
      </w:pPr>
      <w:r w:rsidRPr="006C721B">
        <w:rPr>
          <w:rFonts w:cs="Arial"/>
          <w:szCs w:val="22"/>
        </w:rPr>
        <w:t xml:space="preserve">     </w:t>
      </w:r>
      <w:r w:rsidR="007F797C" w:rsidRPr="006C721B">
        <w:rPr>
          <w:rFonts w:cs="Arial"/>
          <w:szCs w:val="22"/>
        </w:rPr>
        <w:t xml:space="preserve"> </w:t>
      </w:r>
      <w:r w:rsidR="00BD2577" w:rsidRPr="006C721B">
        <w:rPr>
          <w:rFonts w:cs="Arial"/>
          <w:szCs w:val="22"/>
        </w:rPr>
        <w:t xml:space="preserve">    ředitelka Olga Pištejová, Dis.</w:t>
      </w:r>
    </w:p>
    <w:sectPr w:rsidR="00F6008E" w:rsidRPr="006C721B" w:rsidSect="00A60A33">
      <w:footnotePr>
        <w:numRestart w:val="eachPage"/>
      </w:footnotePr>
      <w:endnotePr>
        <w:numFmt w:val="decimal"/>
        <w:numStart w:val="0"/>
      </w:endnotePr>
      <w:pgSz w:w="11900" w:h="16832"/>
      <w:pgMar w:top="1418" w:right="1814" w:bottom="1418" w:left="1814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208C3"/>
    <w:multiLevelType w:val="hybridMultilevel"/>
    <w:tmpl w:val="9D88F51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15E6943"/>
    <w:multiLevelType w:val="hybridMultilevel"/>
    <w:tmpl w:val="256E7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D6C69"/>
    <w:multiLevelType w:val="hybridMultilevel"/>
    <w:tmpl w:val="4C4A2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10"/>
    <w:rsid w:val="00046089"/>
    <w:rsid w:val="000D22AB"/>
    <w:rsid w:val="00137417"/>
    <w:rsid w:val="00196CDA"/>
    <w:rsid w:val="002006CE"/>
    <w:rsid w:val="002218A3"/>
    <w:rsid w:val="00225BC6"/>
    <w:rsid w:val="0025055E"/>
    <w:rsid w:val="002A294F"/>
    <w:rsid w:val="002A5EEC"/>
    <w:rsid w:val="003011AD"/>
    <w:rsid w:val="00315BFF"/>
    <w:rsid w:val="003365D3"/>
    <w:rsid w:val="003724F5"/>
    <w:rsid w:val="00374E17"/>
    <w:rsid w:val="0038287A"/>
    <w:rsid w:val="0039709A"/>
    <w:rsid w:val="003A645E"/>
    <w:rsid w:val="003F1A69"/>
    <w:rsid w:val="00420AD5"/>
    <w:rsid w:val="00462A58"/>
    <w:rsid w:val="004963C9"/>
    <w:rsid w:val="004B76FB"/>
    <w:rsid w:val="0053442B"/>
    <w:rsid w:val="00567623"/>
    <w:rsid w:val="005F6DBD"/>
    <w:rsid w:val="00612772"/>
    <w:rsid w:val="006312EF"/>
    <w:rsid w:val="00647958"/>
    <w:rsid w:val="00681C58"/>
    <w:rsid w:val="006A448C"/>
    <w:rsid w:val="006C721B"/>
    <w:rsid w:val="006E7910"/>
    <w:rsid w:val="0071555E"/>
    <w:rsid w:val="0071762B"/>
    <w:rsid w:val="00750EB2"/>
    <w:rsid w:val="007867D3"/>
    <w:rsid w:val="007948B7"/>
    <w:rsid w:val="007C0A64"/>
    <w:rsid w:val="007C641B"/>
    <w:rsid w:val="007F797C"/>
    <w:rsid w:val="008529A6"/>
    <w:rsid w:val="008532CE"/>
    <w:rsid w:val="0088263A"/>
    <w:rsid w:val="00935017"/>
    <w:rsid w:val="00962C4A"/>
    <w:rsid w:val="00A44441"/>
    <w:rsid w:val="00A5178F"/>
    <w:rsid w:val="00A60A33"/>
    <w:rsid w:val="00A65A61"/>
    <w:rsid w:val="00A828F0"/>
    <w:rsid w:val="00A958B2"/>
    <w:rsid w:val="00AE7448"/>
    <w:rsid w:val="00B75BAD"/>
    <w:rsid w:val="00B93560"/>
    <w:rsid w:val="00BC6A50"/>
    <w:rsid w:val="00BD2577"/>
    <w:rsid w:val="00C1219B"/>
    <w:rsid w:val="00C46C83"/>
    <w:rsid w:val="00C96020"/>
    <w:rsid w:val="00CF042F"/>
    <w:rsid w:val="00DA2105"/>
    <w:rsid w:val="00DB6688"/>
    <w:rsid w:val="00DD77CA"/>
    <w:rsid w:val="00E13E4B"/>
    <w:rsid w:val="00E248DA"/>
    <w:rsid w:val="00E27440"/>
    <w:rsid w:val="00E91101"/>
    <w:rsid w:val="00EE1206"/>
    <w:rsid w:val="00F01B10"/>
    <w:rsid w:val="00F07EC9"/>
    <w:rsid w:val="00F22ACD"/>
    <w:rsid w:val="00F6008E"/>
    <w:rsid w:val="00F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A57F-89D7-4338-9B85-B358EA38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A69"/>
    <w:pPr>
      <w:widowControl/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Odstavec">
    <w:name w:val="Odstavec"/>
    <w:basedOn w:val="Normln"/>
    <w:pPr>
      <w:spacing w:after="115"/>
      <w:ind w:firstLine="480"/>
    </w:pPr>
  </w:style>
  <w:style w:type="paragraph" w:customStyle="1" w:styleId="Poznmka">
    <w:name w:val="Poznámka"/>
    <w:basedOn w:val="Normln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pPr>
      <w:spacing w:line="240" w:lineRule="auto"/>
      <w:ind w:left="480" w:hanging="480"/>
    </w:pPr>
  </w:style>
  <w:style w:type="paragraph" w:customStyle="1" w:styleId="Import0">
    <w:name w:val="Import 0"/>
    <w:basedOn w:val="Normln"/>
    <w:rPr>
      <w:rFonts w:ascii="Arial" w:hAnsi="Arial"/>
    </w:rPr>
  </w:style>
  <w:style w:type="paragraph" w:customStyle="1" w:styleId="Import1">
    <w:name w:val="Import 1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304"/>
    </w:pPr>
  </w:style>
  <w:style w:type="paragraph" w:customStyle="1" w:styleId="Import2">
    <w:name w:val="Import 2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016"/>
    </w:pPr>
  </w:style>
  <w:style w:type="paragraph" w:customStyle="1" w:styleId="Import3">
    <w:name w:val="Import 3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4">
    <w:name w:val="Import 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88"/>
    </w:pPr>
  </w:style>
  <w:style w:type="paragraph" w:customStyle="1" w:styleId="Import5">
    <w:name w:val="Import 5"/>
    <w:basedOn w:val="Import0"/>
    <w:pPr>
      <w:tabs>
        <w:tab w:val="left" w:pos="2448"/>
      </w:tabs>
      <w:ind w:left="1152" w:hanging="432"/>
    </w:pPr>
  </w:style>
  <w:style w:type="paragraph" w:customStyle="1" w:styleId="Import6">
    <w:name w:val="Import 6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152"/>
    </w:pPr>
  </w:style>
  <w:style w:type="paragraph" w:customStyle="1" w:styleId="Import7">
    <w:name w:val="Import 7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0"/>
    </w:pPr>
  </w:style>
  <w:style w:type="paragraph" w:customStyle="1" w:styleId="Import8">
    <w:name w:val="Import 8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152" w:hanging="432"/>
    </w:pPr>
  </w:style>
  <w:style w:type="paragraph" w:customStyle="1" w:styleId="Import9">
    <w:name w:val="Import 9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744"/>
    </w:pPr>
  </w:style>
  <w:style w:type="paragraph" w:customStyle="1" w:styleId="Import10">
    <w:name w:val="Import 10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312"/>
    </w:pPr>
  </w:style>
  <w:style w:type="paragraph" w:customStyle="1" w:styleId="Import11">
    <w:name w:val="Import 11"/>
    <w:basedOn w:val="Import0"/>
    <w:pPr>
      <w:tabs>
        <w:tab w:val="left" w:pos="2304"/>
        <w:tab w:val="left" w:pos="4608"/>
        <w:tab w:val="left" w:pos="6912"/>
        <w:tab w:val="left" w:pos="8208"/>
      </w:tabs>
    </w:pPr>
  </w:style>
  <w:style w:type="paragraph" w:customStyle="1" w:styleId="Import12">
    <w:name w:val="Import 12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600"/>
    </w:pPr>
  </w:style>
  <w:style w:type="paragraph" w:customStyle="1" w:styleId="Import13">
    <w:name w:val="Import 13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880"/>
    </w:pPr>
  </w:style>
  <w:style w:type="paragraph" w:customStyle="1" w:styleId="Import14">
    <w:name w:val="Import 1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160"/>
    </w:pPr>
  </w:style>
  <w:style w:type="paragraph" w:customStyle="1" w:styleId="Import15">
    <w:name w:val="Import 15"/>
    <w:basedOn w:val="Import0"/>
    <w:pPr>
      <w:tabs>
        <w:tab w:val="left" w:pos="6192"/>
      </w:tabs>
      <w:ind w:left="288"/>
    </w:pPr>
  </w:style>
  <w:style w:type="paragraph" w:customStyle="1" w:styleId="Import16">
    <w:name w:val="Import 16"/>
    <w:basedOn w:val="Import0"/>
    <w:pPr>
      <w:tabs>
        <w:tab w:val="left" w:pos="5904"/>
      </w:tabs>
    </w:pPr>
  </w:style>
  <w:style w:type="paragraph" w:customStyle="1" w:styleId="Import17">
    <w:name w:val="Import 17"/>
    <w:basedOn w:val="Import0"/>
    <w:pPr>
      <w:tabs>
        <w:tab w:val="left" w:pos="6048"/>
      </w:tabs>
      <w:ind w:left="288"/>
    </w:pPr>
  </w:style>
  <w:style w:type="paragraph" w:customStyle="1" w:styleId="Import18">
    <w:name w:val="Import 18"/>
    <w:basedOn w:val="Import0"/>
    <w:pPr>
      <w:tabs>
        <w:tab w:val="left" w:pos="6048"/>
      </w:tabs>
    </w:pPr>
  </w:style>
  <w:style w:type="paragraph" w:customStyle="1" w:styleId="Import19">
    <w:name w:val="Import 19"/>
    <w:basedOn w:val="Import0"/>
    <w:pPr>
      <w:tabs>
        <w:tab w:val="left" w:pos="6336"/>
      </w:tabs>
      <w:ind w:left="144"/>
    </w:pPr>
  </w:style>
  <w:style w:type="paragraph" w:customStyle="1" w:styleId="Import20">
    <w:name w:val="Import 20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customStyle="1" w:styleId="Import21">
    <w:name w:val="Import 21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"/>
    </w:pPr>
  </w:style>
  <w:style w:type="paragraph" w:customStyle="1" w:styleId="Import22">
    <w:name w:val="Import 22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32" w:hanging="432"/>
    </w:pPr>
  </w:style>
  <w:style w:type="paragraph" w:customStyle="1" w:styleId="Import23">
    <w:name w:val="Import 23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176"/>
    </w:pPr>
  </w:style>
  <w:style w:type="paragraph" w:customStyle="1" w:styleId="Import24">
    <w:name w:val="Import 2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</w:style>
  <w:style w:type="paragraph" w:customStyle="1" w:styleId="Import25">
    <w:name w:val="Import 25"/>
    <w:basedOn w:val="Import0"/>
    <w:pPr>
      <w:tabs>
        <w:tab w:val="left" w:pos="4896"/>
      </w:tabs>
      <w:ind w:firstLine="432"/>
    </w:pPr>
  </w:style>
  <w:style w:type="paragraph" w:customStyle="1" w:styleId="Import26">
    <w:name w:val="Import 26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240" w:hanging="11808"/>
    </w:pPr>
  </w:style>
  <w:style w:type="paragraph" w:customStyle="1" w:styleId="Import27">
    <w:name w:val="Import 27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032"/>
    </w:pPr>
  </w:style>
  <w:style w:type="paragraph" w:customStyle="1" w:styleId="Import28">
    <w:name w:val="Import 28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customStyle="1" w:styleId="Import29">
    <w:name w:val="Import 29"/>
    <w:basedOn w:val="Import0"/>
    <w:pPr>
      <w:tabs>
        <w:tab w:val="left" w:pos="5328"/>
      </w:tabs>
      <w:ind w:left="864"/>
    </w:pPr>
  </w:style>
  <w:style w:type="paragraph" w:customStyle="1" w:styleId="Import30">
    <w:name w:val="Import 30"/>
    <w:basedOn w:val="Import0"/>
    <w:pPr>
      <w:tabs>
        <w:tab w:val="left" w:pos="5904"/>
      </w:tabs>
      <w:ind w:left="864"/>
    </w:pPr>
  </w:style>
  <w:style w:type="paragraph" w:customStyle="1" w:styleId="Import31">
    <w:name w:val="Import 31"/>
    <w:basedOn w:val="Import0"/>
    <w:pPr>
      <w:tabs>
        <w:tab w:val="left" w:pos="4896"/>
      </w:tabs>
      <w:spacing w:line="576" w:lineRule="auto"/>
      <w:ind w:left="720"/>
    </w:pPr>
  </w:style>
  <w:style w:type="paragraph" w:customStyle="1" w:styleId="Import32">
    <w:name w:val="Import 32"/>
    <w:basedOn w:val="Import0"/>
    <w:pPr>
      <w:tabs>
        <w:tab w:val="left" w:pos="5616"/>
      </w:tabs>
      <w:ind w:left="864"/>
    </w:pPr>
  </w:style>
  <w:style w:type="paragraph" w:customStyle="1" w:styleId="Import33">
    <w:name w:val="Import 33"/>
    <w:basedOn w:val="Import0"/>
    <w:pPr>
      <w:tabs>
        <w:tab w:val="left" w:pos="1152"/>
      </w:tabs>
      <w:ind w:left="720"/>
    </w:pPr>
  </w:style>
  <w:style w:type="paragraph" w:customStyle="1" w:styleId="Import34">
    <w:name w:val="Import 3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96"/>
    </w:pPr>
  </w:style>
  <w:style w:type="paragraph" w:customStyle="1" w:styleId="Import35">
    <w:name w:val="Import 35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</w:style>
  <w:style w:type="paragraph" w:customStyle="1" w:styleId="Import36">
    <w:name w:val="Import 36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448"/>
    </w:pPr>
  </w:style>
  <w:style w:type="paragraph" w:customStyle="1" w:styleId="Import37">
    <w:name w:val="Import 37"/>
    <w:basedOn w:val="Import0"/>
    <w:pPr>
      <w:tabs>
        <w:tab w:val="left" w:pos="4608"/>
      </w:tabs>
      <w:ind w:left="1152"/>
    </w:pPr>
  </w:style>
  <w:style w:type="paragraph" w:customStyle="1" w:styleId="Import38">
    <w:name w:val="Import 38"/>
    <w:basedOn w:val="Import0"/>
    <w:pPr>
      <w:tabs>
        <w:tab w:val="left" w:pos="3600"/>
      </w:tabs>
      <w:ind w:firstLine="720"/>
    </w:pPr>
  </w:style>
  <w:style w:type="paragraph" w:customStyle="1" w:styleId="Import39">
    <w:name w:val="Import 39"/>
    <w:basedOn w:val="Import0"/>
    <w:pPr>
      <w:tabs>
        <w:tab w:val="left" w:pos="8064"/>
      </w:tabs>
    </w:pPr>
  </w:style>
  <w:style w:type="paragraph" w:customStyle="1" w:styleId="Import40">
    <w:name w:val="Import 40"/>
    <w:basedOn w:val="Import0"/>
    <w:pPr>
      <w:tabs>
        <w:tab w:val="left" w:pos="720"/>
      </w:tabs>
    </w:pPr>
  </w:style>
  <w:style w:type="paragraph" w:customStyle="1" w:styleId="Import41">
    <w:name w:val="Import 41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168"/>
    </w:pPr>
  </w:style>
  <w:style w:type="paragraph" w:customStyle="1" w:styleId="Import42">
    <w:name w:val="Import 42"/>
    <w:basedOn w:val="Import0"/>
    <w:pPr>
      <w:tabs>
        <w:tab w:val="left" w:pos="6480"/>
      </w:tabs>
      <w:ind w:left="1008"/>
    </w:pPr>
  </w:style>
  <w:style w:type="paragraph" w:customStyle="1" w:styleId="Import43">
    <w:name w:val="Import 43"/>
    <w:basedOn w:val="Import0"/>
    <w:pPr>
      <w:tabs>
        <w:tab w:val="left" w:pos="4896"/>
      </w:tabs>
      <w:ind w:left="432"/>
    </w:pPr>
  </w:style>
  <w:style w:type="paragraph" w:customStyle="1" w:styleId="Import44">
    <w:name w:val="Import 44"/>
    <w:basedOn w:val="Import0"/>
    <w:pPr>
      <w:tabs>
        <w:tab w:val="left" w:pos="5472"/>
      </w:tabs>
      <w:ind w:left="864"/>
    </w:pPr>
  </w:style>
  <w:style w:type="paragraph" w:customStyle="1" w:styleId="Import45">
    <w:name w:val="Import 45"/>
    <w:basedOn w:val="Import0"/>
    <w:pPr>
      <w:tabs>
        <w:tab w:val="left" w:pos="5472"/>
      </w:tabs>
      <w:ind w:left="720"/>
    </w:pPr>
  </w:style>
  <w:style w:type="paragraph" w:customStyle="1" w:styleId="Import46">
    <w:name w:val="Import 46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024"/>
    </w:pPr>
  </w:style>
  <w:style w:type="paragraph" w:customStyle="1" w:styleId="Import47">
    <w:name w:val="Import 47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288"/>
    </w:pPr>
  </w:style>
  <w:style w:type="paragraph" w:customStyle="1" w:styleId="Import48">
    <w:name w:val="Import 48"/>
    <w:basedOn w:val="Import0"/>
    <w:pPr>
      <w:tabs>
        <w:tab w:val="left" w:pos="5760"/>
      </w:tabs>
      <w:ind w:left="1152"/>
    </w:pPr>
  </w:style>
  <w:style w:type="paragraph" w:customStyle="1" w:styleId="Import49">
    <w:name w:val="Import 49"/>
    <w:basedOn w:val="Import0"/>
    <w:pPr>
      <w:tabs>
        <w:tab w:val="left" w:pos="5472"/>
      </w:tabs>
      <w:ind w:left="1296"/>
    </w:pPr>
  </w:style>
  <w:style w:type="paragraph" w:customStyle="1" w:styleId="Import50">
    <w:name w:val="Import 50"/>
    <w:basedOn w:val="Import0"/>
    <w:pPr>
      <w:tabs>
        <w:tab w:val="left" w:pos="5904"/>
      </w:tabs>
      <w:ind w:left="432" w:hanging="432"/>
    </w:pPr>
  </w:style>
  <w:style w:type="paragraph" w:customStyle="1" w:styleId="Import51">
    <w:name w:val="Import 51"/>
    <w:basedOn w:val="Import0"/>
    <w:pPr>
      <w:tabs>
        <w:tab w:val="left" w:pos="8496"/>
      </w:tabs>
    </w:pPr>
  </w:style>
  <w:style w:type="paragraph" w:customStyle="1" w:styleId="Import52">
    <w:name w:val="Import 52"/>
    <w:basedOn w:val="Import0"/>
    <w:pPr>
      <w:tabs>
        <w:tab w:val="left" w:pos="6048"/>
      </w:tabs>
      <w:ind w:left="1296"/>
    </w:pPr>
  </w:style>
  <w:style w:type="paragraph" w:customStyle="1" w:styleId="Import53">
    <w:name w:val="Import 53"/>
    <w:basedOn w:val="Import0"/>
    <w:pPr>
      <w:tabs>
        <w:tab w:val="left" w:pos="4752"/>
        <w:tab w:val="left" w:pos="8352"/>
      </w:tabs>
    </w:pPr>
  </w:style>
  <w:style w:type="paragraph" w:customStyle="1" w:styleId="Import54">
    <w:name w:val="Import 54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</w:style>
  <w:style w:type="paragraph" w:customStyle="1" w:styleId="Import55">
    <w:name w:val="Import 55"/>
    <w:basedOn w:val="Import0"/>
    <w:pPr>
      <w:tabs>
        <w:tab w:val="left" w:pos="5184"/>
        <w:tab w:val="left" w:pos="7056"/>
        <w:tab w:val="left" w:pos="7776"/>
      </w:tabs>
    </w:pPr>
  </w:style>
  <w:style w:type="paragraph" w:customStyle="1" w:styleId="Import56">
    <w:name w:val="Import 56"/>
    <w:basedOn w:val="Import0"/>
    <w:pPr>
      <w:tabs>
        <w:tab w:val="left" w:pos="5472"/>
      </w:tabs>
      <w:ind w:left="432"/>
    </w:pPr>
  </w:style>
  <w:style w:type="paragraph" w:customStyle="1" w:styleId="Import57">
    <w:name w:val="Import 57"/>
    <w:basedOn w:val="Import0"/>
    <w:pPr>
      <w:tabs>
        <w:tab w:val="left" w:pos="4032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760"/>
    </w:pPr>
  </w:style>
  <w:style w:type="paragraph" w:styleId="Zkladntext">
    <w:name w:val="Body Text"/>
    <w:basedOn w:val="Normln"/>
    <w:link w:val="ZkladntextChar"/>
    <w:semiHidden/>
    <w:rsid w:val="004963C9"/>
    <w:pPr>
      <w:autoSpaceDE w:val="0"/>
      <w:autoSpaceDN w:val="0"/>
      <w:adjustRightInd w:val="0"/>
      <w:spacing w:line="240" w:lineRule="auto"/>
      <w:jc w:val="both"/>
    </w:pPr>
    <w:rPr>
      <w:noProof w:val="0"/>
    </w:rPr>
  </w:style>
  <w:style w:type="character" w:customStyle="1" w:styleId="ZkladntextChar">
    <w:name w:val="Základní text Char"/>
    <w:link w:val="Zkladntext"/>
    <w:semiHidden/>
    <w:rsid w:val="004963C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B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BA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Loket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Vladimír Novák</dc:creator>
  <cp:keywords/>
  <cp:lastModifiedBy>sekretariat</cp:lastModifiedBy>
  <cp:revision>2</cp:revision>
  <cp:lastPrinted>2018-10-02T06:45:00Z</cp:lastPrinted>
  <dcterms:created xsi:type="dcterms:W3CDTF">2018-12-04T11:43:00Z</dcterms:created>
  <dcterms:modified xsi:type="dcterms:W3CDTF">2018-12-04T11:43:00Z</dcterms:modified>
</cp:coreProperties>
</file>