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="00874AD4">
        <w:rPr>
          <w:rFonts w:ascii="Arial" w:hAnsi="Arial" w:cs="Arial"/>
          <w:sz w:val="18"/>
          <w:szCs w:val="20"/>
        </w:rPr>
        <w:t xml:space="preserve"> </w:t>
      </w:r>
      <w:r w:rsidR="004A528E">
        <w:rPr>
          <w:rFonts w:ascii="Arial" w:hAnsi="Arial" w:cs="Arial"/>
          <w:b/>
          <w:sz w:val="18"/>
          <w:szCs w:val="20"/>
        </w:rPr>
        <w:t>18/2018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4A528E">
        <w:rPr>
          <w:rFonts w:ascii="Arial" w:hAnsi="Arial" w:cs="Arial"/>
          <w:b/>
          <w:sz w:val="18"/>
          <w:szCs w:val="20"/>
        </w:rPr>
        <w:t>1493/2018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3759CC" w:rsidRDefault="003759CC" w:rsidP="003759CC">
            <w:pPr>
              <w:spacing w:before="40" w:after="4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Enaspol a.s.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Velvěty 79, 415 01 Rtyně nad Bílinou 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24479C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Ing. Josef Kasík</w:t>
            </w:r>
          </w:p>
          <w:p w:rsidR="003759CC" w:rsidRPr="00952805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Statutární ředitel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6F1EAF" w:rsidRPr="00952805" w:rsidRDefault="00571D1B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proofErr w:type="gramStart"/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ab/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</w:t>
            </w:r>
            <w:proofErr w:type="gramEnd"/>
            <w:r w:rsidR="006F1EAF" w:rsidRPr="00952805">
              <w:rPr>
                <w:rFonts w:ascii="Arial" w:hAnsi="Arial" w:cs="Arial"/>
                <w:sz w:val="18"/>
                <w:szCs w:val="36"/>
              </w:rPr>
              <w:t xml:space="preserve"> odboru VHL</w:t>
            </w:r>
          </w:p>
        </w:tc>
        <w:tc>
          <w:tcPr>
            <w:tcW w:w="3544" w:type="dxa"/>
          </w:tcPr>
          <w:p w:rsidR="003759CC" w:rsidRPr="00952805" w:rsidRDefault="00571D1B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proofErr w:type="gramStart"/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3759CC">
              <w:rPr>
                <w:rFonts w:ascii="Arial" w:hAnsi="Arial" w:cs="Arial"/>
                <w:sz w:val="18"/>
                <w:szCs w:val="36"/>
              </w:rPr>
              <w:t>Výrobní</w:t>
            </w:r>
            <w:proofErr w:type="gramEnd"/>
            <w:r w:rsidR="003759CC">
              <w:rPr>
                <w:rFonts w:ascii="Arial" w:hAnsi="Arial" w:cs="Arial"/>
                <w:sz w:val="18"/>
                <w:szCs w:val="36"/>
              </w:rPr>
              <w:t xml:space="preserve"> ředitel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759CC">
              <w:rPr>
                <w:rFonts w:ascii="Arial" w:hAnsi="Arial" w:cs="Arial"/>
                <w:sz w:val="18"/>
                <w:szCs w:val="36"/>
              </w:rPr>
              <w:t>25006339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4470D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4470D7">
              <w:rPr>
                <w:rFonts w:ascii="Arial" w:hAnsi="Arial" w:cs="Arial"/>
                <w:sz w:val="18"/>
                <w:szCs w:val="36"/>
              </w:rPr>
              <w:t>CZ25006339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4470D7" w:rsidRPr="00BA4ED3" w:rsidRDefault="004470D7" w:rsidP="004470D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BA4ED3">
              <w:rPr>
                <w:rFonts w:ascii="Arial" w:hAnsi="Arial" w:cs="Arial"/>
                <w:sz w:val="18"/>
                <w:szCs w:val="20"/>
              </w:rPr>
              <w:t>Krajský soud v Ústí nad Labem, oddíl B, vložka 892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24479C" w:rsidRPr="00952805" w:rsidRDefault="00571D1B" w:rsidP="00551BB7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24479C" w:rsidRPr="00952805" w:rsidRDefault="00571D1B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24479C" w:rsidRPr="00BA4ED3" w:rsidRDefault="00571D1B" w:rsidP="004470D7">
            <w:pPr>
              <w:spacing w:before="40" w:after="40"/>
              <w:ind w:left="19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24479C" w:rsidRPr="00952805" w:rsidRDefault="00571D1B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24479C" w:rsidRPr="00BA4ED3" w:rsidRDefault="00571D1B" w:rsidP="00ED3FB4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24479C" w:rsidRPr="00952805" w:rsidRDefault="00571D1B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proofErr w:type="gramStart"/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bookmarkStart w:id="0" w:name="_GoBack"/>
            <w:bookmarkEnd w:id="0"/>
            <w:r w:rsidR="0024479C" w:rsidRPr="00952805">
              <w:rPr>
                <w:rFonts w:ascii="Arial" w:hAnsi="Arial" w:cs="Arial"/>
                <w:sz w:val="18"/>
                <w:szCs w:val="36"/>
              </w:rPr>
              <w:t>laboratore@poh</w:t>
            </w:r>
            <w:proofErr w:type="gramEnd"/>
            <w:r w:rsidR="0024479C" w:rsidRPr="00952805">
              <w:rPr>
                <w:rFonts w:ascii="Arial" w:hAnsi="Arial" w:cs="Arial"/>
                <w:sz w:val="18"/>
                <w:szCs w:val="36"/>
              </w:rPr>
              <w:t>.cz</w:t>
            </w:r>
          </w:p>
        </w:tc>
        <w:tc>
          <w:tcPr>
            <w:tcW w:w="3544" w:type="dxa"/>
          </w:tcPr>
          <w:p w:rsidR="0024479C" w:rsidRPr="00BA4ED3" w:rsidRDefault="00571D1B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571D1B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proofErr w:type="gramStart"/>
      <w:r w:rsidR="004A528E">
        <w:rPr>
          <w:rFonts w:ascii="Arial" w:hAnsi="Arial" w:cs="Arial"/>
          <w:sz w:val="18"/>
          <w:szCs w:val="20"/>
        </w:rPr>
        <w:t>31.12.</w:t>
      </w:r>
      <w:r w:rsidR="00432ADE">
        <w:rPr>
          <w:rFonts w:ascii="Arial" w:hAnsi="Arial" w:cs="Arial"/>
          <w:sz w:val="18"/>
          <w:szCs w:val="20"/>
        </w:rPr>
        <w:t>201</w:t>
      </w:r>
      <w:r w:rsidR="004A528E">
        <w:rPr>
          <w:rFonts w:ascii="Arial" w:hAnsi="Arial" w:cs="Arial"/>
          <w:sz w:val="18"/>
          <w:szCs w:val="20"/>
        </w:rPr>
        <w:t>9</w:t>
      </w:r>
      <w:proofErr w:type="gramEnd"/>
      <w:r w:rsidR="00CD244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>výpust „A“ z BČOV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>Dvacetičtyřhodinový směsný vzorek získaný sléváním 12 objemově stejných dílčích vzorků s intervalem 2 hodiny mezi odběry.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>BSK5, CHSKcr, NL, PAL-A, RAS, Pc, N-NH4 , pH, teplota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D9218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měsíc dle termínů</w:t>
            </w:r>
            <w:r>
              <w:rPr>
                <w:rFonts w:ascii="Arial" w:hAnsi="Arial" w:cs="Arial"/>
                <w:sz w:val="18"/>
                <w:szCs w:val="20"/>
              </w:rPr>
              <w:t xml:space="preserve"> viz příloha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výpust „B“ nečištěné chladící vody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B10951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>Dvacetičtyřhodinový směsný vzorek získaný sléváním 12 objemově stejných dílčích vzorků s intervalem 2 hodiny mezi odběry</w:t>
            </w:r>
            <w:r w:rsidR="00D92187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CHSKcr, NL, pH, RAS, teplota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měsíc dle termínů</w:t>
            </w:r>
            <w:r>
              <w:rPr>
                <w:rFonts w:ascii="Arial" w:hAnsi="Arial" w:cs="Arial"/>
                <w:sz w:val="18"/>
                <w:szCs w:val="20"/>
              </w:rPr>
              <w:t xml:space="preserve"> viz příloha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nová čerpací stanice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D92187">
            <w:pPr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Dvacetičtyřhodinový směsný vzorek získaný sléváním 12 objemově stejných dílčích vzorků s i</w:t>
            </w:r>
            <w:r>
              <w:rPr>
                <w:rFonts w:ascii="Arial" w:hAnsi="Arial" w:cs="Arial"/>
                <w:sz w:val="18"/>
                <w:szCs w:val="20"/>
              </w:rPr>
              <w:t>ntervalem 2 hodiny mezi odběry.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BSK5, CHSKcr, amoniakální dusík, dusičnanový dusík, celkový fosfor, konduktivita, pH, teplota, NL, RAS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2 měsíce</w:t>
            </w:r>
            <w:r w:rsidR="008B2DF4">
              <w:rPr>
                <w:rFonts w:ascii="Arial" w:hAnsi="Arial" w:cs="Arial"/>
                <w:sz w:val="18"/>
                <w:szCs w:val="20"/>
              </w:rPr>
              <w:t xml:space="preserve"> dle termínů viz příloha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BA4ED3" w:rsidRDefault="00BA4E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lastRenderedPageBreak/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>004 Sb. o dani z přidané hodnoty, ve znění pozdějších předpisů. Faktura je splatná do 14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B7EF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4A528E">
        <w:rPr>
          <w:rFonts w:ascii="Arial" w:hAnsi="Arial" w:cs="Arial"/>
          <w:sz w:val="18"/>
          <w:szCs w:val="18"/>
        </w:rPr>
        <w:t xml:space="preserve"> 06</w:t>
      </w:r>
      <w:r w:rsidR="00DE568B">
        <w:rPr>
          <w:rFonts w:ascii="Arial" w:hAnsi="Arial" w:cs="Arial"/>
          <w:sz w:val="18"/>
          <w:szCs w:val="18"/>
        </w:rPr>
        <w:t>.12.201</w:t>
      </w:r>
      <w:r w:rsidR="004A528E">
        <w:rPr>
          <w:rFonts w:ascii="Arial" w:hAnsi="Arial" w:cs="Arial"/>
          <w:sz w:val="18"/>
          <w:szCs w:val="18"/>
        </w:rPr>
        <w:t>8</w:t>
      </w:r>
      <w:r w:rsidRPr="00551BB7">
        <w:rPr>
          <w:rFonts w:ascii="Arial" w:hAnsi="Arial" w:cs="Arial"/>
          <w:sz w:val="18"/>
          <w:szCs w:val="18"/>
        </w:rPr>
        <w:tab/>
        <w:t>V</w:t>
      </w:r>
      <w:r w:rsidR="00BA4ED3">
        <w:rPr>
          <w:rFonts w:ascii="Arial" w:hAnsi="Arial" w:cs="Arial"/>
          <w:sz w:val="18"/>
          <w:szCs w:val="18"/>
        </w:rPr>
        <w:t xml:space="preserve">e Velvětech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3B7EF7">
        <w:rPr>
          <w:rFonts w:ascii="Arial" w:hAnsi="Arial" w:cs="Arial"/>
          <w:sz w:val="18"/>
          <w:szCs w:val="18"/>
        </w:rPr>
        <w:t>05.12.201</w:t>
      </w:r>
      <w:r w:rsidR="004A528E">
        <w:rPr>
          <w:rFonts w:ascii="Arial" w:hAnsi="Arial" w:cs="Arial"/>
          <w:sz w:val="18"/>
          <w:szCs w:val="18"/>
        </w:rPr>
        <w:t>8</w:t>
      </w:r>
    </w:p>
    <w:p w:rsidR="003B7EF7" w:rsidRDefault="003B7E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B7EF7" w:rsidRPr="00360083" w:rsidRDefault="003B7EF7" w:rsidP="003B7EF7">
      <w:pPr>
        <w:pStyle w:val="Nadpis2"/>
        <w:numPr>
          <w:ilvl w:val="0"/>
          <w:numId w:val="19"/>
        </w:num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Příloha k </w:t>
      </w:r>
      <w:proofErr w:type="gramStart"/>
      <w:r>
        <w:rPr>
          <w:b/>
          <w:sz w:val="36"/>
        </w:rPr>
        <w:t>objednávce  12</w:t>
      </w:r>
      <w:proofErr w:type="gramEnd"/>
      <w:r>
        <w:rPr>
          <w:b/>
          <w:sz w:val="36"/>
        </w:rPr>
        <w:t xml:space="preserve"> / 2017</w:t>
      </w:r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</w:p>
    <w:p w:rsidR="003B7EF7" w:rsidRPr="00D05D32" w:rsidRDefault="003B7EF7" w:rsidP="003B7EF7">
      <w:pPr>
        <w:pStyle w:val="Standard"/>
        <w:jc w:val="center"/>
        <w:rPr>
          <w:b/>
          <w:sz w:val="30"/>
        </w:rPr>
      </w:pPr>
      <w:r w:rsidRPr="00D05D32">
        <w:rPr>
          <w:b/>
          <w:sz w:val="30"/>
        </w:rPr>
        <w:t>1. Provedení analýzy odpadních vod Enaspol , a.s. Velvěty – výpust „A“ z BČOV</w:t>
      </w:r>
    </w:p>
    <w:p w:rsidR="003B7EF7" w:rsidRDefault="003B7EF7" w:rsidP="003B7EF7">
      <w:pPr>
        <w:pStyle w:val="Standard"/>
      </w:pPr>
      <w:r>
        <w:t xml:space="preserve">    </w:t>
      </w:r>
    </w:p>
    <w:p w:rsidR="003B7EF7" w:rsidRDefault="003B7EF7" w:rsidP="003B7EF7">
      <w:pPr>
        <w:pStyle w:val="Standard"/>
        <w:numPr>
          <w:ilvl w:val="0"/>
          <w:numId w:val="20"/>
        </w:numPr>
      </w:pPr>
      <w:r>
        <w:t xml:space="preserve">Požadované  </w:t>
      </w:r>
      <w:proofErr w:type="gramStart"/>
      <w:r>
        <w:t xml:space="preserve">analýzy : </w:t>
      </w:r>
      <w:r>
        <w:rPr>
          <w:b/>
        </w:rPr>
        <w:t>BSK5</w:t>
      </w:r>
      <w:proofErr w:type="gramEnd"/>
      <w:r>
        <w:rPr>
          <w:b/>
        </w:rPr>
        <w:t>, CHSKcr, NL, PAL-A, RAS, Pc, N-NH</w:t>
      </w:r>
      <w:r>
        <w:rPr>
          <w:b/>
          <w:sz w:val="16"/>
        </w:rPr>
        <w:t>4</w:t>
      </w:r>
      <w:r>
        <w:rPr>
          <w:b/>
        </w:rPr>
        <w:t xml:space="preserve"> , pH, teplota</w:t>
      </w:r>
    </w:p>
    <w:p w:rsidR="003B7EF7" w:rsidRDefault="003B7EF7" w:rsidP="003B7EF7">
      <w:pPr>
        <w:pStyle w:val="Nadpis2"/>
        <w:numPr>
          <w:ilvl w:val="1"/>
          <w:numId w:val="16"/>
        </w:numPr>
      </w:pPr>
    </w:p>
    <w:p w:rsidR="003B7EF7" w:rsidRPr="00D373D3" w:rsidRDefault="003B7EF7" w:rsidP="003B7EF7">
      <w:pPr>
        <w:pStyle w:val="Nadpis2"/>
        <w:numPr>
          <w:ilvl w:val="1"/>
          <w:numId w:val="16"/>
        </w:numPr>
        <w:jc w:val="center"/>
        <w:rPr>
          <w:sz w:val="26"/>
        </w:rPr>
      </w:pPr>
      <w:r w:rsidRPr="00D373D3">
        <w:rPr>
          <w:sz w:val="26"/>
        </w:rPr>
        <w:t xml:space="preserve">Četnost analýz – </w:t>
      </w:r>
      <w:r w:rsidRPr="00D05D32">
        <w:rPr>
          <w:b/>
          <w:sz w:val="26"/>
        </w:rPr>
        <w:t>1 x za měsíc</w:t>
      </w:r>
    </w:p>
    <w:p w:rsidR="003B7EF7" w:rsidRPr="00D373D3" w:rsidRDefault="003B7EF7" w:rsidP="003B7EF7">
      <w:pPr>
        <w:pStyle w:val="Standard"/>
        <w:jc w:val="center"/>
        <w:rPr>
          <w:sz w:val="26"/>
        </w:rPr>
      </w:pPr>
      <w:r w:rsidRPr="00D373D3">
        <w:rPr>
          <w:sz w:val="26"/>
        </w:rPr>
        <w:t>Termíny odběru vzorků (platné i pro výpust „B“):</w:t>
      </w:r>
    </w:p>
    <w:p w:rsidR="003B7EF7" w:rsidRPr="00D05D32" w:rsidRDefault="003B7EF7" w:rsidP="003B7EF7">
      <w:pPr>
        <w:pStyle w:val="Standard"/>
        <w:ind w:left="540"/>
        <w:jc w:val="center"/>
        <w:rPr>
          <w:sz w:val="33"/>
          <w:szCs w:val="33"/>
        </w:rPr>
      </w:pPr>
      <w:r w:rsidRPr="00D05D32">
        <w:rPr>
          <w:sz w:val="33"/>
          <w:szCs w:val="33"/>
          <w:highlight w:val="yellow"/>
        </w:rPr>
        <w:t>8. - 9. 1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green"/>
        </w:rPr>
        <w:t>12. - 13. 2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yellow"/>
        </w:rPr>
        <w:t>12. - 13. 3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green"/>
        </w:rPr>
        <w:t>9. - 10. 4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yellow"/>
        </w:rPr>
        <w:t>14. - 15. 5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green"/>
        </w:rPr>
        <w:t>11. - 12. 6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yellow"/>
        </w:rPr>
        <w:t>9. - 10. 7</w:t>
      </w:r>
      <w:r w:rsidRPr="00D05D32">
        <w:rPr>
          <w:sz w:val="33"/>
          <w:szCs w:val="33"/>
        </w:rPr>
        <w:t>.;</w:t>
      </w:r>
      <w:r w:rsidRPr="00D05D32">
        <w:rPr>
          <w:sz w:val="33"/>
          <w:szCs w:val="33"/>
          <w:highlight w:val="green"/>
        </w:rPr>
        <w:t>13. - 14. 8</w:t>
      </w:r>
      <w:r w:rsidRPr="00D05D32">
        <w:rPr>
          <w:sz w:val="33"/>
          <w:szCs w:val="33"/>
        </w:rPr>
        <w:t>.;</w:t>
      </w:r>
    </w:p>
    <w:p w:rsidR="003B7EF7" w:rsidRPr="00D05D32" w:rsidRDefault="003B7EF7" w:rsidP="003B7EF7">
      <w:pPr>
        <w:pStyle w:val="Standard"/>
        <w:ind w:left="540"/>
        <w:jc w:val="center"/>
        <w:rPr>
          <w:sz w:val="33"/>
          <w:szCs w:val="33"/>
        </w:rPr>
      </w:pPr>
      <w:r w:rsidRPr="00D05D32">
        <w:rPr>
          <w:sz w:val="33"/>
          <w:szCs w:val="33"/>
          <w:highlight w:val="yellow"/>
        </w:rPr>
        <w:t>10. - 11. 9</w:t>
      </w:r>
      <w:r w:rsidRPr="00D05D32">
        <w:rPr>
          <w:sz w:val="33"/>
          <w:szCs w:val="33"/>
        </w:rPr>
        <w:t xml:space="preserve">.; </w:t>
      </w:r>
      <w:r w:rsidRPr="00D05D32">
        <w:rPr>
          <w:sz w:val="33"/>
          <w:szCs w:val="33"/>
          <w:highlight w:val="green"/>
        </w:rPr>
        <w:t>8. - 9. 10.</w:t>
      </w:r>
      <w:r w:rsidRPr="00D05D32">
        <w:rPr>
          <w:sz w:val="33"/>
          <w:szCs w:val="33"/>
        </w:rPr>
        <w:t xml:space="preserve">; </w:t>
      </w:r>
      <w:r w:rsidRPr="00D05D32">
        <w:rPr>
          <w:sz w:val="33"/>
          <w:szCs w:val="33"/>
          <w:highlight w:val="yellow"/>
        </w:rPr>
        <w:t>12. - 13. 11.</w:t>
      </w:r>
      <w:r w:rsidRPr="00D05D32">
        <w:rPr>
          <w:sz w:val="33"/>
          <w:szCs w:val="33"/>
        </w:rPr>
        <w:t xml:space="preserve"> a </w:t>
      </w:r>
      <w:r w:rsidRPr="00D05D32">
        <w:rPr>
          <w:sz w:val="33"/>
          <w:szCs w:val="33"/>
          <w:highlight w:val="green"/>
        </w:rPr>
        <w:t>10. - 11. 12. 2018</w:t>
      </w:r>
    </w:p>
    <w:p w:rsidR="003B7EF7" w:rsidRDefault="003B7EF7" w:rsidP="003B7EF7">
      <w:pPr>
        <w:pStyle w:val="Standard"/>
      </w:pPr>
      <w:r>
        <w:t xml:space="preserve">    </w:t>
      </w:r>
    </w:p>
    <w:p w:rsidR="003B7EF7" w:rsidRDefault="003B7EF7" w:rsidP="003B7EF7">
      <w:pPr>
        <w:pStyle w:val="Standard"/>
        <w:numPr>
          <w:ilvl w:val="0"/>
          <w:numId w:val="17"/>
        </w:numPr>
      </w:pPr>
      <w:r>
        <w:t xml:space="preserve">Požadované  </w:t>
      </w:r>
      <w:proofErr w:type="gramStart"/>
      <w:r>
        <w:t xml:space="preserve">analýzy : </w:t>
      </w:r>
      <w:r>
        <w:rPr>
          <w:b/>
        </w:rPr>
        <w:t>AOX</w:t>
      </w:r>
      <w:proofErr w:type="gramEnd"/>
      <w:r>
        <w:rPr>
          <w:b/>
        </w:rPr>
        <w:t>, Cd, Hg, Dusičnanový dusík a Dusitanový dusík</w:t>
      </w:r>
    </w:p>
    <w:p w:rsidR="003B7EF7" w:rsidRDefault="003B7EF7" w:rsidP="003B7EF7">
      <w:pPr>
        <w:pStyle w:val="Standard"/>
        <w:ind w:left="540"/>
      </w:pPr>
    </w:p>
    <w:p w:rsidR="003B7EF7" w:rsidRPr="00D05D32" w:rsidRDefault="003B7EF7" w:rsidP="003B7EF7">
      <w:pPr>
        <w:pStyle w:val="Standard"/>
        <w:ind w:left="540"/>
        <w:rPr>
          <w:sz w:val="32"/>
        </w:rPr>
      </w:pPr>
      <w:r w:rsidRPr="00D373D3">
        <w:rPr>
          <w:sz w:val="26"/>
        </w:rPr>
        <w:t xml:space="preserve">Četnost analýz – </w:t>
      </w:r>
      <w:r w:rsidRPr="00D05D32">
        <w:rPr>
          <w:b/>
          <w:sz w:val="26"/>
        </w:rPr>
        <w:t>6 x ročně</w:t>
      </w:r>
      <w:r w:rsidRPr="00D373D3">
        <w:rPr>
          <w:sz w:val="26"/>
        </w:rPr>
        <w:t xml:space="preserve"> </w:t>
      </w:r>
      <w:r w:rsidRPr="00D05D32">
        <w:rPr>
          <w:sz w:val="32"/>
        </w:rPr>
        <w:t xml:space="preserve">( </w:t>
      </w:r>
      <w:r w:rsidRPr="00D05D32">
        <w:rPr>
          <w:sz w:val="32"/>
          <w:highlight w:val="green"/>
        </w:rPr>
        <w:t xml:space="preserve">únor, duben, červen, srpen, říjen, </w:t>
      </w:r>
      <w:proofErr w:type="gramStart"/>
      <w:r w:rsidRPr="00D05D32">
        <w:rPr>
          <w:sz w:val="32"/>
          <w:highlight w:val="green"/>
        </w:rPr>
        <w:t>prosinec</w:t>
      </w:r>
      <w:r w:rsidRPr="00D05D32">
        <w:rPr>
          <w:sz w:val="32"/>
        </w:rPr>
        <w:t xml:space="preserve"> )</w:t>
      </w:r>
      <w:proofErr w:type="gramEnd"/>
    </w:p>
    <w:p w:rsidR="003B7EF7" w:rsidRDefault="003B7EF7" w:rsidP="003B7EF7">
      <w:pPr>
        <w:pStyle w:val="Standard"/>
        <w:ind w:left="540"/>
      </w:pPr>
    </w:p>
    <w:p w:rsidR="003B7EF7" w:rsidRPr="00D05D32" w:rsidRDefault="003B7EF7" w:rsidP="003B7EF7">
      <w:pPr>
        <w:pStyle w:val="Standard"/>
        <w:jc w:val="center"/>
        <w:rPr>
          <w:b/>
          <w:sz w:val="30"/>
        </w:rPr>
      </w:pPr>
      <w:r w:rsidRPr="00D05D32">
        <w:rPr>
          <w:b/>
          <w:sz w:val="30"/>
        </w:rPr>
        <w:t>2. Provedení analýzy odpadních vod Enaspol, a.s. Velvěty – výpust „B“ nečištěné chladící vody</w:t>
      </w:r>
    </w:p>
    <w:p w:rsidR="003B7EF7" w:rsidRDefault="003B7EF7" w:rsidP="003B7EF7">
      <w:pPr>
        <w:pStyle w:val="Standard"/>
      </w:pPr>
    </w:p>
    <w:p w:rsidR="003B7EF7" w:rsidRPr="00D373D3" w:rsidRDefault="003B7EF7" w:rsidP="003B7EF7">
      <w:pPr>
        <w:pStyle w:val="Standard"/>
        <w:jc w:val="center"/>
        <w:rPr>
          <w:sz w:val="26"/>
        </w:rPr>
      </w:pPr>
      <w:r w:rsidRPr="00D373D3">
        <w:rPr>
          <w:sz w:val="26"/>
        </w:rPr>
        <w:t xml:space="preserve">Požadované </w:t>
      </w:r>
      <w:proofErr w:type="gramStart"/>
      <w:r w:rsidRPr="00D373D3">
        <w:rPr>
          <w:sz w:val="26"/>
        </w:rPr>
        <w:t xml:space="preserve">analýzy : </w:t>
      </w:r>
      <w:r w:rsidRPr="00D373D3">
        <w:rPr>
          <w:b/>
          <w:sz w:val="26"/>
        </w:rPr>
        <w:t>CHSKcr</w:t>
      </w:r>
      <w:proofErr w:type="gramEnd"/>
      <w:r w:rsidRPr="00D373D3">
        <w:rPr>
          <w:b/>
          <w:sz w:val="26"/>
        </w:rPr>
        <w:t>, NL, pH, RAS, teplota</w:t>
      </w:r>
    </w:p>
    <w:p w:rsidR="003B7EF7" w:rsidRPr="00D373D3" w:rsidRDefault="003B7EF7" w:rsidP="003B7EF7">
      <w:pPr>
        <w:pStyle w:val="Standard"/>
        <w:jc w:val="center"/>
        <w:rPr>
          <w:sz w:val="26"/>
        </w:rPr>
      </w:pPr>
      <w:r w:rsidRPr="00D373D3">
        <w:rPr>
          <w:sz w:val="26"/>
        </w:rPr>
        <w:t xml:space="preserve">Četnost analýz – </w:t>
      </w:r>
      <w:r w:rsidRPr="00865AAD">
        <w:rPr>
          <w:b/>
          <w:sz w:val="28"/>
        </w:rPr>
        <w:t xml:space="preserve">1 x za měsíc dle termínů u bodu </w:t>
      </w:r>
      <w:proofErr w:type="gramStart"/>
      <w:r w:rsidRPr="00865AAD">
        <w:rPr>
          <w:b/>
          <w:sz w:val="28"/>
        </w:rPr>
        <w:t>č.1.a)</w:t>
      </w:r>
      <w:proofErr w:type="gramEnd"/>
    </w:p>
    <w:p w:rsidR="003B7EF7" w:rsidRDefault="003B7EF7" w:rsidP="003B7EF7">
      <w:pPr>
        <w:pStyle w:val="Standard"/>
        <w:rPr>
          <w:b/>
        </w:rPr>
      </w:pPr>
    </w:p>
    <w:p w:rsidR="003B7EF7" w:rsidRPr="00D05D32" w:rsidRDefault="003B7EF7" w:rsidP="003B7EF7">
      <w:pPr>
        <w:pStyle w:val="Standard"/>
        <w:jc w:val="center"/>
        <w:rPr>
          <w:sz w:val="30"/>
        </w:rPr>
      </w:pPr>
      <w:r w:rsidRPr="00D05D32">
        <w:rPr>
          <w:b/>
          <w:sz w:val="30"/>
        </w:rPr>
        <w:t>3</w:t>
      </w:r>
      <w:r w:rsidRPr="00D05D32">
        <w:rPr>
          <w:b/>
          <w:i/>
          <w:sz w:val="30"/>
        </w:rPr>
        <w:t>. Provedení analýzy odebíraných povrchových vod v Enaspol, a.s. Velvěty – nová čerpací stanice</w:t>
      </w:r>
    </w:p>
    <w:p w:rsidR="003B7EF7" w:rsidRDefault="003B7EF7" w:rsidP="003B7EF7">
      <w:pPr>
        <w:pStyle w:val="Standard"/>
      </w:pPr>
      <w:r>
        <w:t xml:space="preserve">    </w:t>
      </w:r>
    </w:p>
    <w:p w:rsidR="003B7EF7" w:rsidRDefault="003B7EF7" w:rsidP="003B7EF7">
      <w:pPr>
        <w:pStyle w:val="Standard"/>
        <w:numPr>
          <w:ilvl w:val="0"/>
          <w:numId w:val="21"/>
        </w:numPr>
      </w:pPr>
      <w:r>
        <w:rPr>
          <w:i/>
        </w:rPr>
        <w:t xml:space="preserve">Požadované  analýzy dle vyhlášky 20/2002 </w:t>
      </w:r>
      <w:proofErr w:type="gramStart"/>
      <w:r>
        <w:rPr>
          <w:i/>
        </w:rPr>
        <w:t xml:space="preserve">Sb. : </w:t>
      </w:r>
      <w:r>
        <w:rPr>
          <w:b/>
          <w:i/>
        </w:rPr>
        <w:t>BSK5</w:t>
      </w:r>
      <w:proofErr w:type="gramEnd"/>
      <w:r>
        <w:rPr>
          <w:b/>
          <w:i/>
        </w:rPr>
        <w:t>, CHSKcr, amoniakální dusík, dusičnanový dusík, celkový fosfor, konduktivita, pH, teplota, NL, RAS</w:t>
      </w:r>
    </w:p>
    <w:p w:rsidR="003B7EF7" w:rsidRDefault="003B7EF7" w:rsidP="003B7EF7">
      <w:pPr>
        <w:pStyle w:val="Nadpis2"/>
        <w:numPr>
          <w:ilvl w:val="1"/>
          <w:numId w:val="16"/>
        </w:numPr>
        <w:rPr>
          <w:i/>
        </w:rPr>
      </w:pPr>
    </w:p>
    <w:p w:rsidR="003B7EF7" w:rsidRPr="00D05D32" w:rsidRDefault="003B7EF7" w:rsidP="003B7EF7">
      <w:pPr>
        <w:pStyle w:val="Nadpis2"/>
        <w:numPr>
          <w:ilvl w:val="1"/>
          <w:numId w:val="16"/>
        </w:numPr>
        <w:jc w:val="center"/>
        <w:rPr>
          <w:b/>
          <w:sz w:val="26"/>
        </w:rPr>
      </w:pPr>
      <w:r w:rsidRPr="00D373D3">
        <w:rPr>
          <w:sz w:val="26"/>
        </w:rPr>
        <w:t xml:space="preserve">Četnost analýz – </w:t>
      </w:r>
      <w:r w:rsidRPr="00D05D32">
        <w:rPr>
          <w:b/>
          <w:sz w:val="26"/>
        </w:rPr>
        <w:t>1 x za 2 měsíce</w:t>
      </w:r>
    </w:p>
    <w:p w:rsidR="003B7EF7" w:rsidRPr="00D373D3" w:rsidRDefault="003B7EF7" w:rsidP="003B7EF7">
      <w:pPr>
        <w:pStyle w:val="Standard"/>
        <w:ind w:left="540"/>
        <w:jc w:val="center"/>
        <w:rPr>
          <w:sz w:val="26"/>
        </w:rPr>
      </w:pPr>
      <w:r w:rsidRPr="00D373D3">
        <w:rPr>
          <w:sz w:val="26"/>
        </w:rPr>
        <w:t>Termíny odběru vzorků stejné jako u odpadních vod:</w:t>
      </w:r>
    </w:p>
    <w:p w:rsidR="003B7EF7" w:rsidRPr="00D05D32" w:rsidRDefault="003B7EF7" w:rsidP="003B7EF7">
      <w:pPr>
        <w:pStyle w:val="Standard"/>
        <w:ind w:left="540"/>
        <w:jc w:val="center"/>
        <w:rPr>
          <w:b/>
          <w:sz w:val="28"/>
        </w:rPr>
      </w:pPr>
      <w:r w:rsidRPr="00D05D32">
        <w:rPr>
          <w:b/>
          <w:sz w:val="28"/>
          <w:highlight w:val="yellow"/>
        </w:rPr>
        <w:t>8. - 9. 1</w:t>
      </w:r>
      <w:r w:rsidRPr="00D05D32">
        <w:rPr>
          <w:b/>
          <w:sz w:val="28"/>
        </w:rPr>
        <w:t xml:space="preserve">.; </w:t>
      </w:r>
      <w:r w:rsidRPr="00D05D32">
        <w:rPr>
          <w:b/>
          <w:sz w:val="28"/>
          <w:highlight w:val="yellow"/>
        </w:rPr>
        <w:t>12. - 13. 3</w:t>
      </w:r>
      <w:r w:rsidRPr="00D05D32">
        <w:rPr>
          <w:b/>
          <w:sz w:val="28"/>
        </w:rPr>
        <w:t>.;</w:t>
      </w:r>
      <w:r w:rsidRPr="00D05D32">
        <w:rPr>
          <w:b/>
          <w:sz w:val="28"/>
          <w:highlight w:val="yellow"/>
        </w:rPr>
        <w:t>14. - 15. 5</w:t>
      </w:r>
      <w:r w:rsidRPr="00D05D32">
        <w:rPr>
          <w:b/>
          <w:sz w:val="28"/>
        </w:rPr>
        <w:t xml:space="preserve">.; </w:t>
      </w:r>
      <w:r w:rsidRPr="00D05D32">
        <w:rPr>
          <w:b/>
          <w:sz w:val="28"/>
          <w:highlight w:val="yellow"/>
        </w:rPr>
        <w:t>9. - 10. 7</w:t>
      </w:r>
      <w:r w:rsidRPr="00D05D32">
        <w:rPr>
          <w:b/>
          <w:sz w:val="28"/>
        </w:rPr>
        <w:t>.;</w:t>
      </w:r>
      <w:r w:rsidRPr="00D05D32">
        <w:rPr>
          <w:b/>
          <w:sz w:val="28"/>
          <w:highlight w:val="yellow"/>
        </w:rPr>
        <w:t>10. - 11. 9</w:t>
      </w:r>
      <w:r w:rsidRPr="00D05D32">
        <w:rPr>
          <w:b/>
          <w:sz w:val="28"/>
        </w:rPr>
        <w:t xml:space="preserve">. a </w:t>
      </w:r>
      <w:r w:rsidRPr="00D05D32">
        <w:rPr>
          <w:b/>
          <w:sz w:val="28"/>
          <w:highlight w:val="yellow"/>
        </w:rPr>
        <w:t>12. - 13. 11. 2018</w:t>
      </w:r>
    </w:p>
    <w:p w:rsidR="003B7EF7" w:rsidRDefault="003B7EF7" w:rsidP="003B7EF7">
      <w:pPr>
        <w:pStyle w:val="Standard"/>
        <w:ind w:left="540"/>
      </w:pPr>
    </w:p>
    <w:p w:rsidR="003B7EF7" w:rsidRDefault="003B7EF7" w:rsidP="003B7EF7">
      <w:pPr>
        <w:pStyle w:val="Standard"/>
      </w:pPr>
    </w:p>
    <w:p w:rsidR="003B7EF7" w:rsidRPr="00FF6B77" w:rsidRDefault="003B7EF7" w:rsidP="003B7EF7">
      <w:pPr>
        <w:pStyle w:val="Standard"/>
        <w:jc w:val="center"/>
        <w:rPr>
          <w:b/>
          <w:sz w:val="28"/>
        </w:rPr>
      </w:pPr>
      <w:r w:rsidRPr="00FF6B77">
        <w:rPr>
          <w:b/>
          <w:sz w:val="28"/>
        </w:rPr>
        <w:t>Typ vzorku: Dvacetičtyřhodinový směsný vzorek získaný sléváním 12 objemově stejných dílčích vzorků s intervalem 2 hodiny mezi odběry.</w:t>
      </w:r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</w:p>
    <w:p w:rsidR="003B7EF7" w:rsidRPr="00FF6B77" w:rsidRDefault="003B7EF7" w:rsidP="003B7EF7">
      <w:pPr>
        <w:pStyle w:val="Standard"/>
        <w:rPr>
          <w:sz w:val="26"/>
        </w:rPr>
      </w:pPr>
      <w:r w:rsidRPr="00FF6B77">
        <w:rPr>
          <w:sz w:val="26"/>
        </w:rPr>
        <w:t>Kontaktní osoby: Miloslav Kříž – vodohospodář, tel.: 417 813 142, 777 470 552</w:t>
      </w:r>
    </w:p>
    <w:p w:rsidR="003B7EF7" w:rsidRPr="00FF6B77" w:rsidRDefault="003B7EF7" w:rsidP="003B7EF7">
      <w:pPr>
        <w:pStyle w:val="Standard"/>
        <w:rPr>
          <w:sz w:val="26"/>
        </w:rPr>
      </w:pPr>
      <w:r>
        <w:rPr>
          <w:sz w:val="26"/>
        </w:rPr>
        <w:t xml:space="preserve">                             </w:t>
      </w:r>
      <w:r w:rsidRPr="00FF6B77">
        <w:rPr>
          <w:sz w:val="26"/>
        </w:rPr>
        <w:t>Ladislav Temkovič – energetik, tel.: 417 813 142, 602 666 443</w:t>
      </w:r>
    </w:p>
    <w:p w:rsidR="003B7EF7" w:rsidRDefault="003B7EF7" w:rsidP="003B7EF7">
      <w:pPr>
        <w:pStyle w:val="Standard"/>
      </w:pPr>
      <w:r>
        <w:t xml:space="preserve">                       </w:t>
      </w:r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  <w:r>
        <w:t xml:space="preserve">Ve Velvětech dne:  </w:t>
      </w:r>
      <w:proofErr w:type="gramStart"/>
      <w:r>
        <w:t>5.12.2017</w:t>
      </w:r>
      <w:proofErr w:type="gramEnd"/>
    </w:p>
    <w:p w:rsidR="003B7EF7" w:rsidRDefault="003B7EF7" w:rsidP="003B7EF7">
      <w:pPr>
        <w:pStyle w:val="Standard"/>
      </w:pPr>
    </w:p>
    <w:p w:rsidR="003B7EF7" w:rsidRDefault="003B7EF7" w:rsidP="003B7EF7">
      <w:pPr>
        <w:pStyle w:val="Standard"/>
      </w:pPr>
      <w:r>
        <w:t>Zpracoval: Miloslav Kříž</w:t>
      </w:r>
    </w:p>
    <w:p w:rsidR="00551BB7" w:rsidRPr="00551BB7" w:rsidRDefault="00551BB7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14042B"/>
    <w:rsid w:val="00154287"/>
    <w:rsid w:val="002245CC"/>
    <w:rsid w:val="0024479C"/>
    <w:rsid w:val="00273098"/>
    <w:rsid w:val="002C70B1"/>
    <w:rsid w:val="003066BE"/>
    <w:rsid w:val="003759CC"/>
    <w:rsid w:val="00377A07"/>
    <w:rsid w:val="00390F32"/>
    <w:rsid w:val="003B7EF7"/>
    <w:rsid w:val="00420697"/>
    <w:rsid w:val="00432ADE"/>
    <w:rsid w:val="004470D7"/>
    <w:rsid w:val="004A528E"/>
    <w:rsid w:val="004D18E1"/>
    <w:rsid w:val="004D5A59"/>
    <w:rsid w:val="004F08F5"/>
    <w:rsid w:val="00521BF9"/>
    <w:rsid w:val="00551BB7"/>
    <w:rsid w:val="005544AA"/>
    <w:rsid w:val="00571D1B"/>
    <w:rsid w:val="005C5717"/>
    <w:rsid w:val="005F733F"/>
    <w:rsid w:val="00601D4B"/>
    <w:rsid w:val="00611F3A"/>
    <w:rsid w:val="00674AAF"/>
    <w:rsid w:val="00675240"/>
    <w:rsid w:val="006D0711"/>
    <w:rsid w:val="006F1EAF"/>
    <w:rsid w:val="00730E11"/>
    <w:rsid w:val="00756338"/>
    <w:rsid w:val="008118DA"/>
    <w:rsid w:val="00813F3B"/>
    <w:rsid w:val="00827550"/>
    <w:rsid w:val="00843D82"/>
    <w:rsid w:val="00853CA1"/>
    <w:rsid w:val="00874AD4"/>
    <w:rsid w:val="0089253C"/>
    <w:rsid w:val="008B2DF4"/>
    <w:rsid w:val="008B3062"/>
    <w:rsid w:val="00920755"/>
    <w:rsid w:val="00945822"/>
    <w:rsid w:val="00952805"/>
    <w:rsid w:val="00A06AD3"/>
    <w:rsid w:val="00A736EE"/>
    <w:rsid w:val="00AA6924"/>
    <w:rsid w:val="00AB2FD2"/>
    <w:rsid w:val="00B10951"/>
    <w:rsid w:val="00B71D5D"/>
    <w:rsid w:val="00B919EF"/>
    <w:rsid w:val="00BA4ED3"/>
    <w:rsid w:val="00C4254D"/>
    <w:rsid w:val="00C752E1"/>
    <w:rsid w:val="00C87885"/>
    <w:rsid w:val="00CD244A"/>
    <w:rsid w:val="00D45AD0"/>
    <w:rsid w:val="00D63BCA"/>
    <w:rsid w:val="00D92187"/>
    <w:rsid w:val="00DB2610"/>
    <w:rsid w:val="00DD5712"/>
    <w:rsid w:val="00DE568B"/>
    <w:rsid w:val="00E56559"/>
    <w:rsid w:val="00ED1D84"/>
    <w:rsid w:val="00ED3FB4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cp:lastPrinted>2017-12-05T08:42:00Z</cp:lastPrinted>
  <dcterms:created xsi:type="dcterms:W3CDTF">2018-12-06T13:03:00Z</dcterms:created>
  <dcterms:modified xsi:type="dcterms:W3CDTF">2018-12-06T13:04:00Z</dcterms:modified>
</cp:coreProperties>
</file>