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2142A472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3662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2018-19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53B5B130" w:rsidR="00467F1D" w:rsidRDefault="00276403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286F1F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6BE10902" w14:textId="5786D39F" w:rsidR="00F54708" w:rsidRDefault="0053662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 xml:space="preserve">Přechod z MRTG na </w:t>
      </w:r>
      <w:proofErr w:type="spellStart"/>
      <w:r>
        <w:rPr>
          <w:rFonts w:ascii="Palatino Linotype" w:hAnsi="Palatino Linotype"/>
          <w:b/>
          <w:bCs/>
          <w:color w:val="000000"/>
          <w:sz w:val="22"/>
          <w:szCs w:val="22"/>
        </w:rPr>
        <w:t>Cacti</w:t>
      </w:r>
      <w:proofErr w:type="spellEnd"/>
    </w:p>
    <w:p w14:paraId="22CA46A0" w14:textId="3199C32E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3662F">
        <w:rPr>
          <w:rFonts w:ascii="Palatino Linotype" w:hAnsi="Palatino Linotype" w:cs="Tahoma"/>
          <w:b/>
          <w:sz w:val="22"/>
          <w:szCs w:val="28"/>
          <w:lang w:eastAsia="cs-CZ"/>
        </w:rPr>
        <w:t>(ZLR 2018-19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41AE27F4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 xml:space="preserve">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2E3F9F2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4407876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77D01141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E600A">
        <w:rPr>
          <w:rFonts w:ascii="Palatino Linotype" w:hAnsi="Palatino Linotype"/>
          <w:sz w:val="22"/>
          <w:szCs w:val="22"/>
          <w:lang w:eastAsia="cs-CZ"/>
        </w:rPr>
        <w:t xml:space="preserve"> 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7899FC35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0871C0">
        <w:rPr>
          <w:rFonts w:ascii="Palatino Linotype" w:hAnsi="Palatino Linotype" w:cs="Arial"/>
          <w:sz w:val="22"/>
          <w:szCs w:val="22"/>
        </w:rPr>
        <w:t xml:space="preserve"> 2018-19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57395793" w:rsidR="008A4DB3" w:rsidRPr="0002026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02026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02026F">
        <w:rPr>
          <w:rFonts w:ascii="Palatino Linotype" w:hAnsi="Palatino Linotype" w:cs="Arial"/>
          <w:sz w:val="22"/>
          <w:szCs w:val="22"/>
        </w:rPr>
        <w:t>j</w:t>
      </w:r>
      <w:r w:rsidR="00C91E4A" w:rsidRPr="0002026F">
        <w:rPr>
          <w:rFonts w:ascii="Palatino Linotype" w:hAnsi="Palatino Linotype" w:cs="Arial"/>
          <w:sz w:val="22"/>
          <w:szCs w:val="22"/>
        </w:rPr>
        <w:t>e</w:t>
      </w:r>
      <w:r w:rsidR="008E5B83" w:rsidRPr="0002026F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02026F">
        <w:rPr>
          <w:rFonts w:ascii="Palatino Linotype" w:hAnsi="Palatino Linotype" w:cs="Arial"/>
          <w:sz w:val="22"/>
          <w:szCs w:val="22"/>
        </w:rPr>
        <w:t>a Na Poříčním právu 376/1</w:t>
      </w:r>
      <w:r w:rsidR="009E5990" w:rsidRPr="0002026F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318CDD17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proofErr w:type="gramStart"/>
      <w:r w:rsidR="0017343E" w:rsidRPr="009C6E85">
        <w:rPr>
          <w:rFonts w:ascii="Palatino Linotype" w:hAnsi="Palatino Linotype" w:cs="Arial"/>
          <w:sz w:val="22"/>
          <w:szCs w:val="22"/>
        </w:rPr>
        <w:t>3</w:t>
      </w:r>
      <w:r w:rsidR="00C91E4A" w:rsidRPr="009C6E85">
        <w:rPr>
          <w:rFonts w:ascii="Palatino Linotype" w:hAnsi="Palatino Linotype" w:cs="Arial"/>
          <w:sz w:val="22"/>
          <w:szCs w:val="22"/>
        </w:rPr>
        <w:t>1</w:t>
      </w:r>
      <w:r w:rsidR="009C6E85" w:rsidRPr="009C6E85">
        <w:rPr>
          <w:rFonts w:ascii="Palatino Linotype" w:hAnsi="Palatino Linotype" w:cs="Arial"/>
          <w:sz w:val="22"/>
          <w:szCs w:val="22"/>
        </w:rPr>
        <w:t>.12</w:t>
      </w:r>
      <w:r w:rsidR="0017343E" w:rsidRPr="009C6E85">
        <w:rPr>
          <w:rFonts w:ascii="Palatino Linotype" w:hAnsi="Palatino Linotype" w:cs="Arial"/>
          <w:sz w:val="22"/>
          <w:szCs w:val="22"/>
        </w:rPr>
        <w:t>.201</w:t>
      </w:r>
      <w:r w:rsidR="00C91E4A" w:rsidRPr="009C6E85">
        <w:rPr>
          <w:rFonts w:ascii="Palatino Linotype" w:hAnsi="Palatino Linotype" w:cs="Arial"/>
          <w:sz w:val="22"/>
          <w:szCs w:val="22"/>
        </w:rPr>
        <w:t>8</w:t>
      </w:r>
      <w:proofErr w:type="gramEnd"/>
      <w:r w:rsidR="008E5B83" w:rsidRPr="009C6E85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09AC6B47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C6E85">
        <w:rPr>
          <w:rFonts w:ascii="Palatino Linotype" w:hAnsi="Palatino Linotype" w:cs="Arial"/>
          <w:sz w:val="22"/>
          <w:szCs w:val="22"/>
        </w:rPr>
        <w:t>Prováděcí smlouvy</w:t>
      </w:r>
      <w:r w:rsidRPr="009C6E85">
        <w:rPr>
          <w:rFonts w:ascii="Palatino Linotype" w:hAnsi="Palatino Linotype" w:cs="Arial"/>
          <w:sz w:val="22"/>
          <w:szCs w:val="22"/>
        </w:rPr>
        <w:t xml:space="preserve"> ve výši </w:t>
      </w:r>
      <w:r w:rsidR="000871C0">
        <w:rPr>
          <w:rFonts w:ascii="Palatino Linotype" w:hAnsi="Palatino Linotype" w:cs="Arial"/>
          <w:sz w:val="22"/>
          <w:szCs w:val="22"/>
        </w:rPr>
        <w:t>627.600</w:t>
      </w:r>
      <w:r w:rsidR="000E71EF" w:rsidRPr="009C6E85">
        <w:rPr>
          <w:rFonts w:ascii="Palatino Linotype" w:hAnsi="Palatino Linotype" w:cs="Arial"/>
          <w:sz w:val="22"/>
          <w:szCs w:val="22"/>
        </w:rPr>
        <w:t>,-</w:t>
      </w:r>
      <w:r w:rsidR="00C056E8" w:rsidRPr="009C6E85">
        <w:rPr>
          <w:rFonts w:ascii="Palatino Linotype" w:hAnsi="Palatino Linotype" w:cs="Arial"/>
          <w:sz w:val="22"/>
          <w:szCs w:val="22"/>
        </w:rPr>
        <w:t xml:space="preserve"> </w:t>
      </w:r>
      <w:r w:rsidRPr="009C6E85">
        <w:rPr>
          <w:rFonts w:ascii="Palatino Linotype" w:hAnsi="Palatino Linotype" w:cs="Arial"/>
          <w:sz w:val="22"/>
          <w:szCs w:val="22"/>
        </w:rPr>
        <w:t>Kč (slovy</w:t>
      </w:r>
      <w:r w:rsidRPr="00F154C7">
        <w:rPr>
          <w:rFonts w:ascii="Palatino Linotype" w:hAnsi="Palatino Linotype" w:cs="Arial"/>
          <w:sz w:val="22"/>
          <w:szCs w:val="22"/>
        </w:rPr>
        <w:t xml:space="preserve">: </w:t>
      </w:r>
      <w:proofErr w:type="spellStart"/>
      <w:r w:rsidR="000871C0">
        <w:rPr>
          <w:rFonts w:ascii="Palatino Linotype" w:hAnsi="Palatino Linotype" w:cs="Arial"/>
          <w:sz w:val="22"/>
          <w:szCs w:val="22"/>
        </w:rPr>
        <w:t>šestsetdvacetsedmtisícšestset</w:t>
      </w:r>
      <w:proofErr w:type="spellEnd"/>
      <w:r w:rsidR="00597DE9" w:rsidRPr="00F154C7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F154C7">
        <w:rPr>
          <w:rFonts w:ascii="Palatino Linotype" w:hAnsi="Palatino Linotype" w:cs="Arial"/>
          <w:sz w:val="22"/>
          <w:szCs w:val="22"/>
        </w:rPr>
        <w:t xml:space="preserve">) 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0871C0">
        <w:rPr>
          <w:rFonts w:ascii="Palatino Linotype" w:hAnsi="Palatino Linotype" w:cs="Arial"/>
          <w:spacing w:val="-15"/>
          <w:sz w:val="22"/>
          <w:szCs w:val="22"/>
        </w:rPr>
        <w:t>759.396</w:t>
      </w:r>
      <w:r w:rsidR="009E7028" w:rsidRPr="00F154C7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proofErr w:type="spellStart"/>
      <w:r w:rsidR="000871C0">
        <w:rPr>
          <w:rFonts w:ascii="Palatino Linotype" w:hAnsi="Palatino Linotype" w:cs="Arial"/>
          <w:spacing w:val="-15"/>
          <w:sz w:val="22"/>
          <w:szCs w:val="22"/>
        </w:rPr>
        <w:t>sedmsetpadesátdevěttisíctřistadevadesátšest</w:t>
      </w:r>
      <w:proofErr w:type="spellEnd"/>
      <w:r w:rsidR="00597DE9" w:rsidRPr="000E71EF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>) včetně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lastRenderedPageBreak/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proofErr w:type="spellStart"/>
      <w:r w:rsidR="008E5B83" w:rsidRPr="00440981">
        <w:rPr>
          <w:rFonts w:ascii="Palatino Linotype" w:hAnsi="Palatino Linotype" w:cs="Arial"/>
          <w:sz w:val="22"/>
          <w:szCs w:val="22"/>
        </w:rPr>
        <w:t>karel.svitil</w:t>
      </w:r>
      <w:proofErr w:type="spellEnd"/>
      <w:r w:rsidR="008E5B83" w:rsidRPr="00440981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440981">
        <w:rPr>
          <w:rFonts w:ascii="Palatino Linotype" w:hAnsi="Palatino Linotype" w:cs="Arial"/>
          <w:sz w:val="22"/>
          <w:szCs w:val="22"/>
        </w:rPr>
        <w:t>jolana.skorepova@anect.com</w:t>
      </w:r>
      <w:r w:rsidR="00222D10" w:rsidRPr="00440981">
        <w:rPr>
          <w:rFonts w:ascii="Palatino Linotype" w:hAnsi="Palatino Linotype" w:cs="Arial"/>
          <w:sz w:val="22"/>
          <w:szCs w:val="22"/>
        </w:rPr>
        <w:t>)</w:t>
      </w:r>
      <w:r w:rsidRPr="00440981">
        <w:rPr>
          <w:rFonts w:ascii="Palatino Linotype" w:hAnsi="Palatino Linotype" w:cs="Arial"/>
          <w:sz w:val="22"/>
          <w:szCs w:val="22"/>
        </w:rPr>
        <w:t>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</w:t>
      </w:r>
      <w:r>
        <w:rPr>
          <w:rFonts w:ascii="Palatino Linotype" w:hAnsi="Palatino Linotype" w:cs="Arial"/>
          <w:sz w:val="22"/>
          <w:szCs w:val="22"/>
        </w:rPr>
        <w:lastRenderedPageBreak/>
        <w:t xml:space="preserve">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35D263A4" w14:textId="77777777" w:rsidR="002D6F3A" w:rsidRDefault="002D6F3A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3B35E9" w14:textId="74AD4238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5CD158AE" w14:textId="77777777" w:rsidR="002D6F3A" w:rsidRDefault="002D6F3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</w:p>
          <w:p w14:paraId="2F3C24AF" w14:textId="1990A331" w:rsidR="00881871" w:rsidRPr="00881871" w:rsidRDefault="00EE600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Předseda 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D2E209E" w14:textId="5B223A68" w:rsidR="00C91E4A" w:rsidRPr="00C91E4A" w:rsidRDefault="00C91E4A" w:rsidP="00C91E4A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tbl>
      <w:tblPr>
        <w:tblW w:w="10348" w:type="dxa"/>
        <w:tblInd w:w="-572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348"/>
      </w:tblGrid>
      <w:tr w:rsidR="009C6E85" w14:paraId="57B92A93" w14:textId="77777777" w:rsidTr="007621C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401" w14:textId="580D0C14" w:rsidR="009C6E85" w:rsidRPr="007621CE" w:rsidRDefault="009C6E85" w:rsidP="007621CE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3744283C" w14:textId="77777777" w:rsidR="0054047E" w:rsidRPr="0054047E" w:rsidRDefault="0054047E" w:rsidP="003905B4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  <w:sectPr w:rsidR="0054047E" w:rsidRPr="0054047E" w:rsidSect="005F74D4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2954AA5D" w14:textId="7541FAD4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9E5990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458C3" w14:textId="77777777" w:rsidR="00844423" w:rsidRDefault="00844423" w:rsidP="00312D44">
      <w:pPr>
        <w:spacing w:line="240" w:lineRule="auto"/>
      </w:pPr>
      <w:r>
        <w:separator/>
      </w:r>
    </w:p>
  </w:endnote>
  <w:endnote w:type="continuationSeparator" w:id="0">
    <w:p w14:paraId="29C5B995" w14:textId="77777777" w:rsidR="00844423" w:rsidRDefault="00844423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06A43CF4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D6F3A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D6F3A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23362B4E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D6F3A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D6F3A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7A414" w14:textId="77777777" w:rsidR="00844423" w:rsidRDefault="00844423" w:rsidP="00312D44">
      <w:pPr>
        <w:spacing w:line="240" w:lineRule="auto"/>
      </w:pPr>
      <w:r>
        <w:separator/>
      </w:r>
    </w:p>
  </w:footnote>
  <w:footnote w:type="continuationSeparator" w:id="0">
    <w:p w14:paraId="54BD1E5E" w14:textId="77777777" w:rsidR="00844423" w:rsidRDefault="00844423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7E05DF1A" w:rsidR="00467F1D" w:rsidRPr="00611E2F" w:rsidRDefault="0053662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ANECT/MPSV/1819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0871C0">
      <w:rPr>
        <w:rFonts w:ascii="Arial" w:hAnsi="Arial" w:cs="Arial"/>
        <w:szCs w:val="16"/>
      </w:rPr>
      <w:t>3469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MPSV1.18.0758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2012E"/>
    <w:multiLevelType w:val="hybridMultilevel"/>
    <w:tmpl w:val="52A034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0E602990"/>
    <w:multiLevelType w:val="hybridMultilevel"/>
    <w:tmpl w:val="761CB632"/>
    <w:lvl w:ilvl="0" w:tplc="AE766354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4A59"/>
    <w:multiLevelType w:val="hybridMultilevel"/>
    <w:tmpl w:val="EF981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DC2CD7"/>
    <w:multiLevelType w:val="hybridMultilevel"/>
    <w:tmpl w:val="6B3AE6B4"/>
    <w:lvl w:ilvl="0" w:tplc="525E37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46A97"/>
    <w:multiLevelType w:val="hybridMultilevel"/>
    <w:tmpl w:val="36E0A0E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748A7"/>
    <w:multiLevelType w:val="hybridMultilevel"/>
    <w:tmpl w:val="237A7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280A3335"/>
    <w:multiLevelType w:val="hybridMultilevel"/>
    <w:tmpl w:val="559C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49325A7"/>
    <w:multiLevelType w:val="hybridMultilevel"/>
    <w:tmpl w:val="B838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5179B"/>
    <w:multiLevelType w:val="hybridMultilevel"/>
    <w:tmpl w:val="65A0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976B4"/>
    <w:multiLevelType w:val="hybridMultilevel"/>
    <w:tmpl w:val="ACF856B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4C94098F"/>
    <w:multiLevelType w:val="hybridMultilevel"/>
    <w:tmpl w:val="B3DC80E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9C21F8"/>
    <w:multiLevelType w:val="hybridMultilevel"/>
    <w:tmpl w:val="CD246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3643307"/>
    <w:multiLevelType w:val="hybridMultilevel"/>
    <w:tmpl w:val="863081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1AB3"/>
    <w:multiLevelType w:val="hybridMultilevel"/>
    <w:tmpl w:val="D8D609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5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EB7ACC"/>
    <w:multiLevelType w:val="hybridMultilevel"/>
    <w:tmpl w:val="F676B66C"/>
    <w:lvl w:ilvl="0" w:tplc="62B4F202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34"/>
  </w:num>
  <w:num w:numId="5">
    <w:abstractNumId w:val="13"/>
  </w:num>
  <w:num w:numId="6">
    <w:abstractNumId w:val="32"/>
  </w:num>
  <w:num w:numId="7">
    <w:abstractNumId w:val="17"/>
  </w:num>
  <w:num w:numId="8">
    <w:abstractNumId w:val="4"/>
  </w:num>
  <w:num w:numId="9">
    <w:abstractNumId w:val="25"/>
  </w:num>
  <w:num w:numId="10">
    <w:abstractNumId w:val="31"/>
  </w:num>
  <w:num w:numId="11">
    <w:abstractNumId w:val="29"/>
  </w:num>
  <w:num w:numId="12">
    <w:abstractNumId w:val="3"/>
  </w:num>
  <w:num w:numId="13">
    <w:abstractNumId w:val="23"/>
  </w:num>
  <w:num w:numId="14">
    <w:abstractNumId w:val="18"/>
  </w:num>
  <w:num w:numId="15">
    <w:abstractNumId w:val="24"/>
  </w:num>
  <w:num w:numId="16">
    <w:abstractNumId w:val="27"/>
  </w:num>
  <w:num w:numId="17">
    <w:abstractNumId w:val="35"/>
  </w:num>
  <w:num w:numId="18">
    <w:abstractNumId w:val="12"/>
  </w:num>
  <w:num w:numId="19">
    <w:abstractNumId w:val="7"/>
  </w:num>
  <w:num w:numId="20">
    <w:abstractNumId w:val="0"/>
  </w:num>
  <w:num w:numId="21">
    <w:abstractNumId w:val="20"/>
  </w:num>
  <w:num w:numId="22">
    <w:abstractNumId w:val="2"/>
  </w:num>
  <w:num w:numId="23">
    <w:abstractNumId w:val="36"/>
  </w:num>
  <w:num w:numId="24">
    <w:abstractNumId w:val="23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8"/>
  </w:num>
  <w:num w:numId="3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026F"/>
    <w:rsid w:val="000233D4"/>
    <w:rsid w:val="0006058B"/>
    <w:rsid w:val="00066820"/>
    <w:rsid w:val="000726A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2021D7"/>
    <w:rsid w:val="002164E0"/>
    <w:rsid w:val="00221FC6"/>
    <w:rsid w:val="00222D10"/>
    <w:rsid w:val="00245EEA"/>
    <w:rsid w:val="00276403"/>
    <w:rsid w:val="00283567"/>
    <w:rsid w:val="002840F1"/>
    <w:rsid w:val="00286F1F"/>
    <w:rsid w:val="002A727F"/>
    <w:rsid w:val="002D6F3A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67D3"/>
    <w:rsid w:val="00386926"/>
    <w:rsid w:val="003905B4"/>
    <w:rsid w:val="003B4A88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9719D"/>
    <w:rsid w:val="00597DE9"/>
    <w:rsid w:val="005A24EE"/>
    <w:rsid w:val="005A31BB"/>
    <w:rsid w:val="005B1421"/>
    <w:rsid w:val="005C4168"/>
    <w:rsid w:val="005E6816"/>
    <w:rsid w:val="005F74D4"/>
    <w:rsid w:val="00611918"/>
    <w:rsid w:val="006424E1"/>
    <w:rsid w:val="00651CE8"/>
    <w:rsid w:val="00671C04"/>
    <w:rsid w:val="00677C70"/>
    <w:rsid w:val="00694143"/>
    <w:rsid w:val="00695413"/>
    <w:rsid w:val="006C0963"/>
    <w:rsid w:val="006C75D3"/>
    <w:rsid w:val="006D6E20"/>
    <w:rsid w:val="006E57DC"/>
    <w:rsid w:val="00737DEC"/>
    <w:rsid w:val="0075396F"/>
    <w:rsid w:val="00757185"/>
    <w:rsid w:val="007620A5"/>
    <w:rsid w:val="007621CE"/>
    <w:rsid w:val="00771E0A"/>
    <w:rsid w:val="00775471"/>
    <w:rsid w:val="007871AD"/>
    <w:rsid w:val="007A710A"/>
    <w:rsid w:val="007C0C09"/>
    <w:rsid w:val="007C137D"/>
    <w:rsid w:val="007E1D27"/>
    <w:rsid w:val="007E4EE5"/>
    <w:rsid w:val="007E7375"/>
    <w:rsid w:val="007F04D5"/>
    <w:rsid w:val="007F155A"/>
    <w:rsid w:val="00804E22"/>
    <w:rsid w:val="00830E12"/>
    <w:rsid w:val="0083224B"/>
    <w:rsid w:val="00836417"/>
    <w:rsid w:val="00842842"/>
    <w:rsid w:val="00844423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5B83"/>
    <w:rsid w:val="008E5FCB"/>
    <w:rsid w:val="009162A8"/>
    <w:rsid w:val="009261B1"/>
    <w:rsid w:val="00943336"/>
    <w:rsid w:val="00973F6C"/>
    <w:rsid w:val="009756C6"/>
    <w:rsid w:val="00986B58"/>
    <w:rsid w:val="009A6185"/>
    <w:rsid w:val="009C09C6"/>
    <w:rsid w:val="009C6E85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90607"/>
    <w:rsid w:val="00A95955"/>
    <w:rsid w:val="00AA5447"/>
    <w:rsid w:val="00AF215E"/>
    <w:rsid w:val="00AF3434"/>
    <w:rsid w:val="00B17ABB"/>
    <w:rsid w:val="00B355D3"/>
    <w:rsid w:val="00B3693A"/>
    <w:rsid w:val="00B36D9F"/>
    <w:rsid w:val="00B523FD"/>
    <w:rsid w:val="00B84CA1"/>
    <w:rsid w:val="00BD38F2"/>
    <w:rsid w:val="00BF2556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F6379"/>
    <w:rsid w:val="00E04D6A"/>
    <w:rsid w:val="00E35499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EE600A"/>
    <w:rsid w:val="00F02E46"/>
    <w:rsid w:val="00F154C7"/>
    <w:rsid w:val="00F23F0D"/>
    <w:rsid w:val="00F43E67"/>
    <w:rsid w:val="00F5279A"/>
    <w:rsid w:val="00F5470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50C4-6528-4CB8-94AF-6279AE77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1647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6</cp:revision>
  <cp:lastPrinted>2018-10-24T10:21:00Z</cp:lastPrinted>
  <dcterms:created xsi:type="dcterms:W3CDTF">2018-10-23T11:31:00Z</dcterms:created>
  <dcterms:modified xsi:type="dcterms:W3CDTF">2018-12-06T12:03:00Z</dcterms:modified>
</cp:coreProperties>
</file>