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24" w:rsidRPr="00BB2124" w:rsidRDefault="007E21EC" w:rsidP="00BB2124">
      <w:pPr>
        <w:spacing w:after="0" w:line="240" w:lineRule="auto"/>
        <w:ind w:left="1673" w:right="1593" w:firstLine="0"/>
        <w:jc w:val="center"/>
        <w:rPr>
          <w:b/>
          <w:sz w:val="28"/>
        </w:rPr>
      </w:pPr>
      <w:r w:rsidRPr="00BB2124">
        <w:rPr>
          <w:b/>
          <w:sz w:val="28"/>
        </w:rPr>
        <w:t xml:space="preserve">Dodatek číslo 2, </w:t>
      </w:r>
    </w:p>
    <w:p w:rsidR="0015318A" w:rsidRPr="00BB2124" w:rsidRDefault="007E21EC" w:rsidP="00BB2124">
      <w:pPr>
        <w:spacing w:after="0" w:line="240" w:lineRule="auto"/>
        <w:ind w:left="1673" w:right="1008" w:firstLine="0"/>
        <w:jc w:val="center"/>
        <w:rPr>
          <w:b/>
          <w:sz w:val="28"/>
        </w:rPr>
      </w:pPr>
      <w:r w:rsidRPr="00BB2124">
        <w:rPr>
          <w:b/>
          <w:sz w:val="28"/>
        </w:rPr>
        <w:t>ke smlouvě o užívání a update ekonomických programů</w:t>
      </w:r>
    </w:p>
    <w:p w:rsidR="00BB2124" w:rsidRDefault="00BB2124" w:rsidP="00BB2124">
      <w:pPr>
        <w:spacing w:after="0" w:line="240" w:lineRule="auto"/>
        <w:ind w:left="1673" w:right="1593" w:firstLine="0"/>
        <w:jc w:val="center"/>
        <w:rPr>
          <w:sz w:val="28"/>
        </w:rPr>
      </w:pPr>
    </w:p>
    <w:p w:rsidR="00BB2124" w:rsidRPr="00BB2124" w:rsidRDefault="00BB2124" w:rsidP="00BB2124">
      <w:pPr>
        <w:spacing w:after="0" w:line="240" w:lineRule="auto"/>
        <w:ind w:left="1673" w:right="1593" w:firstLine="0"/>
        <w:jc w:val="center"/>
        <w:rPr>
          <w:sz w:val="28"/>
          <w:szCs w:val="28"/>
        </w:rPr>
      </w:pPr>
    </w:p>
    <w:p w:rsidR="0015318A" w:rsidRPr="00BB2124" w:rsidRDefault="007E21EC">
      <w:pPr>
        <w:spacing w:after="247" w:line="259" w:lineRule="auto"/>
        <w:ind w:left="391" w:right="0" w:hanging="10"/>
        <w:jc w:val="left"/>
        <w:rPr>
          <w:b/>
          <w:sz w:val="28"/>
          <w:szCs w:val="28"/>
        </w:rPr>
      </w:pPr>
      <w:r w:rsidRPr="00BB2124">
        <w:rPr>
          <w:sz w:val="28"/>
          <w:szCs w:val="28"/>
        </w:rPr>
        <w:t>1</w:t>
      </w:r>
      <w:r w:rsidRPr="00BB2124">
        <w:rPr>
          <w:b/>
          <w:sz w:val="28"/>
          <w:szCs w:val="28"/>
        </w:rPr>
        <w:t>. Smluvní strany</w:t>
      </w:r>
    </w:p>
    <w:p w:rsidR="0015318A" w:rsidRPr="00BB2124" w:rsidRDefault="007E21EC">
      <w:pPr>
        <w:numPr>
          <w:ilvl w:val="0"/>
          <w:numId w:val="1"/>
        </w:numPr>
        <w:spacing w:after="247" w:line="259" w:lineRule="auto"/>
        <w:ind w:left="731" w:right="198" w:hanging="353"/>
        <w:jc w:val="left"/>
        <w:rPr>
          <w:b/>
          <w:sz w:val="28"/>
          <w:szCs w:val="28"/>
        </w:rPr>
      </w:pPr>
      <w:r w:rsidRPr="00BB2124">
        <w:rPr>
          <w:b/>
          <w:sz w:val="28"/>
          <w:szCs w:val="28"/>
        </w:rPr>
        <w:t>Zákazník:</w:t>
      </w:r>
    </w:p>
    <w:p w:rsidR="00BB2124" w:rsidRPr="00BB2124" w:rsidRDefault="007E21EC">
      <w:pPr>
        <w:spacing w:after="3"/>
        <w:ind w:left="-1"/>
        <w:jc w:val="left"/>
        <w:rPr>
          <w:sz w:val="28"/>
          <w:szCs w:val="28"/>
        </w:rPr>
      </w:pPr>
      <w:r w:rsidRPr="00BB2124">
        <w:rPr>
          <w:b/>
          <w:sz w:val="28"/>
          <w:szCs w:val="28"/>
        </w:rPr>
        <w:t>Správa silnic Královéhradeckého kraje</w:t>
      </w:r>
      <w:r w:rsidRPr="00BB2124">
        <w:rPr>
          <w:sz w:val="28"/>
          <w:szCs w:val="28"/>
        </w:rPr>
        <w:t xml:space="preserve">, příspěvková organizace Kutnohorská 59, Hradec Králové 4, PSČ 500 04 </w:t>
      </w:r>
    </w:p>
    <w:p w:rsidR="00BB2124" w:rsidRPr="00BB2124" w:rsidRDefault="007E21EC">
      <w:pPr>
        <w:spacing w:after="3"/>
        <w:ind w:left="-1"/>
        <w:jc w:val="left"/>
        <w:rPr>
          <w:sz w:val="28"/>
          <w:szCs w:val="28"/>
        </w:rPr>
      </w:pPr>
      <w:r w:rsidRPr="00BB2124">
        <w:rPr>
          <w:sz w:val="28"/>
          <w:szCs w:val="28"/>
        </w:rPr>
        <w:t>zastoupená:</w:t>
      </w:r>
      <w:r w:rsidR="00BB2124" w:rsidRPr="00BB2124">
        <w:rPr>
          <w:sz w:val="28"/>
          <w:szCs w:val="28"/>
        </w:rPr>
        <w:t xml:space="preserve"> </w:t>
      </w:r>
      <w:r w:rsidRPr="00BB2124">
        <w:rPr>
          <w:sz w:val="28"/>
          <w:szCs w:val="28"/>
        </w:rPr>
        <w:t xml:space="preserve"> </w:t>
      </w:r>
    </w:p>
    <w:p w:rsidR="0015318A" w:rsidRPr="00BB2124" w:rsidRDefault="007E21EC" w:rsidP="00BB2124">
      <w:pPr>
        <w:spacing w:after="0" w:line="240" w:lineRule="auto"/>
        <w:ind w:left="39" w:right="397" w:hanging="11"/>
        <w:rPr>
          <w:sz w:val="28"/>
          <w:szCs w:val="28"/>
        </w:rPr>
      </w:pPr>
      <w:r w:rsidRPr="00BB2124">
        <w:rPr>
          <w:sz w:val="28"/>
          <w:szCs w:val="28"/>
        </w:rPr>
        <w:t>IČO: 709 47 996</w:t>
      </w:r>
    </w:p>
    <w:p w:rsidR="0015318A" w:rsidRPr="00BB2124" w:rsidRDefault="007E21EC" w:rsidP="00BB2124">
      <w:pPr>
        <w:spacing w:after="0" w:line="240" w:lineRule="auto"/>
        <w:ind w:left="39" w:right="397" w:hanging="11"/>
        <w:rPr>
          <w:sz w:val="28"/>
          <w:szCs w:val="28"/>
        </w:rPr>
      </w:pPr>
      <w:r w:rsidRPr="00BB2124">
        <w:rPr>
          <w:sz w:val="28"/>
          <w:szCs w:val="28"/>
        </w:rPr>
        <w:t>DIČ: CZ 709 47</w:t>
      </w:r>
      <w:r w:rsidR="00BB2124" w:rsidRPr="00BB2124">
        <w:rPr>
          <w:sz w:val="28"/>
          <w:szCs w:val="28"/>
        </w:rPr>
        <w:t> </w:t>
      </w:r>
      <w:r w:rsidRPr="00BB2124">
        <w:rPr>
          <w:sz w:val="28"/>
          <w:szCs w:val="28"/>
        </w:rPr>
        <w:t>996</w:t>
      </w:r>
    </w:p>
    <w:p w:rsidR="00BB2124" w:rsidRPr="00BB2124" w:rsidRDefault="00BB2124" w:rsidP="00BB2124">
      <w:pPr>
        <w:spacing w:after="0" w:line="240" w:lineRule="auto"/>
        <w:ind w:left="39" w:right="397" w:hanging="11"/>
        <w:rPr>
          <w:sz w:val="28"/>
          <w:szCs w:val="28"/>
        </w:rPr>
      </w:pPr>
    </w:p>
    <w:p w:rsidR="0015318A" w:rsidRPr="00BB2124" w:rsidRDefault="007E21EC">
      <w:pPr>
        <w:spacing w:after="579" w:line="265" w:lineRule="auto"/>
        <w:ind w:left="38" w:right="396" w:hanging="10"/>
        <w:rPr>
          <w:sz w:val="28"/>
          <w:szCs w:val="28"/>
        </w:rPr>
      </w:pPr>
      <w:r w:rsidRPr="00BB2124">
        <w:rPr>
          <w:sz w:val="28"/>
          <w:szCs w:val="28"/>
        </w:rPr>
        <w:t xml:space="preserve">(dále jen </w:t>
      </w:r>
      <w:r w:rsidRPr="00BB2124">
        <w:rPr>
          <w:b/>
          <w:sz w:val="28"/>
          <w:szCs w:val="28"/>
        </w:rPr>
        <w:t>zákazník</w:t>
      </w:r>
      <w:r w:rsidRPr="00BB2124">
        <w:rPr>
          <w:sz w:val="28"/>
          <w:szCs w:val="28"/>
        </w:rPr>
        <w:t>)</w:t>
      </w:r>
    </w:p>
    <w:p w:rsidR="0015318A" w:rsidRPr="00BB2124" w:rsidRDefault="007E21EC">
      <w:pPr>
        <w:numPr>
          <w:ilvl w:val="0"/>
          <w:numId w:val="1"/>
        </w:numPr>
        <w:spacing w:after="571" w:line="265" w:lineRule="auto"/>
        <w:ind w:left="731" w:right="198" w:hanging="353"/>
        <w:jc w:val="left"/>
        <w:rPr>
          <w:b/>
        </w:rPr>
      </w:pPr>
      <w:r w:rsidRPr="00BB2124">
        <w:rPr>
          <w:b/>
          <w:sz w:val="28"/>
        </w:rPr>
        <w:t>Dodavatel:</w:t>
      </w:r>
    </w:p>
    <w:p w:rsidR="0015318A" w:rsidRPr="00BB2124" w:rsidRDefault="007E21EC">
      <w:pPr>
        <w:spacing w:after="3" w:line="265" w:lineRule="auto"/>
        <w:ind w:left="38" w:right="396" w:hanging="10"/>
        <w:rPr>
          <w:b/>
        </w:rPr>
      </w:pPr>
      <w:r w:rsidRPr="00BB2124">
        <w:rPr>
          <w:b/>
          <w:sz w:val="28"/>
        </w:rPr>
        <w:t>Soft-</w:t>
      </w:r>
      <w:proofErr w:type="spellStart"/>
      <w:r w:rsidRPr="00BB2124">
        <w:rPr>
          <w:b/>
          <w:sz w:val="28"/>
        </w:rPr>
        <w:t>Pc</w:t>
      </w:r>
      <w:proofErr w:type="spellEnd"/>
      <w:r w:rsidRPr="00BB2124">
        <w:rPr>
          <w:b/>
          <w:sz w:val="28"/>
        </w:rPr>
        <w:t>, s.r.o.</w:t>
      </w:r>
    </w:p>
    <w:p w:rsidR="00BB2124" w:rsidRDefault="00BB2124">
      <w:pPr>
        <w:spacing w:after="3" w:line="265" w:lineRule="auto"/>
        <w:ind w:left="38" w:right="2830" w:hanging="10"/>
        <w:rPr>
          <w:sz w:val="28"/>
        </w:rPr>
      </w:pPr>
      <w:r>
        <w:rPr>
          <w:sz w:val="28"/>
        </w:rPr>
        <w:t>Nad Dubinkou 163</w:t>
      </w:r>
      <w:r w:rsidR="007E21EC">
        <w:rPr>
          <w:sz w:val="28"/>
        </w:rPr>
        <w:t>1</w:t>
      </w:r>
      <w:r>
        <w:rPr>
          <w:sz w:val="28"/>
        </w:rPr>
        <w:t>, Rychnov nad Kněžnou, PSČ 516 0</w:t>
      </w:r>
      <w:r w:rsidR="007E21EC">
        <w:rPr>
          <w:sz w:val="28"/>
        </w:rPr>
        <w:t>l zapsaná v Ob</w:t>
      </w:r>
      <w:r>
        <w:rPr>
          <w:sz w:val="28"/>
        </w:rPr>
        <w:t xml:space="preserve">chodním rejstříku, vedeném KS v </w:t>
      </w:r>
      <w:r w:rsidR="007E21EC">
        <w:rPr>
          <w:sz w:val="28"/>
        </w:rPr>
        <w:t xml:space="preserve">Hradci Králově odd. C, Vložka 24921 </w:t>
      </w:r>
    </w:p>
    <w:p w:rsidR="00BB2124" w:rsidRDefault="007E21EC">
      <w:pPr>
        <w:spacing w:after="3" w:line="265" w:lineRule="auto"/>
        <w:ind w:left="38" w:right="2830" w:hanging="10"/>
        <w:rPr>
          <w:sz w:val="28"/>
        </w:rPr>
      </w:pPr>
      <w:r>
        <w:rPr>
          <w:sz w:val="28"/>
        </w:rPr>
        <w:t xml:space="preserve">zastoupená Ing. Romanou Trejtnarovou, jednatelkou </w:t>
      </w:r>
    </w:p>
    <w:p w:rsidR="0015318A" w:rsidRPr="00BB2124" w:rsidRDefault="007E21EC" w:rsidP="00BB2124">
      <w:pPr>
        <w:spacing w:after="0" w:line="240" w:lineRule="auto"/>
        <w:ind w:left="39" w:right="397" w:hanging="11"/>
        <w:rPr>
          <w:sz w:val="28"/>
          <w:szCs w:val="28"/>
        </w:rPr>
      </w:pPr>
      <w:r w:rsidRPr="00BB2124">
        <w:rPr>
          <w:sz w:val="28"/>
          <w:szCs w:val="28"/>
        </w:rPr>
        <w:t>IČO: 275 39 491</w:t>
      </w:r>
    </w:p>
    <w:p w:rsidR="0015318A" w:rsidRPr="00BB2124" w:rsidRDefault="007E21EC" w:rsidP="00BB2124">
      <w:pPr>
        <w:spacing w:after="0" w:line="240" w:lineRule="auto"/>
        <w:ind w:left="39" w:right="397" w:hanging="11"/>
        <w:rPr>
          <w:sz w:val="28"/>
          <w:szCs w:val="28"/>
        </w:rPr>
      </w:pPr>
      <w:r w:rsidRPr="00BB2124">
        <w:rPr>
          <w:sz w:val="28"/>
          <w:szCs w:val="28"/>
        </w:rPr>
        <w:t>DIČ: CZ 275 39</w:t>
      </w:r>
      <w:r w:rsidR="00BB2124" w:rsidRPr="00BB2124">
        <w:rPr>
          <w:sz w:val="28"/>
          <w:szCs w:val="28"/>
        </w:rPr>
        <w:t> </w:t>
      </w:r>
      <w:r w:rsidRPr="00BB2124">
        <w:rPr>
          <w:sz w:val="28"/>
          <w:szCs w:val="28"/>
        </w:rPr>
        <w:t>491</w:t>
      </w:r>
    </w:p>
    <w:p w:rsidR="00BB2124" w:rsidRPr="00BB2124" w:rsidRDefault="00BB2124" w:rsidP="00BB2124">
      <w:pPr>
        <w:spacing w:after="0" w:line="240" w:lineRule="auto"/>
        <w:ind w:left="39" w:right="397" w:hanging="11"/>
        <w:rPr>
          <w:sz w:val="28"/>
          <w:szCs w:val="28"/>
        </w:rPr>
      </w:pPr>
    </w:p>
    <w:p w:rsidR="0015318A" w:rsidRPr="004875B9" w:rsidRDefault="007E21EC">
      <w:pPr>
        <w:spacing w:after="587" w:line="265" w:lineRule="auto"/>
        <w:ind w:left="38" w:right="396" w:hanging="10"/>
        <w:rPr>
          <w:szCs w:val="26"/>
        </w:rPr>
      </w:pPr>
      <w:r>
        <w:rPr>
          <w:sz w:val="28"/>
        </w:rPr>
        <w:t xml:space="preserve">(dále </w:t>
      </w:r>
      <w:r w:rsidRPr="004875B9">
        <w:rPr>
          <w:szCs w:val="26"/>
        </w:rPr>
        <w:t xml:space="preserve">jen </w:t>
      </w:r>
      <w:r w:rsidRPr="004875B9">
        <w:rPr>
          <w:b/>
          <w:szCs w:val="26"/>
        </w:rPr>
        <w:t>dodavatel</w:t>
      </w:r>
      <w:r w:rsidRPr="004875B9">
        <w:rPr>
          <w:szCs w:val="26"/>
        </w:rPr>
        <w:t>)</w:t>
      </w:r>
    </w:p>
    <w:p w:rsidR="0015318A" w:rsidRPr="004875B9" w:rsidRDefault="00BB2124">
      <w:pPr>
        <w:numPr>
          <w:ilvl w:val="0"/>
          <w:numId w:val="2"/>
        </w:numPr>
        <w:spacing w:after="3" w:line="265" w:lineRule="auto"/>
        <w:ind w:right="198" w:hanging="360"/>
        <w:jc w:val="left"/>
        <w:rPr>
          <w:b/>
          <w:sz w:val="28"/>
          <w:szCs w:val="28"/>
        </w:rPr>
      </w:pPr>
      <w:r w:rsidRPr="004875B9">
        <w:rPr>
          <w:b/>
          <w:sz w:val="28"/>
          <w:szCs w:val="28"/>
        </w:rPr>
        <w:t>Ú</w:t>
      </w:r>
      <w:r w:rsidR="007E21EC" w:rsidRPr="004875B9">
        <w:rPr>
          <w:b/>
          <w:sz w:val="28"/>
          <w:szCs w:val="28"/>
        </w:rPr>
        <w:t>vodní ustanovení</w:t>
      </w:r>
    </w:p>
    <w:p w:rsidR="0015318A" w:rsidRPr="004875B9" w:rsidRDefault="007E21EC">
      <w:pPr>
        <w:spacing w:after="334"/>
        <w:ind w:left="-1" w:right="0"/>
        <w:jc w:val="left"/>
        <w:rPr>
          <w:szCs w:val="26"/>
        </w:rPr>
      </w:pPr>
      <w:r w:rsidRPr="004875B9">
        <w:rPr>
          <w:szCs w:val="26"/>
        </w:rPr>
        <w:t xml:space="preserve">Obě smluvní strany se dohodly na změně Smlouvy o užívání, aktualizaci a update ekonomických programů uzavřené </w:t>
      </w:r>
      <w:proofErr w:type="gramStart"/>
      <w:r w:rsidRPr="004875B9">
        <w:rPr>
          <w:szCs w:val="26"/>
        </w:rPr>
        <w:t>15.10.2012</w:t>
      </w:r>
      <w:proofErr w:type="gramEnd"/>
      <w:r w:rsidRPr="004875B9">
        <w:rPr>
          <w:szCs w:val="26"/>
        </w:rPr>
        <w:t xml:space="preserve"> v souladu s ustanovením občanského zákoníku.</w:t>
      </w:r>
    </w:p>
    <w:p w:rsidR="0015318A" w:rsidRPr="004875B9" w:rsidRDefault="007E21EC">
      <w:pPr>
        <w:numPr>
          <w:ilvl w:val="0"/>
          <w:numId w:val="2"/>
        </w:numPr>
        <w:spacing w:after="0" w:line="259" w:lineRule="auto"/>
        <w:ind w:right="198" w:hanging="360"/>
        <w:jc w:val="left"/>
        <w:rPr>
          <w:b/>
          <w:sz w:val="28"/>
          <w:szCs w:val="28"/>
        </w:rPr>
      </w:pPr>
      <w:r w:rsidRPr="004875B9">
        <w:rPr>
          <w:b/>
          <w:sz w:val="28"/>
          <w:szCs w:val="28"/>
        </w:rPr>
        <w:t>Předmět dodatku</w:t>
      </w:r>
    </w:p>
    <w:p w:rsidR="0015318A" w:rsidRPr="004875B9" w:rsidRDefault="00BB2124">
      <w:pPr>
        <w:spacing w:after="13"/>
        <w:ind w:left="367" w:right="35"/>
        <w:rPr>
          <w:szCs w:val="26"/>
        </w:rPr>
      </w:pPr>
      <w:r w:rsidRPr="004875B9">
        <w:rPr>
          <w:szCs w:val="26"/>
        </w:rPr>
        <w:t>2.1</w:t>
      </w:r>
      <w:r w:rsidR="007E21EC" w:rsidRPr="004875B9">
        <w:rPr>
          <w:szCs w:val="26"/>
        </w:rPr>
        <w:t>. Smluvní strany se tímto dohodly na následujících změnách smlouvy</w:t>
      </w:r>
    </w:p>
    <w:p w:rsidR="0015318A" w:rsidRPr="004875B9" w:rsidRDefault="00BB2124">
      <w:pPr>
        <w:ind w:left="1080" w:right="35" w:hanging="713"/>
        <w:rPr>
          <w:szCs w:val="26"/>
        </w:rPr>
      </w:pPr>
      <w:r w:rsidRPr="004875B9">
        <w:rPr>
          <w:szCs w:val="26"/>
        </w:rPr>
        <w:t xml:space="preserve">2.2. V čl., 3. smlouvy ruší odstavec </w:t>
      </w:r>
      <w:proofErr w:type="gramStart"/>
      <w:r w:rsidRPr="004875B9">
        <w:rPr>
          <w:szCs w:val="26"/>
        </w:rPr>
        <w:t xml:space="preserve">3.2. </w:t>
      </w:r>
      <w:r w:rsidR="007E21EC" w:rsidRPr="004875B9">
        <w:rPr>
          <w:szCs w:val="26"/>
        </w:rPr>
        <w:t>a nahrazuje</w:t>
      </w:r>
      <w:proofErr w:type="gramEnd"/>
      <w:r w:rsidR="007E21EC" w:rsidRPr="004875B9">
        <w:rPr>
          <w:szCs w:val="26"/>
        </w:rPr>
        <w:t xml:space="preserve"> se následujícím textem, dále se vkládá se nový článek 9 v následujícím znění</w:t>
      </w:r>
    </w:p>
    <w:p w:rsidR="0015318A" w:rsidRPr="004875B9" w:rsidRDefault="007E21EC">
      <w:pPr>
        <w:spacing w:after="3" w:line="265" w:lineRule="auto"/>
        <w:ind w:left="38" w:right="396" w:hanging="10"/>
        <w:rPr>
          <w:b/>
          <w:sz w:val="28"/>
          <w:szCs w:val="28"/>
        </w:rPr>
      </w:pPr>
      <w:r w:rsidRPr="004875B9">
        <w:rPr>
          <w:szCs w:val="26"/>
        </w:rPr>
        <w:lastRenderedPageBreak/>
        <w:t xml:space="preserve">čl. 3. </w:t>
      </w:r>
      <w:r w:rsidRPr="004875B9">
        <w:rPr>
          <w:b/>
          <w:sz w:val="28"/>
          <w:szCs w:val="28"/>
        </w:rPr>
        <w:t>Cena plnění</w:t>
      </w:r>
    </w:p>
    <w:p w:rsidR="0015318A" w:rsidRPr="004875B9" w:rsidRDefault="007E21EC">
      <w:pPr>
        <w:spacing w:after="3" w:line="265" w:lineRule="auto"/>
        <w:ind w:left="38" w:right="396" w:hanging="10"/>
        <w:rPr>
          <w:szCs w:val="26"/>
        </w:rPr>
      </w:pPr>
      <w:r w:rsidRPr="004875B9">
        <w:rPr>
          <w:szCs w:val="26"/>
        </w:rPr>
        <w:t>3.2 Smluvní cena obsahuje:</w:t>
      </w:r>
    </w:p>
    <w:p w:rsidR="0015318A" w:rsidRPr="004875B9" w:rsidRDefault="007E21EC">
      <w:pPr>
        <w:ind w:left="576" w:right="35"/>
        <w:rPr>
          <w:szCs w:val="26"/>
        </w:rPr>
      </w:pPr>
      <w:r w:rsidRPr="004875B9">
        <w:rPr>
          <w:szCs w:val="26"/>
        </w:rPr>
        <w:t xml:space="preserve">licenční použití v rámci fakturační </w:t>
      </w:r>
      <w:r w:rsidR="00BB2124" w:rsidRPr="004875B9">
        <w:rPr>
          <w:szCs w:val="26"/>
        </w:rPr>
        <w:t xml:space="preserve">jednotky do 40 počítačů </w:t>
      </w:r>
      <w:r w:rsidRPr="004875B9">
        <w:rPr>
          <w:szCs w:val="26"/>
        </w:rPr>
        <w:t>7 840,- Kč bez DPH čtvrtletně,</w:t>
      </w:r>
    </w:p>
    <w:p w:rsidR="0015318A" w:rsidRPr="004875B9" w:rsidRDefault="007E21EC">
      <w:pPr>
        <w:spacing w:after="882"/>
        <w:ind w:left="612" w:right="864"/>
        <w:rPr>
          <w:szCs w:val="26"/>
        </w:rPr>
      </w:pPr>
      <w:r w:rsidRPr="004875B9">
        <w:rPr>
          <w:szCs w:val="26"/>
        </w:rPr>
        <w:t>aktualizace update jednotlivých programů podle platných zákonů a vládních nařízení, využití nových technologií v souladu s vývojem SQL server programovacího prostředí 15 120,- Kč bez DPH pololetně.</w:t>
      </w:r>
    </w:p>
    <w:p w:rsidR="0015318A" w:rsidRPr="004875B9" w:rsidRDefault="007E21EC">
      <w:pPr>
        <w:spacing w:after="227" w:line="265" w:lineRule="auto"/>
        <w:ind w:left="38" w:right="396" w:hanging="10"/>
        <w:rPr>
          <w:b/>
          <w:sz w:val="28"/>
          <w:szCs w:val="28"/>
        </w:rPr>
      </w:pPr>
      <w:proofErr w:type="gramStart"/>
      <w:r w:rsidRPr="004875B9">
        <w:rPr>
          <w:szCs w:val="26"/>
        </w:rPr>
        <w:t>čl.9.</w:t>
      </w:r>
      <w:proofErr w:type="gramEnd"/>
      <w:r w:rsidRPr="004875B9">
        <w:rPr>
          <w:szCs w:val="26"/>
        </w:rPr>
        <w:t xml:space="preserve"> </w:t>
      </w:r>
      <w:r w:rsidRPr="004875B9">
        <w:rPr>
          <w:b/>
          <w:sz w:val="28"/>
          <w:szCs w:val="28"/>
        </w:rPr>
        <w:t>Mlčenlivost a bezpečnost informací</w:t>
      </w:r>
    </w:p>
    <w:p w:rsidR="0015318A" w:rsidRPr="004875B9" w:rsidRDefault="00BB2124">
      <w:pPr>
        <w:spacing w:after="271"/>
        <w:ind w:left="21" w:right="35"/>
        <w:rPr>
          <w:szCs w:val="26"/>
        </w:rPr>
      </w:pPr>
      <w:r w:rsidRPr="004875B9">
        <w:rPr>
          <w:szCs w:val="26"/>
        </w:rPr>
        <w:t>9.1.</w:t>
      </w:r>
      <w:r w:rsidR="007E21EC" w:rsidRPr="004875B9">
        <w:rPr>
          <w:szCs w:val="26"/>
        </w:rPr>
        <w:t>1. Smluvní strany považují obchodní a technické informace, které si vzájemně poskytly v souvislosti s touto smlouvou, za důvěrné a nesmí je prozradit třetí osobě nebo použít pro jiné účely než pro plnění svých závazků podle této smlouvy. Smluvní strana, která tyto informace prozradí nebo zneužije, je povinna nahradit druhé smluvní straně vzniklou škodu. Toto ustanovení se neaplikuje co do rozsahu poskytnuté licence poskytovatelem k softwarovým produktům společnosti SOFT-PC s.</w:t>
      </w:r>
      <w:proofErr w:type="gramStart"/>
      <w:r w:rsidR="007E21EC" w:rsidRPr="004875B9">
        <w:rPr>
          <w:szCs w:val="26"/>
        </w:rPr>
        <w:t>r.o..</w:t>
      </w:r>
      <w:proofErr w:type="gramEnd"/>
    </w:p>
    <w:p w:rsidR="0015318A" w:rsidRPr="004875B9" w:rsidRDefault="007E21EC">
      <w:pPr>
        <w:ind w:left="21" w:right="35"/>
        <w:rPr>
          <w:szCs w:val="26"/>
        </w:rPr>
      </w:pPr>
      <w:r w:rsidRPr="004875B9">
        <w:rPr>
          <w:szCs w:val="26"/>
        </w:rPr>
        <w:t>9.1.2. Smluvní strany zajistí, aby osoby, které použijí ke spolupráci v rámci této smlouvy, zachovávaly mlčenlivost o všech informacích, s nimiž přijdou do styku v souvislosti s touto smlouvou.</w:t>
      </w:r>
    </w:p>
    <w:p w:rsidR="0015318A" w:rsidRPr="004875B9" w:rsidRDefault="007E21EC">
      <w:pPr>
        <w:spacing w:after="273"/>
        <w:ind w:left="21" w:right="35"/>
        <w:rPr>
          <w:szCs w:val="26"/>
        </w:rPr>
      </w:pPr>
      <w:r w:rsidRPr="004875B9">
        <w:rPr>
          <w:noProof/>
          <w:szCs w:val="26"/>
        </w:rPr>
        <w:drawing>
          <wp:anchor distT="0" distB="0" distL="114300" distR="114300" simplePos="0" relativeHeight="251658240" behindDoc="0" locked="0" layoutInCell="1" allowOverlap="0" wp14:anchorId="57233F79" wp14:editId="7E46D68D">
            <wp:simplePos x="0" y="0"/>
            <wp:positionH relativeFrom="page">
              <wp:posOffset>502920</wp:posOffset>
            </wp:positionH>
            <wp:positionV relativeFrom="page">
              <wp:posOffset>5623560</wp:posOffset>
            </wp:positionV>
            <wp:extent cx="9144" cy="9144"/>
            <wp:effectExtent l="0" t="0" r="0" b="0"/>
            <wp:wrapSquare wrapText="bothSides"/>
            <wp:docPr id="2945" name="Picture 2945"/>
            <wp:cNvGraphicFramePr/>
            <a:graphic xmlns:a="http://schemas.openxmlformats.org/drawingml/2006/main">
              <a:graphicData uri="http://schemas.openxmlformats.org/drawingml/2006/picture">
                <pic:pic xmlns:pic="http://schemas.openxmlformats.org/drawingml/2006/picture">
                  <pic:nvPicPr>
                    <pic:cNvPr id="2945" name="Picture 2945"/>
                    <pic:cNvPicPr/>
                  </pic:nvPicPr>
                  <pic:blipFill>
                    <a:blip r:embed="rId8"/>
                    <a:stretch>
                      <a:fillRect/>
                    </a:stretch>
                  </pic:blipFill>
                  <pic:spPr>
                    <a:xfrm>
                      <a:off x="0" y="0"/>
                      <a:ext cx="9144" cy="9144"/>
                    </a:xfrm>
                    <a:prstGeom prst="rect">
                      <a:avLst/>
                    </a:prstGeom>
                  </pic:spPr>
                </pic:pic>
              </a:graphicData>
            </a:graphic>
          </wp:anchor>
        </w:drawing>
      </w:r>
      <w:r w:rsidR="00BB2124" w:rsidRPr="004875B9">
        <w:rPr>
          <w:szCs w:val="26"/>
        </w:rPr>
        <w:t>9.1</w:t>
      </w:r>
      <w:r w:rsidRPr="004875B9">
        <w:rPr>
          <w:szCs w:val="26"/>
        </w:rPr>
        <w:t>.3. Smluvní strany učiní veškerá potřebná opatření, která zamezí vyzrazení informací získaných v souvislosti s plněním podle této smlouvy.</w:t>
      </w:r>
    </w:p>
    <w:p w:rsidR="0015318A" w:rsidRPr="004875B9" w:rsidRDefault="007E21EC">
      <w:pPr>
        <w:ind w:left="21" w:right="35"/>
        <w:rPr>
          <w:szCs w:val="26"/>
        </w:rPr>
      </w:pPr>
      <w:r w:rsidRPr="004875B9">
        <w:rPr>
          <w:szCs w:val="26"/>
        </w:rPr>
        <w:t>9.1.4. Smluvní strany se zavazují pro případ, že se v průběhu plnění dle této smlouvy dostanou do kontaktu s údaji druhé smluvní strany vyplývajícími z její provozní činnosti, tyto údaje v žádném případě nezneužít, nezměnit ani jinak nepoškodit, neztratit či neznehodnotit.</w:t>
      </w:r>
    </w:p>
    <w:p w:rsidR="0015318A" w:rsidRPr="004875B9" w:rsidRDefault="004875B9">
      <w:pPr>
        <w:spacing w:after="255"/>
        <w:ind w:left="21" w:right="35"/>
        <w:rPr>
          <w:szCs w:val="26"/>
        </w:rPr>
      </w:pPr>
      <w:r w:rsidRPr="004875B9">
        <w:rPr>
          <w:szCs w:val="26"/>
        </w:rPr>
        <w:t>9.1</w:t>
      </w:r>
      <w:r w:rsidR="007E21EC" w:rsidRPr="004875B9">
        <w:rPr>
          <w:szCs w:val="26"/>
        </w:rPr>
        <w:t>.5. Za důvěrné nejsou považovány informace, které jsou:</w:t>
      </w:r>
    </w:p>
    <w:p w:rsidR="0015318A" w:rsidRPr="004875B9" w:rsidRDefault="007E21EC">
      <w:pPr>
        <w:numPr>
          <w:ilvl w:val="0"/>
          <w:numId w:val="3"/>
        </w:numPr>
        <w:spacing w:after="3" w:line="265" w:lineRule="auto"/>
        <w:ind w:right="35"/>
        <w:rPr>
          <w:szCs w:val="26"/>
        </w:rPr>
      </w:pPr>
      <w:r w:rsidRPr="004875B9">
        <w:rPr>
          <w:szCs w:val="26"/>
        </w:rPr>
        <w:t>obecně známé,</w:t>
      </w:r>
    </w:p>
    <w:p w:rsidR="0015318A" w:rsidRPr="004875B9" w:rsidRDefault="007E21EC">
      <w:pPr>
        <w:numPr>
          <w:ilvl w:val="0"/>
          <w:numId w:val="3"/>
        </w:numPr>
        <w:spacing w:after="13"/>
        <w:ind w:right="35"/>
        <w:rPr>
          <w:szCs w:val="26"/>
        </w:rPr>
      </w:pPr>
      <w:r w:rsidRPr="004875B9">
        <w:rPr>
          <w:szCs w:val="26"/>
        </w:rPr>
        <w:t>prokazatelně známé smluvní straně před jejich předáním druhou smluvní stranou,</w:t>
      </w:r>
    </w:p>
    <w:p w:rsidR="0015318A" w:rsidRPr="004875B9" w:rsidRDefault="007E21EC">
      <w:pPr>
        <w:numPr>
          <w:ilvl w:val="0"/>
          <w:numId w:val="3"/>
        </w:numPr>
        <w:spacing w:after="0"/>
        <w:ind w:right="35"/>
        <w:rPr>
          <w:szCs w:val="26"/>
        </w:rPr>
      </w:pPr>
      <w:r w:rsidRPr="004875B9">
        <w:rPr>
          <w:szCs w:val="26"/>
        </w:rPr>
        <w:t>legálně získané smluvní stranou od třetí osoby či jinak, aniž by bylo omezeno použití či zveřejnění takto získaných informací,</w:t>
      </w:r>
    </w:p>
    <w:p w:rsidR="0015318A" w:rsidRPr="004875B9" w:rsidRDefault="007E21EC">
      <w:pPr>
        <w:numPr>
          <w:ilvl w:val="0"/>
          <w:numId w:val="3"/>
        </w:numPr>
        <w:spacing w:after="13"/>
        <w:ind w:right="35"/>
        <w:rPr>
          <w:szCs w:val="26"/>
        </w:rPr>
      </w:pPr>
      <w:r w:rsidRPr="004875B9">
        <w:rPr>
          <w:szCs w:val="26"/>
        </w:rPr>
        <w:t>získané vlastní činností smluvní strany nezávisle na uzavření této či jiné smlouvy,</w:t>
      </w:r>
    </w:p>
    <w:p w:rsidR="0015318A" w:rsidRPr="004875B9" w:rsidRDefault="007E21EC">
      <w:pPr>
        <w:numPr>
          <w:ilvl w:val="0"/>
          <w:numId w:val="3"/>
        </w:numPr>
        <w:spacing w:after="292" w:line="265" w:lineRule="auto"/>
        <w:ind w:right="35"/>
        <w:rPr>
          <w:szCs w:val="26"/>
        </w:rPr>
      </w:pPr>
      <w:r w:rsidRPr="004875B9">
        <w:rPr>
          <w:szCs w:val="26"/>
        </w:rPr>
        <w:t>povinně zveřejňované v souladu s ustanoveními příslušných zákonů.</w:t>
      </w:r>
    </w:p>
    <w:p w:rsidR="0015318A" w:rsidRPr="004875B9" w:rsidRDefault="007E21EC">
      <w:pPr>
        <w:ind w:left="21" w:right="122"/>
        <w:rPr>
          <w:szCs w:val="26"/>
        </w:rPr>
      </w:pPr>
      <w:r w:rsidRPr="004875B9">
        <w:rPr>
          <w:szCs w:val="26"/>
        </w:rPr>
        <w:lastRenderedPageBreak/>
        <w:t>9.1.6. Smluvní strany nejsou oprávněny pořizovat kopie informací, s nimiž přijdou do styku při plnění svých závazků podle této smlouvy, pokud to není nezbytně nutné k řádnému plnění této smlouvy. Smluvní strany nebudou zjišťovat informace, které nejsou nezbytně nutné k řádnému plnění této smlouvy.</w:t>
      </w:r>
    </w:p>
    <w:p w:rsidR="0015318A" w:rsidRPr="004875B9" w:rsidRDefault="004875B9">
      <w:pPr>
        <w:ind w:left="21" w:right="35"/>
        <w:rPr>
          <w:szCs w:val="26"/>
        </w:rPr>
      </w:pPr>
      <w:r w:rsidRPr="004875B9">
        <w:rPr>
          <w:szCs w:val="26"/>
        </w:rPr>
        <w:t>9.1.</w:t>
      </w:r>
      <w:r w:rsidR="007E21EC" w:rsidRPr="004875B9">
        <w:rPr>
          <w:szCs w:val="26"/>
        </w:rPr>
        <w:t>7. Smluvní strany se v souvislosti s touto smlouvou zavazují učinit opatření potřebná k zajištění ochrany před šířením počítačových virů a nelegálních počítačových programů.</w:t>
      </w:r>
    </w:p>
    <w:p w:rsidR="0015318A" w:rsidRPr="004875B9" w:rsidRDefault="007E21EC">
      <w:pPr>
        <w:spacing w:after="261" w:line="265" w:lineRule="auto"/>
        <w:ind w:left="413" w:right="396" w:hanging="10"/>
        <w:rPr>
          <w:sz w:val="28"/>
          <w:szCs w:val="28"/>
        </w:rPr>
      </w:pPr>
      <w:r w:rsidRPr="004875B9">
        <w:rPr>
          <w:szCs w:val="26"/>
        </w:rPr>
        <w:t xml:space="preserve">3. </w:t>
      </w:r>
      <w:r w:rsidRPr="004875B9">
        <w:rPr>
          <w:b/>
          <w:sz w:val="28"/>
          <w:szCs w:val="28"/>
        </w:rPr>
        <w:t>Závěrečná ustanovení</w:t>
      </w:r>
    </w:p>
    <w:p w:rsidR="0015318A" w:rsidRPr="004875B9" w:rsidRDefault="004875B9">
      <w:pPr>
        <w:ind w:left="21" w:right="35"/>
        <w:rPr>
          <w:szCs w:val="26"/>
        </w:rPr>
      </w:pPr>
      <w:r w:rsidRPr="004875B9">
        <w:rPr>
          <w:szCs w:val="26"/>
        </w:rPr>
        <w:t>3.1</w:t>
      </w:r>
      <w:r w:rsidR="007E21EC" w:rsidRPr="004875B9">
        <w:rPr>
          <w:szCs w:val="26"/>
        </w:rPr>
        <w:t xml:space="preserve"> Tento dodatek se řídí a byl uzavřen v souladu s českým právním řádem.</w:t>
      </w:r>
    </w:p>
    <w:p w:rsidR="0015318A" w:rsidRPr="004875B9" w:rsidRDefault="007E21EC">
      <w:pPr>
        <w:spacing w:after="320"/>
        <w:ind w:left="21" w:right="35"/>
        <w:rPr>
          <w:szCs w:val="26"/>
        </w:rPr>
      </w:pPr>
      <w:r w:rsidRPr="004875B9">
        <w:rPr>
          <w:szCs w:val="26"/>
        </w:rPr>
        <w:t>3.2 Tento dodatek se stává platným dnem podpisu oběma smlu</w:t>
      </w:r>
      <w:r w:rsidR="004875B9" w:rsidRPr="004875B9">
        <w:rPr>
          <w:szCs w:val="26"/>
        </w:rPr>
        <w:t xml:space="preserve">vními stranami a účinným dnem </w:t>
      </w:r>
      <w:proofErr w:type="gramStart"/>
      <w:r w:rsidR="004875B9" w:rsidRPr="004875B9">
        <w:rPr>
          <w:szCs w:val="26"/>
        </w:rPr>
        <w:t>1.</w:t>
      </w:r>
      <w:r w:rsidRPr="004875B9">
        <w:rPr>
          <w:szCs w:val="26"/>
        </w:rPr>
        <w:t>1.2019</w:t>
      </w:r>
      <w:proofErr w:type="gramEnd"/>
      <w:r w:rsidRPr="004875B9">
        <w:rPr>
          <w:szCs w:val="26"/>
        </w:rPr>
        <w:t>. Smluvní strany berou na vědomí, že smlouva bude uveřejněna v registru smluv způsobem umožňující dálkový přístup. Smluvní strany se dohodly na tom, že uveřejnění v registru smluv provede Správa silnic Královéhradeckého kraje.</w:t>
      </w:r>
    </w:p>
    <w:p w:rsidR="0015318A" w:rsidRPr="004875B9" w:rsidRDefault="007E21EC">
      <w:pPr>
        <w:spacing w:after="292" w:line="265" w:lineRule="auto"/>
        <w:ind w:left="38" w:right="396" w:hanging="10"/>
        <w:rPr>
          <w:szCs w:val="26"/>
        </w:rPr>
      </w:pPr>
      <w:r w:rsidRPr="004875B9">
        <w:rPr>
          <w:szCs w:val="26"/>
        </w:rPr>
        <w:t>3.3 Tento dodatek byl vyhotoven ve dvou stejnopisech s platností originálu. Každá ze smluvních stran obdrží jedno vyhotovení.</w:t>
      </w:r>
    </w:p>
    <w:p w:rsidR="0015318A" w:rsidRPr="004875B9" w:rsidRDefault="007E21EC">
      <w:pPr>
        <w:spacing w:after="1495"/>
        <w:ind w:left="21" w:right="35"/>
        <w:rPr>
          <w:szCs w:val="26"/>
        </w:rPr>
      </w:pPr>
      <w:r w:rsidRPr="004875B9">
        <w:rPr>
          <w:szCs w:val="26"/>
        </w:rPr>
        <w:t>3.4 Ostatní ujednání smlouvy jsou tímto dodatkem nedotčena.</w:t>
      </w:r>
    </w:p>
    <w:p w:rsidR="0015318A" w:rsidRDefault="007E21EC">
      <w:pPr>
        <w:tabs>
          <w:tab w:val="center" w:pos="7423"/>
        </w:tabs>
        <w:spacing w:after="639" w:line="259" w:lineRule="auto"/>
        <w:ind w:left="0" w:right="0" w:firstLine="0"/>
        <w:jc w:val="left"/>
      </w:pPr>
      <w:r>
        <w:rPr>
          <w:rFonts w:ascii="Calibri" w:eastAsia="Calibri" w:hAnsi="Calibri" w:cs="Calibri"/>
          <w:sz w:val="24"/>
        </w:rPr>
        <w:t>Dne:</w:t>
      </w:r>
      <w:r w:rsidR="00001568">
        <w:rPr>
          <w:rFonts w:ascii="Calibri" w:eastAsia="Calibri" w:hAnsi="Calibri" w:cs="Calibri"/>
          <w:sz w:val="24"/>
        </w:rPr>
        <w:t xml:space="preserve">      </w:t>
      </w:r>
      <w:proofErr w:type="gramStart"/>
      <w:r w:rsidR="00001568">
        <w:rPr>
          <w:rFonts w:ascii="Calibri" w:eastAsia="Calibri" w:hAnsi="Calibri" w:cs="Calibri"/>
          <w:sz w:val="24"/>
        </w:rPr>
        <w:t>6.11.2018</w:t>
      </w:r>
      <w:proofErr w:type="gramEnd"/>
      <w:r w:rsidR="00001568">
        <w:rPr>
          <w:rFonts w:ascii="Calibri" w:eastAsia="Calibri" w:hAnsi="Calibri" w:cs="Calibri"/>
          <w:sz w:val="24"/>
        </w:rPr>
        <w:t xml:space="preserve">                                                                            </w:t>
      </w:r>
      <w:r>
        <w:rPr>
          <w:rFonts w:ascii="Calibri" w:eastAsia="Calibri" w:hAnsi="Calibri" w:cs="Calibri"/>
          <w:sz w:val="24"/>
        </w:rPr>
        <w:t>Dne:</w:t>
      </w:r>
      <w:r>
        <w:rPr>
          <w:rFonts w:ascii="Calibri" w:eastAsia="Calibri" w:hAnsi="Calibri" w:cs="Calibri"/>
          <w:sz w:val="24"/>
        </w:rPr>
        <w:tab/>
      </w:r>
      <w:r>
        <w:rPr>
          <w:noProof/>
        </w:rPr>
        <w:drawing>
          <wp:inline distT="0" distB="0" distL="0" distR="0" wp14:anchorId="2FEC8F59" wp14:editId="21441DB4">
            <wp:extent cx="1024127" cy="187452"/>
            <wp:effectExtent l="0" t="0" r="0" b="0"/>
            <wp:docPr id="4321" name="Picture 4321"/>
            <wp:cNvGraphicFramePr/>
            <a:graphic xmlns:a="http://schemas.openxmlformats.org/drawingml/2006/main">
              <a:graphicData uri="http://schemas.openxmlformats.org/drawingml/2006/picture">
                <pic:pic xmlns:pic="http://schemas.openxmlformats.org/drawingml/2006/picture">
                  <pic:nvPicPr>
                    <pic:cNvPr id="4321" name="Picture 4321"/>
                    <pic:cNvPicPr/>
                  </pic:nvPicPr>
                  <pic:blipFill>
                    <a:blip r:embed="rId9"/>
                    <a:stretch>
                      <a:fillRect/>
                    </a:stretch>
                  </pic:blipFill>
                  <pic:spPr>
                    <a:xfrm>
                      <a:off x="0" y="0"/>
                      <a:ext cx="1024127" cy="187452"/>
                    </a:xfrm>
                    <a:prstGeom prst="rect">
                      <a:avLst/>
                    </a:prstGeom>
                  </pic:spPr>
                </pic:pic>
              </a:graphicData>
            </a:graphic>
          </wp:inline>
        </w:drawing>
      </w:r>
    </w:p>
    <w:p w:rsidR="0015318A" w:rsidRDefault="007E21EC" w:rsidP="00001568">
      <w:pPr>
        <w:spacing w:before="22" w:after="3" w:line="265" w:lineRule="auto"/>
        <w:ind w:left="0" w:right="396" w:firstLine="0"/>
      </w:pPr>
      <w:r>
        <w:rPr>
          <w:sz w:val="28"/>
        </w:rPr>
        <w:t>Statutární zástupce dodavatele</w:t>
      </w:r>
      <w:r w:rsidR="00001568">
        <w:rPr>
          <w:sz w:val="28"/>
        </w:rPr>
        <w:tab/>
      </w:r>
      <w:r w:rsidR="00001568">
        <w:rPr>
          <w:sz w:val="28"/>
        </w:rPr>
        <w:tab/>
      </w:r>
      <w:r w:rsidR="00001568">
        <w:rPr>
          <w:sz w:val="28"/>
        </w:rPr>
        <w:tab/>
        <w:t xml:space="preserve">  Statutární zástupce zákazníka</w:t>
      </w:r>
    </w:p>
    <w:p w:rsidR="0015318A" w:rsidRDefault="007E21EC" w:rsidP="00001568">
      <w:pPr>
        <w:spacing w:after="3" w:line="265" w:lineRule="auto"/>
        <w:ind w:right="396"/>
      </w:pPr>
      <w:r>
        <w:rPr>
          <w:sz w:val="28"/>
        </w:rPr>
        <w:t>Ing. Romana Trejtnarová, jednatel</w:t>
      </w:r>
    </w:p>
    <w:p w:rsidR="0015318A" w:rsidRDefault="0015318A" w:rsidP="00001568">
      <w:pPr>
        <w:spacing w:after="0" w:line="259" w:lineRule="auto"/>
        <w:ind w:left="0" w:right="10462" w:firstLine="0"/>
        <w:jc w:val="left"/>
      </w:pPr>
      <w:bookmarkStart w:id="0" w:name="_GoBack"/>
      <w:bookmarkEnd w:id="0"/>
    </w:p>
    <w:sectPr w:rsidR="0015318A">
      <w:pgSz w:w="11902" w:h="16834"/>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A0A" w:rsidRDefault="00336A0A" w:rsidP="00BB2124">
      <w:pPr>
        <w:spacing w:after="0" w:line="240" w:lineRule="auto"/>
      </w:pPr>
      <w:r>
        <w:separator/>
      </w:r>
    </w:p>
  </w:endnote>
  <w:endnote w:type="continuationSeparator" w:id="0">
    <w:p w:rsidR="00336A0A" w:rsidRDefault="00336A0A" w:rsidP="00BB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A0A" w:rsidRDefault="00336A0A" w:rsidP="00BB2124">
      <w:pPr>
        <w:spacing w:after="0" w:line="240" w:lineRule="auto"/>
      </w:pPr>
      <w:r>
        <w:separator/>
      </w:r>
    </w:p>
  </w:footnote>
  <w:footnote w:type="continuationSeparator" w:id="0">
    <w:p w:rsidR="00336A0A" w:rsidRDefault="00336A0A" w:rsidP="00BB2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2F8"/>
    <w:multiLevelType w:val="hybridMultilevel"/>
    <w:tmpl w:val="327E578A"/>
    <w:lvl w:ilvl="0" w:tplc="A0C07F7E">
      <w:start w:val="1"/>
      <w:numFmt w:val="decimal"/>
      <w:lvlText w:val="%1."/>
      <w:lvlJc w:val="left"/>
      <w:pPr>
        <w:ind w:left="745"/>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tplc="0B9A9442">
      <w:start w:val="1"/>
      <w:numFmt w:val="lowerLetter"/>
      <w:lvlText w:val="%2"/>
      <w:lvlJc w:val="left"/>
      <w:pPr>
        <w:ind w:left="14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CE4A366">
      <w:start w:val="1"/>
      <w:numFmt w:val="lowerRoman"/>
      <w:lvlText w:val="%3"/>
      <w:lvlJc w:val="left"/>
      <w:pPr>
        <w:ind w:left="21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156BFEA">
      <w:start w:val="1"/>
      <w:numFmt w:val="decimal"/>
      <w:lvlText w:val="%4"/>
      <w:lvlJc w:val="left"/>
      <w:pPr>
        <w:ind w:left="28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0223AD4">
      <w:start w:val="1"/>
      <w:numFmt w:val="lowerLetter"/>
      <w:lvlText w:val="%5"/>
      <w:lvlJc w:val="left"/>
      <w:pPr>
        <w:ind w:left="36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CCA9BE6">
      <w:start w:val="1"/>
      <w:numFmt w:val="lowerRoman"/>
      <w:lvlText w:val="%6"/>
      <w:lvlJc w:val="left"/>
      <w:pPr>
        <w:ind w:left="43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FAABF6">
      <w:start w:val="1"/>
      <w:numFmt w:val="decimal"/>
      <w:lvlText w:val="%7"/>
      <w:lvlJc w:val="left"/>
      <w:pPr>
        <w:ind w:left="50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1F025D2">
      <w:start w:val="1"/>
      <w:numFmt w:val="lowerLetter"/>
      <w:lvlText w:val="%8"/>
      <w:lvlJc w:val="left"/>
      <w:pPr>
        <w:ind w:left="5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ECFD22">
      <w:start w:val="1"/>
      <w:numFmt w:val="lowerRoman"/>
      <w:lvlText w:val="%9"/>
      <w:lvlJc w:val="left"/>
      <w:pPr>
        <w:ind w:left="6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523B69D2"/>
    <w:multiLevelType w:val="hybridMultilevel"/>
    <w:tmpl w:val="D164953A"/>
    <w:lvl w:ilvl="0" w:tplc="7A9E93EE">
      <w:start w:val="1"/>
      <w:numFmt w:val="lowerLetter"/>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BA284C">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CA81E4">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D00316">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50B91A">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BAABA0">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00F0C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F0E422">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7C13DC">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3720688"/>
    <w:multiLevelType w:val="hybridMultilevel"/>
    <w:tmpl w:val="FA9CEEA8"/>
    <w:lvl w:ilvl="0" w:tplc="68E80EE0">
      <w:start w:val="1"/>
      <w:numFmt w:val="decimal"/>
      <w:lvlText w:val="%1."/>
      <w:lvlJc w:val="left"/>
      <w:pPr>
        <w:ind w:left="730"/>
      </w:pPr>
      <w:rPr>
        <w:rFonts w:ascii="Times New Roman" w:eastAsia="Times New Roman" w:hAnsi="Times New Roman" w:cs="Times New Roman"/>
        <w:b/>
        <w:i w:val="0"/>
        <w:strike w:val="0"/>
        <w:dstrike w:val="0"/>
        <w:color w:val="000000"/>
        <w:sz w:val="30"/>
        <w:szCs w:val="30"/>
        <w:u w:val="none" w:color="000000"/>
        <w:bdr w:val="none" w:sz="0" w:space="0" w:color="auto"/>
        <w:shd w:val="clear" w:color="auto" w:fill="auto"/>
        <w:vertAlign w:val="baseline"/>
      </w:rPr>
    </w:lvl>
    <w:lvl w:ilvl="1" w:tplc="987E8DFC">
      <w:start w:val="1"/>
      <w:numFmt w:val="lowerLetter"/>
      <w:lvlText w:val="%2"/>
      <w:lvlJc w:val="left"/>
      <w:pPr>
        <w:ind w:left="1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49688A2">
      <w:start w:val="1"/>
      <w:numFmt w:val="lowerRoman"/>
      <w:lvlText w:val="%3"/>
      <w:lvlJc w:val="left"/>
      <w:pPr>
        <w:ind w:left="2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808D92C">
      <w:start w:val="1"/>
      <w:numFmt w:val="decimal"/>
      <w:lvlText w:val="%4"/>
      <w:lvlJc w:val="left"/>
      <w:pPr>
        <w:ind w:left="2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8C5376">
      <w:start w:val="1"/>
      <w:numFmt w:val="lowerLetter"/>
      <w:lvlText w:val="%5"/>
      <w:lvlJc w:val="left"/>
      <w:pPr>
        <w:ind w:left="36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1282D76">
      <w:start w:val="1"/>
      <w:numFmt w:val="lowerRoman"/>
      <w:lvlText w:val="%6"/>
      <w:lvlJc w:val="left"/>
      <w:pPr>
        <w:ind w:left="43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C4766C">
      <w:start w:val="1"/>
      <w:numFmt w:val="decimal"/>
      <w:lvlText w:val="%7"/>
      <w:lvlJc w:val="left"/>
      <w:pPr>
        <w:ind w:left="50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2EC20C">
      <w:start w:val="1"/>
      <w:numFmt w:val="lowerLetter"/>
      <w:lvlText w:val="%8"/>
      <w:lvlJc w:val="left"/>
      <w:pPr>
        <w:ind w:left="57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F86F98C">
      <w:start w:val="1"/>
      <w:numFmt w:val="lowerRoman"/>
      <w:lvlText w:val="%9"/>
      <w:lvlJc w:val="left"/>
      <w:pPr>
        <w:ind w:left="65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8A"/>
    <w:rsid w:val="00001568"/>
    <w:rsid w:val="0015318A"/>
    <w:rsid w:val="00336A0A"/>
    <w:rsid w:val="004875B9"/>
    <w:rsid w:val="007E21EC"/>
    <w:rsid w:val="00BB2124"/>
    <w:rsid w:val="00FD6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96" w:line="247" w:lineRule="auto"/>
      <w:ind w:left="14" w:right="2455" w:firstLine="4"/>
      <w:jc w:val="both"/>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B2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2124"/>
    <w:rPr>
      <w:rFonts w:ascii="Times New Roman" w:eastAsia="Times New Roman" w:hAnsi="Times New Roman" w:cs="Times New Roman"/>
      <w:color w:val="000000"/>
      <w:sz w:val="26"/>
    </w:rPr>
  </w:style>
  <w:style w:type="paragraph" w:styleId="Zpat">
    <w:name w:val="footer"/>
    <w:basedOn w:val="Normln"/>
    <w:link w:val="ZpatChar"/>
    <w:uiPriority w:val="99"/>
    <w:unhideWhenUsed/>
    <w:rsid w:val="00BB2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BB2124"/>
    <w:rPr>
      <w:rFonts w:ascii="Times New Roman" w:eastAsia="Times New Roman" w:hAnsi="Times New Roman" w:cs="Times New Roman"/>
      <w:color w:val="000000"/>
      <w:sz w:val="26"/>
    </w:rPr>
  </w:style>
  <w:style w:type="paragraph" w:styleId="Textbubliny">
    <w:name w:val="Balloon Text"/>
    <w:basedOn w:val="Normln"/>
    <w:link w:val="TextbublinyChar"/>
    <w:uiPriority w:val="99"/>
    <w:semiHidden/>
    <w:unhideWhenUsed/>
    <w:rsid w:val="00BB21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212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96" w:line="247" w:lineRule="auto"/>
      <w:ind w:left="14" w:right="2455" w:firstLine="4"/>
      <w:jc w:val="both"/>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B21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2124"/>
    <w:rPr>
      <w:rFonts w:ascii="Times New Roman" w:eastAsia="Times New Roman" w:hAnsi="Times New Roman" w:cs="Times New Roman"/>
      <w:color w:val="000000"/>
      <w:sz w:val="26"/>
    </w:rPr>
  </w:style>
  <w:style w:type="paragraph" w:styleId="Zpat">
    <w:name w:val="footer"/>
    <w:basedOn w:val="Normln"/>
    <w:link w:val="ZpatChar"/>
    <w:uiPriority w:val="99"/>
    <w:unhideWhenUsed/>
    <w:rsid w:val="00BB2124"/>
    <w:pPr>
      <w:tabs>
        <w:tab w:val="center" w:pos="4536"/>
        <w:tab w:val="right" w:pos="9072"/>
      </w:tabs>
      <w:spacing w:after="0" w:line="240" w:lineRule="auto"/>
    </w:pPr>
  </w:style>
  <w:style w:type="character" w:customStyle="1" w:styleId="ZpatChar">
    <w:name w:val="Zápatí Char"/>
    <w:basedOn w:val="Standardnpsmoodstavce"/>
    <w:link w:val="Zpat"/>
    <w:uiPriority w:val="99"/>
    <w:rsid w:val="00BB2124"/>
    <w:rPr>
      <w:rFonts w:ascii="Times New Roman" w:eastAsia="Times New Roman" w:hAnsi="Times New Roman" w:cs="Times New Roman"/>
      <w:color w:val="000000"/>
      <w:sz w:val="26"/>
    </w:rPr>
  </w:style>
  <w:style w:type="paragraph" w:styleId="Textbubliny">
    <w:name w:val="Balloon Text"/>
    <w:basedOn w:val="Normln"/>
    <w:link w:val="TextbublinyChar"/>
    <w:uiPriority w:val="99"/>
    <w:semiHidden/>
    <w:unhideWhenUsed/>
    <w:rsid w:val="00BB21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212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599</Words>
  <Characters>3539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Adéla Lošová</cp:lastModifiedBy>
  <cp:revision>2</cp:revision>
  <dcterms:created xsi:type="dcterms:W3CDTF">2018-12-04T09:06:00Z</dcterms:created>
  <dcterms:modified xsi:type="dcterms:W3CDTF">2018-12-04T13:07:00Z</dcterms:modified>
</cp:coreProperties>
</file>