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55" w:rsidRPr="003A7496" w:rsidRDefault="007E7155" w:rsidP="007E7155">
      <w:pPr>
        <w:pStyle w:val="Style"/>
        <w:spacing w:line="403" w:lineRule="atLeast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06"/>
        </w:rPr>
        <w:t>Smlouva</w:t>
      </w:r>
    </w:p>
    <w:p w:rsidR="007E7155" w:rsidRPr="003A7496" w:rsidRDefault="007E7155" w:rsidP="007E7155">
      <w:pPr>
        <w:pStyle w:val="Style"/>
        <w:spacing w:before="23" w:line="244" w:lineRule="atLeast"/>
        <w:ind w:right="216"/>
        <w:jc w:val="center"/>
        <w:textAlignment w:val="baseline"/>
        <w:rPr>
          <w:rFonts w:asciiTheme="minorHAnsi" w:eastAsia="Arial" w:hAnsiTheme="minorHAnsi" w:cstheme="minorHAnsi"/>
          <w:b/>
          <w:w w:val="110"/>
        </w:rPr>
      </w:pPr>
      <w:r w:rsidRPr="003A7496">
        <w:rPr>
          <w:rFonts w:asciiTheme="minorHAnsi" w:eastAsia="Arial" w:hAnsiTheme="minorHAnsi" w:cstheme="minorHAnsi"/>
          <w:b/>
          <w:w w:val="110"/>
        </w:rPr>
        <w:t>o údržbě výpočetní techniky a programového vybavení</w:t>
      </w:r>
    </w:p>
    <w:p w:rsidR="007E7155" w:rsidRPr="003A7496" w:rsidRDefault="007E7155" w:rsidP="007E7155">
      <w:pPr>
        <w:pStyle w:val="Style"/>
        <w:spacing w:before="23" w:line="244" w:lineRule="atLeast"/>
        <w:ind w:right="216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10"/>
        </w:rPr>
        <w:t>(IT outsourcing)</w:t>
      </w:r>
    </w:p>
    <w:p w:rsidR="00AF6A50" w:rsidRPr="003A7496" w:rsidRDefault="00F45FC7" w:rsidP="007E715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platné</w:t>
      </w:r>
      <w:r w:rsidR="007E7155" w:rsidRPr="003A7496">
        <w:rPr>
          <w:rFonts w:asciiTheme="minorHAnsi" w:hAnsiTheme="minorHAnsi" w:cstheme="minorHAnsi"/>
        </w:rPr>
        <w:t xml:space="preserve"> znění ke dni 1. </w:t>
      </w:r>
      <w:r w:rsidR="00445AB8">
        <w:rPr>
          <w:rFonts w:asciiTheme="minorHAnsi" w:hAnsiTheme="minorHAnsi" w:cstheme="minorHAnsi"/>
        </w:rPr>
        <w:t>ledna 201</w:t>
      </w:r>
      <w:r w:rsidR="00622559">
        <w:rPr>
          <w:rFonts w:asciiTheme="minorHAnsi" w:hAnsiTheme="minorHAnsi" w:cstheme="minorHAnsi"/>
        </w:rPr>
        <w:t>9</w:t>
      </w:r>
      <w:r w:rsidR="007E7155" w:rsidRPr="003A7496">
        <w:rPr>
          <w:rFonts w:asciiTheme="minorHAnsi" w:hAnsiTheme="minorHAnsi" w:cstheme="minorHAnsi"/>
        </w:rPr>
        <w:t>.</w:t>
      </w:r>
    </w:p>
    <w:p w:rsidR="007E7155" w:rsidRPr="003A7496" w:rsidRDefault="007E7155" w:rsidP="007E7155">
      <w:pPr>
        <w:jc w:val="center"/>
        <w:rPr>
          <w:rFonts w:asciiTheme="minorHAnsi" w:hAnsiTheme="minorHAnsi" w:cstheme="minorHAnsi"/>
        </w:rPr>
      </w:pPr>
    </w:p>
    <w:p w:rsidR="007E7155" w:rsidRPr="008376F5" w:rsidRDefault="007E7155" w:rsidP="008376F5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376F5">
        <w:rPr>
          <w:rFonts w:asciiTheme="minorHAnsi" w:hAnsiTheme="minorHAnsi" w:cstheme="minorHAnsi"/>
          <w:b/>
          <w:bCs/>
        </w:rPr>
        <w:t>I.</w:t>
      </w:r>
    </w:p>
    <w:p w:rsidR="007E7155" w:rsidRPr="003A7496" w:rsidRDefault="007E7155" w:rsidP="007E7155">
      <w:pPr>
        <w:pStyle w:val="Style"/>
        <w:spacing w:line="240" w:lineRule="atLeast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10"/>
        </w:rPr>
        <w:t>Smluvní strany</w:t>
      </w:r>
    </w:p>
    <w:p w:rsidR="007E7155" w:rsidRPr="003A7496" w:rsidRDefault="007E7155" w:rsidP="007E71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</w:p>
    <w:p w:rsidR="007E7155" w:rsidRPr="003A7496" w:rsidRDefault="007E7155" w:rsidP="007E71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Poskytovatel: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5707"/>
      </w:tblGrid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Název firmy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04264">
              <w:rPr>
                <w:rFonts w:asciiTheme="minorHAnsi" w:hAnsiTheme="minorHAnsi" w:cstheme="minorHAnsi"/>
                <w:b/>
                <w:bCs/>
              </w:rPr>
              <w:t>Ing. Petr Máj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Se sídlem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Za Školou 123/1, 779 00 OLOMOUC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Zastoupená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Ing. Petrem Májem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IČ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115 66 116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DIČ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CZ5407111193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Bankovní spojení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Air Bank a.s.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Číslo účtu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Telefon, fax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Zástupce ve věcech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technických a administrativních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Ing. Petr Máj</w:t>
            </w:r>
          </w:p>
        </w:tc>
      </w:tr>
    </w:tbl>
    <w:p w:rsidR="007E7155" w:rsidRPr="003A7496" w:rsidRDefault="007E7155" w:rsidP="007E7155">
      <w:pPr>
        <w:tabs>
          <w:tab w:val="left" w:pos="2268"/>
        </w:tabs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dále jen poskytovatel</w:t>
      </w:r>
    </w:p>
    <w:p w:rsidR="007E7155" w:rsidRPr="003A7496" w:rsidRDefault="007E7155" w:rsidP="007E7155">
      <w:pPr>
        <w:tabs>
          <w:tab w:val="left" w:pos="2268"/>
        </w:tabs>
        <w:rPr>
          <w:rFonts w:asciiTheme="minorHAnsi" w:hAnsiTheme="minorHAnsi" w:cstheme="minorHAnsi"/>
        </w:rPr>
      </w:pPr>
    </w:p>
    <w:p w:rsidR="007E7155" w:rsidRPr="003A7496" w:rsidRDefault="007E7155" w:rsidP="007E7155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Odběratel: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5707"/>
      </w:tblGrid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Název firmy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204264">
              <w:rPr>
                <w:rFonts w:asciiTheme="minorHAnsi" w:hAnsiTheme="minorHAnsi" w:cstheme="minorHAnsi"/>
              </w:rPr>
              <w:t>Klíč - centrum</w:t>
            </w:r>
            <w:proofErr w:type="gramEnd"/>
            <w:r w:rsidRPr="00204264">
              <w:rPr>
                <w:rFonts w:asciiTheme="minorHAnsi" w:hAnsiTheme="minorHAnsi" w:cstheme="minorHAnsi"/>
              </w:rPr>
              <w:t xml:space="preserve"> sociálních služeb, příspěvková organizace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Se sídlem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Dolní Hejčínská 28, 779 00 OLOMOUC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Zastoupená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ředitelem PaedDr. Petrem Matuškou, Ph.D.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708 90 595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CZ70890595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Bankovní spojení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Komerční banka a.s.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Telefon, fax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Zástupci ve věcech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technických a administrativních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vedoucí jednotlivých služeb, sociální pracovnice, vedoucí technického úseku, vedoucí ekonomického úseku, vedoucí zdravotního úseku</w:t>
            </w:r>
          </w:p>
        </w:tc>
      </w:tr>
    </w:tbl>
    <w:p w:rsidR="007E7155" w:rsidRPr="003A7496" w:rsidRDefault="007E7155" w:rsidP="007E7155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dále jen odběratel</w:t>
      </w:r>
    </w:p>
    <w:p w:rsidR="00875D37" w:rsidRDefault="00875D37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875D37" w:rsidRDefault="00875D37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7E7155" w:rsidRPr="003A7496" w:rsidRDefault="007E7155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II.</w:t>
      </w:r>
    </w:p>
    <w:p w:rsidR="007E7155" w:rsidRPr="00622559" w:rsidRDefault="007E7155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622559">
        <w:rPr>
          <w:rFonts w:asciiTheme="minorHAnsi" w:hAnsiTheme="minorHAnsi" w:cstheme="minorHAnsi"/>
          <w:b/>
          <w:bCs/>
        </w:rPr>
        <w:t>P</w:t>
      </w:r>
      <w:r w:rsidRPr="00622559">
        <w:rPr>
          <w:rFonts w:asciiTheme="minorHAnsi" w:hAnsiTheme="minorHAnsi" w:cstheme="minorHAnsi"/>
          <w:b/>
        </w:rPr>
        <w:t>ř</w:t>
      </w:r>
      <w:r w:rsidRPr="00622559">
        <w:rPr>
          <w:rFonts w:asciiTheme="minorHAnsi" w:hAnsiTheme="minorHAnsi" w:cstheme="minorHAnsi"/>
          <w:b/>
          <w:bCs/>
        </w:rPr>
        <w:t>edm</w:t>
      </w:r>
      <w:r w:rsidRPr="00622559">
        <w:rPr>
          <w:rFonts w:asciiTheme="minorHAnsi" w:hAnsiTheme="minorHAnsi" w:cstheme="minorHAnsi"/>
          <w:b/>
        </w:rPr>
        <w:t>ě</w:t>
      </w:r>
      <w:r w:rsidRPr="00622559">
        <w:rPr>
          <w:rFonts w:asciiTheme="minorHAnsi" w:hAnsiTheme="minorHAnsi" w:cstheme="minorHAnsi"/>
          <w:b/>
          <w:bCs/>
        </w:rPr>
        <w:t>t smlouvy</w:t>
      </w:r>
    </w:p>
    <w:p w:rsidR="00EC7F58" w:rsidRPr="00622559" w:rsidRDefault="00EC7F58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</w:p>
    <w:p w:rsidR="007E7155" w:rsidRPr="003A7496" w:rsidRDefault="007E7155" w:rsidP="00875D37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Předmětem smlouvy je údržba výpočetní techniky a programového vybavení</w:t>
      </w:r>
      <w:r w:rsidR="00EC7F58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poskytovatelem pro</w:t>
      </w:r>
      <w:r w:rsidR="00EC7F58" w:rsidRPr="003A7496">
        <w:rPr>
          <w:rFonts w:asciiTheme="minorHAnsi" w:hAnsiTheme="minorHAnsi" w:cstheme="minorHAnsi"/>
        </w:rPr>
        <w:t xml:space="preserve"> potřeby odběratele.</w:t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875D37" w:rsidRDefault="00875D3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lastRenderedPageBreak/>
        <w:t>III.</w:t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Rozsah pravidelně</w:t>
      </w:r>
      <w:r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  <w:b/>
          <w:bCs/>
        </w:rPr>
        <w:t>poskytovaných služeb</w:t>
      </w:r>
    </w:p>
    <w:p w:rsidR="00EC7F58" w:rsidRPr="003A7496" w:rsidRDefault="00EC7F58" w:rsidP="002768E7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Pravidelné prohlídky techniky podle harmonogramu.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proofErr w:type="gramStart"/>
      <w:r w:rsidRPr="003A7496">
        <w:rPr>
          <w:rFonts w:asciiTheme="minorHAnsi" w:hAnsiTheme="minorHAnsi" w:cstheme="minorHAnsi"/>
        </w:rPr>
        <w:t>Počítače - HW</w:t>
      </w:r>
      <w:proofErr w:type="gramEnd"/>
      <w:r w:rsidRPr="003A7496">
        <w:rPr>
          <w:rFonts w:asciiTheme="minorHAnsi" w:hAnsiTheme="minorHAnsi" w:cstheme="minorHAnsi"/>
        </w:rPr>
        <w:t xml:space="preserve"> i SW</w:t>
      </w:r>
      <w:r w:rsidR="002768E7" w:rsidRPr="003A7496">
        <w:rPr>
          <w:rFonts w:asciiTheme="minorHAnsi" w:hAnsiTheme="minorHAnsi" w:cstheme="minorHAnsi"/>
        </w:rPr>
        <w:tab/>
      </w:r>
      <w:r w:rsidR="00875D37">
        <w:rPr>
          <w:rFonts w:asciiTheme="minorHAnsi" w:hAnsiTheme="minorHAnsi" w:cstheme="minorHAnsi"/>
        </w:rPr>
        <w:t>6</w:t>
      </w:r>
      <w:r w:rsidRPr="003A7496">
        <w:rPr>
          <w:rFonts w:asciiTheme="minorHAnsi" w:hAnsiTheme="minorHAnsi" w:cstheme="minorHAnsi"/>
        </w:rPr>
        <w:t xml:space="preserve"> x ročně</w:t>
      </w:r>
    </w:p>
    <w:p w:rsidR="00EC7F58" w:rsidRPr="003A7496" w:rsidRDefault="00EC7F58" w:rsidP="0062255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(vizuální a poslechová kontrola počítače, kontrola startu a ukončení OS, drobné opravy konfigurace)</w:t>
      </w:r>
    </w:p>
    <w:p w:rsidR="00EC7F58" w:rsidRPr="003A7496" w:rsidRDefault="002768E7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Tiskárny</w:t>
      </w:r>
      <w:r w:rsidRPr="003A7496">
        <w:rPr>
          <w:rFonts w:asciiTheme="minorHAnsi" w:hAnsiTheme="minorHAnsi" w:cstheme="minorHAnsi"/>
        </w:rPr>
        <w:tab/>
      </w:r>
      <w:r w:rsidR="00875D37">
        <w:rPr>
          <w:rFonts w:asciiTheme="minorHAnsi" w:hAnsiTheme="minorHAnsi" w:cstheme="minorHAnsi"/>
        </w:rPr>
        <w:t>6</w:t>
      </w:r>
      <w:r w:rsidR="00EC7F58" w:rsidRPr="003A7496">
        <w:rPr>
          <w:rFonts w:asciiTheme="minorHAnsi" w:hAnsiTheme="minorHAnsi" w:cstheme="minorHAnsi"/>
        </w:rPr>
        <w:t xml:space="preserve"> x ročně</w:t>
      </w:r>
    </w:p>
    <w:p w:rsidR="00EC7F58" w:rsidRPr="003A7496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(vizuální kontrola tiskárny, kontrola kvality tisku a podávání papíru)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Ostatní technika</w:t>
      </w:r>
      <w:r w:rsidR="002768E7" w:rsidRPr="003A7496">
        <w:rPr>
          <w:rFonts w:asciiTheme="minorHAnsi" w:hAnsiTheme="minorHAnsi" w:cstheme="minorHAnsi"/>
        </w:rPr>
        <w:tab/>
      </w:r>
      <w:r w:rsidR="00875D37">
        <w:rPr>
          <w:rFonts w:asciiTheme="minorHAnsi" w:hAnsiTheme="minorHAnsi" w:cstheme="minorHAnsi"/>
        </w:rPr>
        <w:t>6</w:t>
      </w:r>
      <w:r w:rsidRPr="003A7496">
        <w:rPr>
          <w:rFonts w:asciiTheme="minorHAnsi" w:hAnsiTheme="minorHAnsi" w:cstheme="minorHAnsi"/>
        </w:rPr>
        <w:t xml:space="preserve"> x ročně</w:t>
      </w:r>
    </w:p>
    <w:p w:rsidR="00EC7F58" w:rsidRPr="003A7496" w:rsidRDefault="002768E7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(vizuální kontrola za</w:t>
      </w:r>
      <w:r w:rsidR="00EC7F58" w:rsidRPr="003A7496">
        <w:rPr>
          <w:rFonts w:asciiTheme="minorHAnsi" w:hAnsiTheme="minorHAnsi" w:cstheme="minorHAnsi"/>
        </w:rPr>
        <w:t>řízení, vyzkoušení základní funkce zařízení)</w:t>
      </w:r>
    </w:p>
    <w:p w:rsidR="00EC7F58" w:rsidRPr="003A7496" w:rsidRDefault="00EC7F58" w:rsidP="002768E7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Pravidelná údržba techniky podle harmonogramu.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proofErr w:type="gramStart"/>
      <w:r w:rsidRPr="003A7496">
        <w:rPr>
          <w:rFonts w:asciiTheme="minorHAnsi" w:hAnsiTheme="minorHAnsi" w:cstheme="minorHAnsi"/>
        </w:rPr>
        <w:t>Počítače - HW</w:t>
      </w:r>
      <w:proofErr w:type="gramEnd"/>
      <w:r w:rsidRPr="003A7496">
        <w:rPr>
          <w:rFonts w:asciiTheme="minorHAnsi" w:hAnsiTheme="minorHAnsi" w:cstheme="minorHAnsi"/>
        </w:rPr>
        <w:t xml:space="preserve"> i SW </w:t>
      </w:r>
      <w:r w:rsidR="002768E7" w:rsidRPr="003A7496">
        <w:rPr>
          <w:rFonts w:asciiTheme="minorHAnsi" w:hAnsiTheme="minorHAnsi" w:cstheme="minorHAnsi"/>
        </w:rPr>
        <w:tab/>
      </w:r>
      <w:r w:rsidRPr="003A7496">
        <w:rPr>
          <w:rFonts w:asciiTheme="minorHAnsi" w:hAnsiTheme="minorHAnsi" w:cstheme="minorHAnsi"/>
        </w:rPr>
        <w:t>1 x ročně</w:t>
      </w:r>
    </w:p>
    <w:p w:rsidR="00EC7F58" w:rsidRPr="003A7496" w:rsidRDefault="00EC7F58" w:rsidP="0062255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(vyčištění vnitřního prostoru počítačové skříně, kontrola pohyblivých částí počítače,</w:t>
      </w:r>
      <w:r w:rsidR="00622559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kontrola přípojných míst počítače a jejich funkčnost)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Tiskárny</w:t>
      </w:r>
      <w:r w:rsidR="002768E7" w:rsidRPr="003A7496">
        <w:rPr>
          <w:rFonts w:asciiTheme="minorHAnsi" w:hAnsiTheme="minorHAnsi" w:cstheme="minorHAnsi"/>
        </w:rPr>
        <w:tab/>
      </w:r>
      <w:r w:rsidRPr="003A7496">
        <w:rPr>
          <w:rFonts w:asciiTheme="minorHAnsi" w:hAnsiTheme="minorHAnsi" w:cstheme="minorHAnsi"/>
        </w:rPr>
        <w:t>1 x roč</w:t>
      </w:r>
      <w:r w:rsidR="002768E7" w:rsidRPr="003A7496">
        <w:rPr>
          <w:rFonts w:asciiTheme="minorHAnsi" w:hAnsiTheme="minorHAnsi" w:cstheme="minorHAnsi"/>
        </w:rPr>
        <w:t>n</w:t>
      </w:r>
      <w:r w:rsidRPr="003A7496">
        <w:rPr>
          <w:rFonts w:asciiTheme="minorHAnsi" w:hAnsiTheme="minorHAnsi" w:cstheme="minorHAnsi"/>
        </w:rPr>
        <w:t>ě</w:t>
      </w:r>
    </w:p>
    <w:p w:rsidR="00EC7F58" w:rsidRPr="003A7496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(vyčištění vnitř</w:t>
      </w:r>
      <w:r w:rsidR="002768E7" w:rsidRPr="003A7496">
        <w:rPr>
          <w:rFonts w:asciiTheme="minorHAnsi" w:hAnsiTheme="minorHAnsi" w:cstheme="minorHAnsi"/>
        </w:rPr>
        <w:t>ního prostoru tiskárny, odstran</w:t>
      </w:r>
      <w:r w:rsidRPr="003A7496">
        <w:rPr>
          <w:rFonts w:asciiTheme="minorHAnsi" w:hAnsiTheme="minorHAnsi" w:cstheme="minorHAnsi"/>
        </w:rPr>
        <w:t>ění zbytků inkoustu nebo toneru)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Ostatní technika</w:t>
      </w:r>
      <w:r w:rsidR="002768E7" w:rsidRPr="003A7496">
        <w:rPr>
          <w:rFonts w:asciiTheme="minorHAnsi" w:hAnsiTheme="minorHAnsi" w:cstheme="minorHAnsi"/>
        </w:rPr>
        <w:tab/>
      </w:r>
      <w:r w:rsidRPr="003A7496">
        <w:rPr>
          <w:rFonts w:asciiTheme="minorHAnsi" w:hAnsiTheme="minorHAnsi" w:cstheme="minorHAnsi"/>
        </w:rPr>
        <w:t>1 x ročně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(vyčištění zařízení od prachu, vyzkoušení funkce zařízení)</w:t>
      </w:r>
    </w:p>
    <w:p w:rsidR="00EC7F58" w:rsidRPr="003A7496" w:rsidRDefault="00EC7F58" w:rsidP="002768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Pravidelné zálohování dat</w:t>
      </w:r>
      <w:r w:rsidR="00622559">
        <w:rPr>
          <w:rFonts w:asciiTheme="minorHAnsi" w:hAnsiTheme="minorHAnsi" w:cstheme="minorHAnsi"/>
        </w:rPr>
        <w:t>:</w:t>
      </w:r>
    </w:p>
    <w:p w:rsidR="00622559" w:rsidRDefault="00BE1DC6" w:rsidP="00BE1DC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622559">
        <w:rPr>
          <w:rFonts w:asciiTheme="minorHAnsi" w:hAnsiTheme="minorHAnsi" w:cstheme="minorHAnsi"/>
        </w:rPr>
        <w:t>umožn</w:t>
      </w:r>
      <w:r w:rsidR="00622559" w:rsidRPr="00622559">
        <w:rPr>
          <w:rFonts w:asciiTheme="minorHAnsi" w:hAnsiTheme="minorHAnsi" w:cstheme="minorHAnsi"/>
        </w:rPr>
        <w:t xml:space="preserve">ění </w:t>
      </w:r>
      <w:r w:rsidRPr="00622559">
        <w:rPr>
          <w:rFonts w:asciiTheme="minorHAnsi" w:hAnsiTheme="minorHAnsi" w:cstheme="minorHAnsi"/>
        </w:rPr>
        <w:t>zaměstnancům uklád</w:t>
      </w:r>
      <w:r w:rsidR="00622559" w:rsidRPr="00622559">
        <w:rPr>
          <w:rFonts w:asciiTheme="minorHAnsi" w:hAnsiTheme="minorHAnsi" w:cstheme="minorHAnsi"/>
        </w:rPr>
        <w:t>ání svých dat na záložní médium</w:t>
      </w:r>
      <w:r w:rsidR="00622559">
        <w:rPr>
          <w:rFonts w:asciiTheme="minorHAnsi" w:hAnsiTheme="minorHAnsi" w:cstheme="minorHAnsi"/>
        </w:rPr>
        <w:t>,</w:t>
      </w:r>
    </w:p>
    <w:p w:rsidR="00BE1DC6" w:rsidRPr="00622559" w:rsidRDefault="00622559" w:rsidP="0062255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pravidelné ukládání d</w:t>
      </w:r>
      <w:r w:rsidR="00BE1DC6" w:rsidRPr="00622559">
        <w:rPr>
          <w:rFonts w:asciiTheme="minorHAnsi" w:hAnsiTheme="minorHAnsi" w:cstheme="minorHAnsi"/>
        </w:rPr>
        <w:t xml:space="preserve">at z IS </w:t>
      </w:r>
      <w:proofErr w:type="spellStart"/>
      <w:r w:rsidR="00BE1DC6" w:rsidRPr="00622559">
        <w:rPr>
          <w:rFonts w:asciiTheme="minorHAnsi" w:hAnsiTheme="minorHAnsi" w:cstheme="minorHAnsi"/>
        </w:rPr>
        <w:t>Cygnus</w:t>
      </w:r>
      <w:proofErr w:type="spellEnd"/>
      <w:r w:rsidR="00BE1DC6" w:rsidRPr="00622559">
        <w:rPr>
          <w:rFonts w:asciiTheme="minorHAnsi" w:hAnsiTheme="minorHAnsi" w:cstheme="minorHAnsi"/>
        </w:rPr>
        <w:t xml:space="preserve"> nejméně 1x za týden na záložní médium umístěné mimo lokální </w:t>
      </w:r>
      <w:r w:rsidR="00160DD1" w:rsidRPr="00622559">
        <w:rPr>
          <w:rFonts w:asciiTheme="minorHAnsi" w:hAnsiTheme="minorHAnsi" w:cstheme="minorHAnsi"/>
        </w:rPr>
        <w:t>síť, v níž</w:t>
      </w:r>
      <w:r w:rsidR="00BE1DC6" w:rsidRPr="00622559">
        <w:rPr>
          <w:rFonts w:asciiTheme="minorHAnsi" w:hAnsiTheme="minorHAnsi" w:cstheme="minorHAnsi"/>
        </w:rPr>
        <w:t xml:space="preserve"> je umístěn hlavní server</w:t>
      </w:r>
      <w:r>
        <w:rPr>
          <w:rFonts w:asciiTheme="minorHAnsi" w:hAnsiTheme="minorHAnsi" w:cstheme="minorHAnsi"/>
        </w:rPr>
        <w:t>,</w:t>
      </w:r>
    </w:p>
    <w:p w:rsidR="00160DD1" w:rsidRPr="003A7496" w:rsidRDefault="00622559" w:rsidP="0062255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pravidelné </w:t>
      </w:r>
      <w:r w:rsidR="00160DD1">
        <w:rPr>
          <w:rFonts w:asciiTheme="minorHAnsi" w:hAnsiTheme="minorHAnsi" w:cstheme="minorHAnsi"/>
        </w:rPr>
        <w:t>uklád</w:t>
      </w:r>
      <w:r>
        <w:rPr>
          <w:rFonts w:asciiTheme="minorHAnsi" w:hAnsiTheme="minorHAnsi" w:cstheme="minorHAnsi"/>
        </w:rPr>
        <w:t>ání</w:t>
      </w:r>
      <w:r w:rsidR="00160DD1">
        <w:rPr>
          <w:rFonts w:asciiTheme="minorHAnsi" w:hAnsiTheme="minorHAnsi" w:cstheme="minorHAnsi"/>
        </w:rPr>
        <w:t xml:space="preserve"> dat z IS </w:t>
      </w:r>
      <w:proofErr w:type="spellStart"/>
      <w:r w:rsidR="00160DD1">
        <w:rPr>
          <w:rFonts w:asciiTheme="minorHAnsi" w:hAnsiTheme="minorHAnsi" w:cstheme="minorHAnsi"/>
        </w:rPr>
        <w:t>Cygnus</w:t>
      </w:r>
      <w:proofErr w:type="spellEnd"/>
      <w:r w:rsidR="00160DD1">
        <w:rPr>
          <w:rFonts w:asciiTheme="minorHAnsi" w:hAnsiTheme="minorHAnsi" w:cstheme="minorHAnsi"/>
        </w:rPr>
        <w:t xml:space="preserve"> nejméně 1x za měsíc na záložní médium, které</w:t>
      </w:r>
      <w:r>
        <w:rPr>
          <w:rFonts w:asciiTheme="minorHAnsi" w:hAnsiTheme="minorHAnsi" w:cstheme="minorHAnsi"/>
        </w:rPr>
        <w:t> </w:t>
      </w:r>
      <w:r w:rsidR="00160DD1">
        <w:rPr>
          <w:rFonts w:asciiTheme="minorHAnsi" w:hAnsiTheme="minorHAnsi" w:cstheme="minorHAnsi"/>
        </w:rPr>
        <w:t>není připojené do žádné počítačové sítě</w:t>
      </w:r>
    </w:p>
    <w:p w:rsidR="00EC7F58" w:rsidRPr="003A7496" w:rsidRDefault="00EC7F58" w:rsidP="002768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Evidence.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Udržování aktuálnosti soupisu techniky a jejího umístění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Kontrola záručních dob techniky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Udržování aktuálnosti soupisu programového vybavení a jeho umístění</w:t>
      </w:r>
    </w:p>
    <w:p w:rsidR="00EC7F58" w:rsidRPr="003A7496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Kontrola licencí a jejich platnosti</w:t>
      </w:r>
    </w:p>
    <w:p w:rsidR="00160B85" w:rsidRPr="003A7496" w:rsidRDefault="00160B85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</w:t>
      </w:r>
      <w:r w:rsidR="00160B85" w:rsidRPr="003A7496">
        <w:rPr>
          <w:rFonts w:asciiTheme="minorHAnsi" w:hAnsiTheme="minorHAnsi" w:cstheme="minorHAnsi"/>
          <w:b/>
          <w:bCs/>
        </w:rPr>
        <w:t>V</w:t>
      </w:r>
      <w:r w:rsidRPr="003A7496">
        <w:rPr>
          <w:rFonts w:asciiTheme="minorHAnsi" w:hAnsiTheme="minorHAnsi" w:cstheme="minorHAnsi"/>
          <w:b/>
          <w:bCs/>
        </w:rPr>
        <w:t>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Rozsah jednorázových služeb</w:t>
      </w:r>
    </w:p>
    <w:p w:rsidR="00EC7F58" w:rsidRPr="003A7496" w:rsidRDefault="00160B85" w:rsidP="006225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Audit po</w:t>
      </w:r>
      <w:r w:rsidR="00EC7F58" w:rsidRPr="003A7496">
        <w:rPr>
          <w:rFonts w:asciiTheme="minorHAnsi" w:hAnsiTheme="minorHAnsi" w:cstheme="minorHAnsi"/>
        </w:rPr>
        <w:t>čítačů, tiskáren a ostatního vybavení, navázaného na počítače (dále</w:t>
      </w:r>
      <w:r w:rsidRPr="003A7496">
        <w:rPr>
          <w:rFonts w:asciiTheme="minorHAnsi" w:hAnsiTheme="minorHAnsi" w:cstheme="minorHAnsi"/>
        </w:rPr>
        <w:t xml:space="preserve"> </w:t>
      </w:r>
      <w:r w:rsidR="00EC7F58" w:rsidRPr="003A7496">
        <w:rPr>
          <w:rFonts w:asciiTheme="minorHAnsi" w:hAnsiTheme="minorHAnsi" w:cstheme="minorHAnsi"/>
        </w:rPr>
        <w:t xml:space="preserve">jen </w:t>
      </w:r>
      <w:r w:rsidR="00BE1DC6">
        <w:rPr>
          <w:rFonts w:asciiTheme="minorHAnsi" w:hAnsiTheme="minorHAnsi" w:cstheme="minorHAnsi"/>
        </w:rPr>
        <w:t>techniky) používané odběratelem ke dni 1. ledna 201</w:t>
      </w:r>
      <w:r w:rsidR="007F4384">
        <w:rPr>
          <w:rFonts w:asciiTheme="minorHAnsi" w:hAnsiTheme="minorHAnsi" w:cstheme="minorHAnsi"/>
        </w:rPr>
        <w:t>9</w:t>
      </w:r>
    </w:p>
    <w:p w:rsidR="00EC7F58" w:rsidRPr="003A7496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Zjištění stavu techniky a její konfigurace</w:t>
      </w:r>
      <w:r w:rsidR="00622559">
        <w:rPr>
          <w:rFonts w:asciiTheme="minorHAnsi" w:hAnsiTheme="minorHAnsi" w:cstheme="minorHAnsi"/>
        </w:rPr>
        <w:t>,</w:t>
      </w:r>
    </w:p>
    <w:p w:rsidR="00EC7F58" w:rsidRPr="003A7496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Vytvoření soupisu techniky a jejího umístění</w:t>
      </w:r>
      <w:r w:rsidR="00622559">
        <w:rPr>
          <w:rFonts w:asciiTheme="minorHAnsi" w:hAnsiTheme="minorHAnsi" w:cstheme="minorHAnsi"/>
        </w:rPr>
        <w:t>.</w:t>
      </w:r>
    </w:p>
    <w:p w:rsidR="00EC7F58" w:rsidRPr="003A7496" w:rsidRDefault="00EC7F58" w:rsidP="00160B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Audit softwarového vybavení, používaného odběratelem</w:t>
      </w:r>
      <w:r w:rsidR="00BE1DC6">
        <w:rPr>
          <w:rFonts w:asciiTheme="minorHAnsi" w:hAnsiTheme="minorHAnsi" w:cstheme="minorHAnsi"/>
        </w:rPr>
        <w:t xml:space="preserve"> ke dni 1. ledna 201</w:t>
      </w:r>
      <w:r w:rsidR="007F4384">
        <w:rPr>
          <w:rFonts w:asciiTheme="minorHAnsi" w:hAnsiTheme="minorHAnsi" w:cstheme="minorHAnsi"/>
        </w:rPr>
        <w:t>9</w:t>
      </w:r>
      <w:r w:rsidRPr="003A7496">
        <w:rPr>
          <w:rFonts w:asciiTheme="minorHAnsi" w:hAnsiTheme="minorHAnsi" w:cstheme="minorHAnsi"/>
        </w:rPr>
        <w:t>.</w:t>
      </w:r>
    </w:p>
    <w:p w:rsidR="00EC7F58" w:rsidRPr="003A7496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Zjištění množství a druhů programového vybavení</w:t>
      </w:r>
      <w:r w:rsidR="00622559">
        <w:rPr>
          <w:rFonts w:asciiTheme="minorHAnsi" w:hAnsiTheme="minorHAnsi" w:cstheme="minorHAnsi"/>
        </w:rPr>
        <w:t>,</w:t>
      </w:r>
    </w:p>
    <w:p w:rsidR="00EC7F58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Vytvoření soupisu programového vybavení a jeho umístění</w:t>
      </w:r>
      <w:r w:rsidR="00622559">
        <w:rPr>
          <w:rFonts w:asciiTheme="minorHAnsi" w:hAnsiTheme="minorHAnsi" w:cstheme="minorHAnsi"/>
        </w:rPr>
        <w:t>.</w:t>
      </w:r>
    </w:p>
    <w:p w:rsidR="00875D37" w:rsidRDefault="00875D37" w:rsidP="006225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Spolupráce s inventarizačními komisemi </w:t>
      </w:r>
      <w:r w:rsidR="00622559">
        <w:rPr>
          <w:rFonts w:asciiTheme="minorHAnsi" w:hAnsiTheme="minorHAnsi" w:cstheme="minorHAnsi"/>
        </w:rPr>
        <w:t xml:space="preserve">odběratele </w:t>
      </w:r>
      <w:r>
        <w:rPr>
          <w:rFonts w:asciiTheme="minorHAnsi" w:hAnsiTheme="minorHAnsi" w:cstheme="minorHAnsi"/>
        </w:rPr>
        <w:t>při provádění pravidelných inventur výpočetní techniky</w:t>
      </w:r>
    </w:p>
    <w:p w:rsidR="00EC7F58" w:rsidRPr="003A7496" w:rsidRDefault="00EC7F58" w:rsidP="00160B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Zásah k odstranění poruchy.</w:t>
      </w:r>
    </w:p>
    <w:p w:rsidR="00204264" w:rsidRDefault="00204264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A71F6F" w:rsidRDefault="00A71F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Práva a povinnosti odb</w:t>
      </w:r>
      <w:r w:rsidR="00160B85" w:rsidRPr="003A7496">
        <w:rPr>
          <w:rFonts w:asciiTheme="minorHAnsi" w:hAnsiTheme="minorHAnsi" w:cstheme="minorHAnsi"/>
          <w:b/>
          <w:bCs/>
        </w:rPr>
        <w:t>ě</w:t>
      </w:r>
      <w:r w:rsidRPr="003A7496">
        <w:rPr>
          <w:rFonts w:asciiTheme="minorHAnsi" w:hAnsiTheme="minorHAnsi" w:cstheme="minorHAnsi"/>
          <w:b/>
          <w:bCs/>
        </w:rPr>
        <w:t>ratele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je povinen umožnit poskytovateli provádět smluvené úkony ve svých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objektech a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ve smluvenou dobu.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je povinen uhradit poskytovateli smluvenou odměnu.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má právo zvolit způsob kontroly poskytování smluvních služeb.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má právo požadovat mimosmluvní služby s ohledem na časové možnosti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poskytovatele.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má právo odstoupit od smlouvy bez udání důvodu s výpovědní dobou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3 měsíce</w:t>
      </w:r>
      <w:r w:rsidR="00622559">
        <w:rPr>
          <w:rFonts w:asciiTheme="minorHAnsi" w:hAnsiTheme="minorHAnsi" w:cstheme="minorHAnsi"/>
        </w:rPr>
        <w:t xml:space="preserve">, která začne běžet dnem doručení výpovědi </w:t>
      </w:r>
      <w:r w:rsidR="00C1547A">
        <w:rPr>
          <w:rFonts w:asciiTheme="minorHAnsi" w:hAnsiTheme="minorHAnsi" w:cstheme="minorHAnsi"/>
        </w:rPr>
        <w:t>poskytovateli</w:t>
      </w:r>
      <w:r w:rsidR="00622559">
        <w:rPr>
          <w:rFonts w:asciiTheme="minorHAnsi" w:hAnsiTheme="minorHAnsi" w:cstheme="minorHAnsi"/>
        </w:rPr>
        <w:t>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má právo odstoupit od smlouvy bez výpovědní doby v případě, že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poskytovatel nep</w:t>
      </w:r>
      <w:r w:rsidR="00160B85" w:rsidRPr="003A7496">
        <w:rPr>
          <w:rFonts w:asciiTheme="minorHAnsi" w:hAnsiTheme="minorHAnsi" w:cstheme="minorHAnsi"/>
        </w:rPr>
        <w:t>l</w:t>
      </w:r>
      <w:r w:rsidRPr="003A7496">
        <w:rPr>
          <w:rFonts w:asciiTheme="minorHAnsi" w:hAnsiTheme="minorHAnsi" w:cstheme="minorHAnsi"/>
        </w:rPr>
        <w:t>ní řádně sjednané služby.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Odběratel má právo požadovat v případě ztráty dat, starších než 1 měsíc, (návaznost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na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harmonogram zálohování dat) náhradu škody vzniklou jejich rekonstrukcí.</w:t>
      </w:r>
    </w:p>
    <w:p w:rsidR="00204264" w:rsidRDefault="00204264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Práva a povinnosti poskytovatele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provádět smluvené úkony ve smluvenou dobu a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ve smluveném rozsahu.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provádět smluvené úkony</w:t>
      </w:r>
      <w:r w:rsidR="0001163A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</w:t>
      </w:r>
      <w:r w:rsidR="0001163A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nejvyšší kvalitě s</w:t>
      </w:r>
      <w:r w:rsidR="00160B85" w:rsidRPr="003A7496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ohledem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na vývoj techniky.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oznamovat odpovědné osobě odběratele nutnost oprav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techniky, navrhovat upgrade stávající techniky a navrhovat výměnu techniky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za modernější s ohledem na potřeby odběratele.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oznamovat odpovědné osobě odběratele vypršení platnosti a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nutnost nákupu nových licencí programového vybavení s ohledem na potřeby odběratele.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má právo fakturovat odběrateli smluvené částky ve smluvených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termínech.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má právo nechat se v časové tísni zastupovat při zásahu k</w:t>
      </w:r>
      <w:r w:rsidR="00204264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odstranění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poruchy další osobou.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má právo odstoupit od smlouvy s výpovědní dobou 3 měsíce</w:t>
      </w:r>
      <w:r w:rsidR="00622559">
        <w:rPr>
          <w:rFonts w:asciiTheme="minorHAnsi" w:hAnsiTheme="minorHAnsi" w:cstheme="minorHAnsi"/>
        </w:rPr>
        <w:t xml:space="preserve">, která začne běžet dnem doručení výpovědi </w:t>
      </w:r>
      <w:r w:rsidR="00C1547A">
        <w:rPr>
          <w:rFonts w:asciiTheme="minorHAnsi" w:hAnsiTheme="minorHAnsi" w:cstheme="minorHAnsi"/>
        </w:rPr>
        <w:t>odběrateli</w:t>
      </w:r>
      <w:r w:rsidRPr="003A7496">
        <w:rPr>
          <w:rFonts w:asciiTheme="minorHAnsi" w:hAnsiTheme="minorHAnsi" w:cstheme="minorHAnsi"/>
        </w:rPr>
        <w:t>.</w:t>
      </w:r>
    </w:p>
    <w:p w:rsidR="00160B85" w:rsidRPr="003A7496" w:rsidRDefault="00160B85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VII.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Podmínky a zp</w:t>
      </w:r>
      <w:r w:rsidRPr="003A7496">
        <w:rPr>
          <w:rFonts w:asciiTheme="minorHAnsi" w:hAnsiTheme="minorHAnsi" w:cstheme="minorHAnsi"/>
          <w:b/>
        </w:rPr>
        <w:t>ů</w:t>
      </w:r>
      <w:r w:rsidRPr="003A7496">
        <w:rPr>
          <w:rFonts w:asciiTheme="minorHAnsi" w:hAnsiTheme="minorHAnsi" w:cstheme="minorHAnsi"/>
          <w:b/>
          <w:bCs/>
        </w:rPr>
        <w:t>sob provád</w:t>
      </w:r>
      <w:r w:rsidRPr="003A7496">
        <w:rPr>
          <w:rFonts w:asciiTheme="minorHAnsi" w:hAnsiTheme="minorHAnsi" w:cstheme="minorHAnsi"/>
          <w:b/>
        </w:rPr>
        <w:t>ě</w:t>
      </w:r>
      <w:r w:rsidRPr="003A7496">
        <w:rPr>
          <w:rFonts w:asciiTheme="minorHAnsi" w:hAnsiTheme="minorHAnsi" w:cstheme="minorHAnsi"/>
          <w:b/>
          <w:bCs/>
        </w:rPr>
        <w:t>ní údržby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provádí údržbu výpočetní techniky i havarijní zásahy s</w:t>
      </w:r>
      <w:r w:rsidR="00160B85" w:rsidRPr="003A7496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využitím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vlastních technických prostředků.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případě technické poruchy jakéhokoliv komponentu či součásti zajistí poskytovatel</w:t>
      </w:r>
      <w:r w:rsidR="00160B85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její výměnu či opravu, a to bud' přímo sám, nebo prostřednictvím patřičného servisního</w:t>
      </w:r>
      <w:r w:rsidR="00160B85" w:rsidRPr="003A7496">
        <w:rPr>
          <w:rFonts w:asciiTheme="minorHAnsi" w:hAnsiTheme="minorHAnsi" w:cstheme="minorHAnsi"/>
        </w:rPr>
        <w:t xml:space="preserve"> st</w:t>
      </w:r>
      <w:r w:rsidRPr="003A7496">
        <w:rPr>
          <w:rFonts w:asciiTheme="minorHAnsi" w:hAnsiTheme="minorHAnsi" w:cstheme="minorHAnsi"/>
        </w:rPr>
        <w:t>řediska.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Jedná-li se o součást dodanou poskytovatelem a vztahuje-li se na tuto součást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záruční lhůta, zajistí poskytovatel její opravu či výměnu na vlastní náklady.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Pokud se na vadnou součást již záruka nevztahuje, uhradí odběratel veškeré účelně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vynaložené náklady na opravu či výměnu této součásti. Poskytovatel je povinen před zahájením opravy předložit odběrateli předběžnou cenovou kalkulaci opravy a tuto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si nechat schválit. Maximální odchylka výsledné ceny od předběžné kalkulace může činit</w:t>
      </w:r>
      <w:r w:rsidR="00CE3C9A" w:rsidRPr="003A7496">
        <w:rPr>
          <w:rFonts w:asciiTheme="minorHAnsi" w:hAnsiTheme="minorHAnsi" w:cstheme="minorHAnsi"/>
        </w:rPr>
        <w:t xml:space="preserve"> </w:t>
      </w:r>
      <w:proofErr w:type="gramStart"/>
      <w:r w:rsidRPr="003A7496">
        <w:rPr>
          <w:rFonts w:asciiTheme="minorHAnsi" w:hAnsiTheme="minorHAnsi" w:cstheme="minorHAnsi"/>
        </w:rPr>
        <w:t>15%</w:t>
      </w:r>
      <w:proofErr w:type="gramEnd"/>
      <w:r w:rsidRPr="003A7496">
        <w:rPr>
          <w:rFonts w:asciiTheme="minorHAnsi" w:hAnsiTheme="minorHAnsi" w:cstheme="minorHAnsi"/>
        </w:rPr>
        <w:t>.</w:t>
      </w:r>
    </w:p>
    <w:p w:rsidR="00204264" w:rsidRDefault="00204264" w:rsidP="00CE3C9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A71F6F" w:rsidRDefault="00A71F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C7F58" w:rsidRPr="003A7496" w:rsidRDefault="00EC7F58" w:rsidP="00CE3C9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VIII.</w:t>
      </w:r>
    </w:p>
    <w:p w:rsidR="00EC7F58" w:rsidRPr="003A7496" w:rsidRDefault="00EC7F58" w:rsidP="00CE3C9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A7496">
        <w:rPr>
          <w:rFonts w:asciiTheme="minorHAnsi" w:hAnsiTheme="minorHAnsi" w:cstheme="minorHAnsi"/>
          <w:b/>
          <w:bCs/>
        </w:rPr>
        <w:t>Podmínky a zp</w:t>
      </w:r>
      <w:r w:rsidRPr="003A7496">
        <w:rPr>
          <w:rFonts w:asciiTheme="minorHAnsi" w:hAnsiTheme="minorHAnsi" w:cstheme="minorHAnsi"/>
          <w:b/>
        </w:rPr>
        <w:t>ů</w:t>
      </w:r>
      <w:r w:rsidRPr="003A7496">
        <w:rPr>
          <w:rFonts w:asciiTheme="minorHAnsi" w:hAnsiTheme="minorHAnsi" w:cstheme="minorHAnsi"/>
          <w:b/>
          <w:bCs/>
        </w:rPr>
        <w:t>sob provád</w:t>
      </w:r>
      <w:r w:rsidRPr="003A7496">
        <w:rPr>
          <w:rFonts w:asciiTheme="minorHAnsi" w:hAnsiTheme="minorHAnsi" w:cstheme="minorHAnsi"/>
          <w:b/>
        </w:rPr>
        <w:t>ě</w:t>
      </w:r>
      <w:r w:rsidRPr="003A7496">
        <w:rPr>
          <w:rFonts w:asciiTheme="minorHAnsi" w:hAnsiTheme="minorHAnsi" w:cstheme="minorHAnsi"/>
          <w:b/>
          <w:bCs/>
        </w:rPr>
        <w:t>ní havarijních zásah</w:t>
      </w:r>
      <w:r w:rsidRPr="003A7496">
        <w:rPr>
          <w:rFonts w:asciiTheme="minorHAnsi" w:hAnsiTheme="minorHAnsi" w:cstheme="minorHAnsi"/>
          <w:b/>
        </w:rPr>
        <w:t>ů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Požadavek na provedení havarijního zásahu musí být proveden formou SMS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 xml:space="preserve">na telefonní číslo poskytovatele </w:t>
      </w:r>
      <w:r w:rsidR="00CE3C9A" w:rsidRPr="003A7496">
        <w:rPr>
          <w:rFonts w:asciiTheme="minorHAnsi" w:hAnsiTheme="minorHAnsi" w:cstheme="minorHAnsi"/>
        </w:rPr>
        <w:t>nebo e-mailem na výše uvedenou e-mailovou adresu</w:t>
      </w:r>
      <w:r w:rsidRPr="003A7496">
        <w:rPr>
          <w:rFonts w:asciiTheme="minorHAnsi" w:hAnsiTheme="minorHAnsi" w:cstheme="minorHAnsi"/>
        </w:rPr>
        <w:t>.</w:t>
      </w:r>
    </w:p>
    <w:p w:rsidR="00EC7F58" w:rsidRPr="003A7496" w:rsidRDefault="00CE3C9A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př</w:t>
      </w:r>
      <w:r w:rsidR="00EC7F58" w:rsidRPr="003A7496">
        <w:rPr>
          <w:rFonts w:asciiTheme="minorHAnsi" w:hAnsiTheme="minorHAnsi" w:cstheme="minorHAnsi"/>
        </w:rPr>
        <w:t>ípadě havarijní poruchy výpočetní techniky zajistí odběratel přítomnost</w:t>
      </w:r>
      <w:r w:rsidRPr="003A7496">
        <w:rPr>
          <w:rFonts w:asciiTheme="minorHAnsi" w:hAnsiTheme="minorHAnsi" w:cstheme="minorHAnsi"/>
        </w:rPr>
        <w:t xml:space="preserve"> </w:t>
      </w:r>
      <w:r w:rsidR="00EC7F58" w:rsidRPr="003A7496">
        <w:rPr>
          <w:rFonts w:asciiTheme="minorHAnsi" w:hAnsiTheme="minorHAnsi" w:cstheme="minorHAnsi"/>
        </w:rPr>
        <w:t>odpovědného pracovníka i mimo řádnou pracovní dobu odběratele.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případě technické poruchy jakéhokoliv komponentu či sou</w:t>
      </w:r>
      <w:r w:rsidR="0001163A">
        <w:rPr>
          <w:rFonts w:asciiTheme="minorHAnsi" w:hAnsiTheme="minorHAnsi" w:cstheme="minorHAnsi"/>
        </w:rPr>
        <w:t>č</w:t>
      </w:r>
      <w:r w:rsidRPr="003A7496">
        <w:rPr>
          <w:rFonts w:asciiTheme="minorHAnsi" w:hAnsiTheme="minorHAnsi" w:cstheme="minorHAnsi"/>
        </w:rPr>
        <w:t>ásti zajistí poskytovatel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její výměnu či opravu, a to bud' přímo sám, nebo prostřednictvím patřičného servisního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střediska.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Jedná-li se o součást dodanou poskytovatelem a vztahuje-li se na tuto součást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záruční lhůta, zajistí poskytovatel její opravu či výměnu na vlastní náklady.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Pokud se na vadnou součást již záruka nevztahuje, uhradí odběratel veškeré účelně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vynaložené náklady na opravu či výměnu této součásti. Poskytovatel je povinen ještě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před zahájením opravy předlož</w:t>
      </w:r>
      <w:r w:rsidR="00CE3C9A" w:rsidRPr="003A7496">
        <w:rPr>
          <w:rFonts w:asciiTheme="minorHAnsi" w:hAnsiTheme="minorHAnsi" w:cstheme="minorHAnsi"/>
        </w:rPr>
        <w:t>it odbě</w:t>
      </w:r>
      <w:r w:rsidRPr="003A7496">
        <w:rPr>
          <w:rFonts w:asciiTheme="minorHAnsi" w:hAnsiTheme="minorHAnsi" w:cstheme="minorHAnsi"/>
        </w:rPr>
        <w:t>rateli předběžnou cenovou kalkulaci opravy a tuto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 xml:space="preserve">si nechat schválit. Maximální odchylka výsledné ceny od předběžné kalkulace je </w:t>
      </w:r>
      <w:proofErr w:type="gramStart"/>
      <w:r w:rsidRPr="003A7496">
        <w:rPr>
          <w:rFonts w:asciiTheme="minorHAnsi" w:hAnsiTheme="minorHAnsi" w:cstheme="minorHAnsi"/>
        </w:rPr>
        <w:t>15%</w:t>
      </w:r>
      <w:proofErr w:type="gramEnd"/>
      <w:r w:rsidRPr="003A7496">
        <w:rPr>
          <w:rFonts w:asciiTheme="minorHAnsi" w:hAnsiTheme="minorHAnsi" w:cstheme="minorHAnsi"/>
        </w:rPr>
        <w:t>.</w:t>
      </w:r>
    </w:p>
    <w:p w:rsidR="00EC7F58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 xml:space="preserve">Za </w:t>
      </w:r>
      <w:r w:rsidR="005A67B0">
        <w:rPr>
          <w:rFonts w:asciiTheme="minorHAnsi" w:hAnsiTheme="minorHAnsi" w:cstheme="minorHAnsi"/>
        </w:rPr>
        <w:t xml:space="preserve">zálohování </w:t>
      </w:r>
      <w:r w:rsidRPr="003A7496">
        <w:rPr>
          <w:rFonts w:asciiTheme="minorHAnsi" w:hAnsiTheme="minorHAnsi" w:cstheme="minorHAnsi"/>
        </w:rPr>
        <w:t>vlastních dat podle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odstav</w:t>
      </w:r>
      <w:r w:rsidR="00CE3C9A" w:rsidRPr="003A7496">
        <w:rPr>
          <w:rFonts w:asciiTheme="minorHAnsi" w:hAnsiTheme="minorHAnsi" w:cstheme="minorHAnsi"/>
        </w:rPr>
        <w:t xml:space="preserve">ce </w:t>
      </w:r>
      <w:proofErr w:type="gramStart"/>
      <w:r w:rsidR="00CE3C9A" w:rsidRPr="003A7496">
        <w:rPr>
          <w:rFonts w:asciiTheme="minorHAnsi" w:hAnsiTheme="minorHAnsi" w:cstheme="minorHAnsi"/>
        </w:rPr>
        <w:t>III./</w:t>
      </w:r>
      <w:proofErr w:type="gramEnd"/>
      <w:r w:rsidR="00CE3C9A" w:rsidRPr="003A7496">
        <w:rPr>
          <w:rFonts w:asciiTheme="minorHAnsi" w:hAnsiTheme="minorHAnsi" w:cstheme="minorHAnsi"/>
        </w:rPr>
        <w:t>3a) této smlouvy si ru</w:t>
      </w:r>
      <w:r w:rsidRPr="003A7496">
        <w:rPr>
          <w:rFonts w:asciiTheme="minorHAnsi" w:hAnsiTheme="minorHAnsi" w:cstheme="minorHAnsi"/>
        </w:rPr>
        <w:t>čí odběratel.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nabízí dvě varianty havarijních servisních zásahů co do garantované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doby zásahu a garantované doby odstranění poruchy, resp. doby zajištění náhradního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provozu. Tyto servisní zásahy se vzájemně odlišují cenou. Odběratel má právo volby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rychlosti servisního zásahu vždy při vyžádání servisního zásahu.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Pokud není rychlost zásahu při jeho objednání specifikována, platí standardní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rychlost zásahu do 24 hodin s odstraněním poruchy, resp. zajištěním náhradního provoz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do 48 hodin od</w:t>
      </w:r>
      <w:r w:rsidR="00C1547A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vyžádání havarijního zásahu.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závislosti na povaze závady může vzniknout situace, kdy objektivně není možné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odstranit poruchu či zajistit p</w:t>
      </w:r>
      <w:r w:rsidR="00CE3C9A" w:rsidRPr="003A7496">
        <w:rPr>
          <w:rFonts w:asciiTheme="minorHAnsi" w:hAnsiTheme="minorHAnsi" w:cstheme="minorHAnsi"/>
        </w:rPr>
        <w:t>l</w:t>
      </w:r>
      <w:r w:rsidRPr="003A7496">
        <w:rPr>
          <w:rFonts w:asciiTheme="minorHAnsi" w:hAnsiTheme="minorHAnsi" w:cstheme="minorHAnsi"/>
        </w:rPr>
        <w:t>nohodnotný náhradní provoz do požadované a garantované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lhůty. Přijatelnými objektivními důvody jsou zde především fyzikální limity pro jednotlivé</w:t>
      </w:r>
      <w:r w:rsidR="00CE3C9A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nutné činnosti. V takovém případě je poskytovatel povinen reagovat na vyžádání zásahu</w:t>
      </w:r>
      <w:r w:rsidR="00CE3C9A" w:rsidRPr="003A7496">
        <w:rPr>
          <w:rFonts w:asciiTheme="minorHAnsi" w:hAnsiTheme="minorHAnsi" w:cstheme="minorHAnsi"/>
        </w:rPr>
        <w:t xml:space="preserve"> v </w:t>
      </w:r>
      <w:r w:rsidRPr="003A7496">
        <w:rPr>
          <w:rFonts w:asciiTheme="minorHAnsi" w:hAnsiTheme="minorHAnsi" w:cstheme="minorHAnsi"/>
        </w:rPr>
        <w:t>požadované lhůtě a nadále postupovat s maximálním úsilím a řešit problém v</w:t>
      </w:r>
      <w:r w:rsidR="001352DB" w:rsidRPr="003A7496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co</w:t>
      </w:r>
      <w:r w:rsidR="001352DB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nejkratším možném čase. Pro ocenění zásahu je v takovýchto případech podstatná doba</w:t>
      </w:r>
      <w:r w:rsidR="001352DB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reakc</w:t>
      </w:r>
      <w:r w:rsidR="001352DB" w:rsidRPr="003A7496">
        <w:rPr>
          <w:rFonts w:asciiTheme="minorHAnsi" w:hAnsiTheme="minorHAnsi" w:cstheme="minorHAnsi"/>
        </w:rPr>
        <w:t>e na </w:t>
      </w:r>
      <w:r w:rsidRPr="003A7496">
        <w:rPr>
          <w:rFonts w:asciiTheme="minorHAnsi" w:hAnsiTheme="minorHAnsi" w:cstheme="minorHAnsi"/>
        </w:rPr>
        <w:t>vyžádání zásahu.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Veškeré havarijní servisní zásahy jsou zpoplatňovány. Na každý servisní zásah</w:t>
      </w:r>
      <w:r w:rsidR="00E14000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vystaví poskytovatel servisní záznam, který přiloží k faktuře.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garantovat servisní zásahy v pracovní dny v době od 6:00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do 20:00 hodin. Do veškerých výše a níže uvedených časových lhů</w:t>
      </w:r>
      <w:r w:rsidR="00E14000" w:rsidRPr="003A7496">
        <w:rPr>
          <w:rFonts w:asciiTheme="minorHAnsi" w:hAnsiTheme="minorHAnsi" w:cstheme="minorHAnsi"/>
        </w:rPr>
        <w:t>t se nezapo</w:t>
      </w:r>
      <w:r w:rsidRPr="003A7496">
        <w:rPr>
          <w:rFonts w:asciiTheme="minorHAnsi" w:hAnsiTheme="minorHAnsi" w:cstheme="minorHAnsi"/>
        </w:rPr>
        <w:t>čítávají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volné dny (státem uznané svátky, dny pracovního volna nebo klidu).</w:t>
      </w:r>
    </w:p>
    <w:p w:rsidR="00E14000" w:rsidRPr="003A7496" w:rsidRDefault="00E14000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</w:t>
      </w:r>
      <w:r w:rsidR="00E14000" w:rsidRPr="003A7496">
        <w:rPr>
          <w:rFonts w:asciiTheme="minorHAnsi" w:hAnsiTheme="minorHAnsi" w:cstheme="minorHAnsi"/>
          <w:b/>
          <w:bCs/>
        </w:rPr>
        <w:t>X</w:t>
      </w:r>
      <w:r w:rsidRPr="003A7496">
        <w:rPr>
          <w:rFonts w:asciiTheme="minorHAnsi" w:hAnsiTheme="minorHAnsi" w:cstheme="minorHAnsi"/>
          <w:b/>
          <w:bCs/>
        </w:rPr>
        <w:t>.</w:t>
      </w:r>
    </w:p>
    <w:p w:rsidR="00EC7F58" w:rsidRPr="003A7496" w:rsidRDefault="00EC7F58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Cena za údržbu a servisní zásahy</w:t>
      </w:r>
    </w:p>
    <w:p w:rsidR="00EC7F58" w:rsidRPr="003A7496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Za služby poskytované poskytovatelem podle odstavce III. této smlouvy se</w:t>
      </w:r>
      <w:r w:rsidR="0001163A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odběratel</w:t>
      </w:r>
      <w:r w:rsidR="00204264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 xml:space="preserve">zavazuje platit měsíční poplatek </w:t>
      </w:r>
      <w:r w:rsidR="002E11CF">
        <w:rPr>
          <w:rFonts w:asciiTheme="minorHAnsi" w:hAnsiTheme="minorHAnsi" w:cstheme="minorHAnsi"/>
        </w:rPr>
        <w:t>8</w:t>
      </w:r>
      <w:r w:rsidR="007F4384">
        <w:rPr>
          <w:rFonts w:asciiTheme="minorHAnsi" w:hAnsiTheme="minorHAnsi" w:cstheme="minorHAnsi"/>
        </w:rPr>
        <w:t>000</w:t>
      </w:r>
      <w:r w:rsidRPr="003A7496">
        <w:rPr>
          <w:rFonts w:asciiTheme="minorHAnsi" w:hAnsiTheme="minorHAnsi" w:cstheme="minorHAnsi"/>
        </w:rPr>
        <w:t xml:space="preserve">,- Kč, slovy </w:t>
      </w:r>
      <w:proofErr w:type="spellStart"/>
      <w:r w:rsidR="002E11CF">
        <w:rPr>
          <w:rFonts w:asciiTheme="minorHAnsi" w:hAnsiTheme="minorHAnsi" w:cstheme="minorHAnsi"/>
        </w:rPr>
        <w:t>osm</w:t>
      </w:r>
      <w:r w:rsidRPr="003A7496">
        <w:rPr>
          <w:rFonts w:asciiTheme="minorHAnsi" w:hAnsiTheme="minorHAnsi" w:cstheme="minorHAnsi"/>
        </w:rPr>
        <w:t>tisíckorun</w:t>
      </w:r>
      <w:proofErr w:type="spellEnd"/>
      <w:r w:rsidRPr="003A7496">
        <w:rPr>
          <w:rFonts w:asciiTheme="minorHAnsi" w:hAnsiTheme="minorHAnsi" w:cstheme="minorHAnsi"/>
        </w:rPr>
        <w:t xml:space="preserve"> </w:t>
      </w:r>
      <w:proofErr w:type="gramStart"/>
      <w:r w:rsidRPr="003A7496">
        <w:rPr>
          <w:rFonts w:asciiTheme="minorHAnsi" w:hAnsiTheme="minorHAnsi" w:cstheme="minorHAnsi"/>
        </w:rPr>
        <w:t>českých</w:t>
      </w:r>
      <w:proofErr w:type="gramEnd"/>
      <w:r w:rsidR="003A7496">
        <w:rPr>
          <w:rFonts w:asciiTheme="minorHAnsi" w:hAnsiTheme="minorHAnsi" w:cstheme="minorHAnsi"/>
        </w:rPr>
        <w:t xml:space="preserve"> </w:t>
      </w:r>
      <w:r w:rsidR="00C6041E">
        <w:rPr>
          <w:rFonts w:asciiTheme="minorHAnsi" w:hAnsiTheme="minorHAnsi" w:cstheme="minorHAnsi"/>
        </w:rPr>
        <w:t>a to včetně</w:t>
      </w:r>
      <w:r w:rsidR="003A7496">
        <w:rPr>
          <w:rFonts w:asciiTheme="minorHAnsi" w:hAnsiTheme="minorHAnsi" w:cstheme="minorHAnsi"/>
        </w:rPr>
        <w:t xml:space="preserve"> DPH ve</w:t>
      </w:r>
      <w:r w:rsidR="00622559">
        <w:rPr>
          <w:rFonts w:asciiTheme="minorHAnsi" w:hAnsiTheme="minorHAnsi" w:cstheme="minorHAnsi"/>
        </w:rPr>
        <w:t> </w:t>
      </w:r>
      <w:r w:rsidR="003A7496">
        <w:rPr>
          <w:rFonts w:asciiTheme="minorHAnsi" w:hAnsiTheme="minorHAnsi" w:cstheme="minorHAnsi"/>
        </w:rPr>
        <w:t>výši, stanovené platnou sazbou.</w:t>
      </w:r>
    </w:p>
    <w:p w:rsidR="00EC7F58" w:rsidRPr="003A7496" w:rsidRDefault="00EC7F58" w:rsidP="0062255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Tento paušální poplatek kromě činností uvedených v odstavci III. této smlouvy</w:t>
      </w:r>
      <w:r w:rsidR="00053123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zahrnuje ještě:</w:t>
      </w:r>
    </w:p>
    <w:p w:rsidR="00EC7F58" w:rsidRPr="003A7496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náklady na dopravu</w:t>
      </w:r>
    </w:p>
    <w:p w:rsidR="00EC7F58" w:rsidRPr="003A7496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instalaci bezpečnostních záplat OS</w:t>
      </w:r>
    </w:p>
    <w:p w:rsidR="00EC7F58" w:rsidRPr="003A7496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odstranění drobných závad</w:t>
      </w:r>
    </w:p>
    <w:p w:rsidR="00EC7F58" w:rsidRPr="003A7496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poradenskou činnost v rozsahu do 2 hodin měsíčně</w:t>
      </w:r>
    </w:p>
    <w:p w:rsidR="00EC7F58" w:rsidRPr="003A7496" w:rsidRDefault="00EC7F58" w:rsidP="0062255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Za služby spojené s havarijními zásahy se odběratel zavazuje platit za podmínek</w:t>
      </w:r>
      <w:r w:rsidR="00053123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uvedených v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bodu VII. této smlouvy částky podle následující tabulky.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0"/>
        <w:gridCol w:w="3382"/>
      </w:tblGrid>
      <w:tr w:rsidR="00053123" w:rsidRPr="003A7496" w:rsidTr="00053123">
        <w:tc>
          <w:tcPr>
            <w:tcW w:w="5778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  <w:b/>
                <w:bCs/>
              </w:rPr>
              <w:t>Rychlost servisního zásahu/doba odstranění poruchy</w:t>
            </w:r>
          </w:p>
        </w:tc>
        <w:tc>
          <w:tcPr>
            <w:tcW w:w="3434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  <w:b/>
                <w:bCs/>
              </w:rPr>
              <w:t>Sazba</w:t>
            </w:r>
          </w:p>
        </w:tc>
      </w:tr>
      <w:tr w:rsidR="00053123" w:rsidRPr="003A7496" w:rsidTr="00053123">
        <w:tc>
          <w:tcPr>
            <w:tcW w:w="5778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</w:rPr>
              <w:t>Zásah do 24 hodin/Odstranění do 48 hodin</w:t>
            </w:r>
          </w:p>
        </w:tc>
        <w:tc>
          <w:tcPr>
            <w:tcW w:w="3434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</w:rPr>
              <w:t>200,- Kč/započatá ½ hodina</w:t>
            </w:r>
          </w:p>
        </w:tc>
      </w:tr>
      <w:tr w:rsidR="00053123" w:rsidRPr="003A7496" w:rsidTr="00053123">
        <w:tc>
          <w:tcPr>
            <w:tcW w:w="5778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</w:rPr>
              <w:t>Zásah do 48 hodin/Odstranění do 96 hodin</w:t>
            </w:r>
          </w:p>
        </w:tc>
        <w:tc>
          <w:tcPr>
            <w:tcW w:w="3434" w:type="dxa"/>
          </w:tcPr>
          <w:p w:rsidR="00053123" w:rsidRPr="003A7496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A7496">
              <w:rPr>
                <w:rFonts w:asciiTheme="minorHAnsi" w:hAnsiTheme="minorHAnsi" w:cstheme="minorHAnsi"/>
              </w:rPr>
              <w:t>150,- Kč/započatá ½ hodina</w:t>
            </w:r>
          </w:p>
        </w:tc>
      </w:tr>
    </w:tbl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Platební podmínky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 xml:space="preserve">Odběratel je povinen zaplatit měsíční paušální poplatek vždy za celý kalendářní </w:t>
      </w:r>
      <w:r w:rsidR="0001163A">
        <w:rPr>
          <w:rFonts w:asciiTheme="minorHAnsi" w:hAnsiTheme="minorHAnsi" w:cstheme="minorHAnsi"/>
        </w:rPr>
        <w:t>mě</w:t>
      </w:r>
      <w:r w:rsidRPr="003A7496">
        <w:rPr>
          <w:rFonts w:asciiTheme="minorHAnsi" w:hAnsiTheme="minorHAnsi" w:cstheme="minorHAnsi"/>
        </w:rPr>
        <w:t>síc na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základě d</w:t>
      </w:r>
      <w:r w:rsidR="003A7496">
        <w:rPr>
          <w:rFonts w:asciiTheme="minorHAnsi" w:hAnsiTheme="minorHAnsi" w:cstheme="minorHAnsi"/>
        </w:rPr>
        <w:t>a</w:t>
      </w:r>
      <w:r w:rsidRPr="003A7496">
        <w:rPr>
          <w:rFonts w:asciiTheme="minorHAnsi" w:hAnsiTheme="minorHAnsi" w:cstheme="minorHAnsi"/>
        </w:rPr>
        <w:t xml:space="preserve">ňového dokladu, vystaveného odběratelem se splatností 14 dnů ode dne </w:t>
      </w:r>
      <w:r w:rsidR="00622559">
        <w:rPr>
          <w:rFonts w:asciiTheme="minorHAnsi" w:hAnsiTheme="minorHAnsi" w:cstheme="minorHAnsi"/>
        </w:rPr>
        <w:t>doručení</w:t>
      </w:r>
      <w:r w:rsidRPr="003A7496">
        <w:rPr>
          <w:rFonts w:asciiTheme="minorHAnsi" w:hAnsiTheme="minorHAnsi" w:cstheme="minorHAnsi"/>
        </w:rPr>
        <w:t xml:space="preserve"> dokladu. Daňový doklad za havarijní servisní zásah bude vystaven bezprostředně po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 xml:space="preserve">ukončení servisního zásahu a odstranění poruchy se splatností 14 dnů ode dne </w:t>
      </w:r>
      <w:r w:rsidR="00622559">
        <w:rPr>
          <w:rFonts w:asciiTheme="minorHAnsi" w:hAnsiTheme="minorHAnsi" w:cstheme="minorHAnsi"/>
        </w:rPr>
        <w:t>doručení</w:t>
      </w:r>
      <w:r w:rsidRPr="003A7496">
        <w:rPr>
          <w:rFonts w:asciiTheme="minorHAnsi" w:hAnsiTheme="minorHAnsi" w:cstheme="minorHAnsi"/>
        </w:rPr>
        <w:t xml:space="preserve"> dokladu.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 xml:space="preserve">V případě prodlení odběratele s placením bude účtována smluvní pokuta ve výši </w:t>
      </w:r>
      <w:proofErr w:type="gramStart"/>
      <w:r w:rsidRPr="003A7496">
        <w:rPr>
          <w:rFonts w:asciiTheme="minorHAnsi" w:hAnsiTheme="minorHAnsi" w:cstheme="minorHAnsi"/>
        </w:rPr>
        <w:t>0,1%</w:t>
      </w:r>
      <w:proofErr w:type="gramEnd"/>
      <w:r w:rsidRPr="003A7496">
        <w:rPr>
          <w:rFonts w:asciiTheme="minorHAnsi" w:hAnsiTheme="minorHAnsi" w:cstheme="minorHAnsi"/>
        </w:rPr>
        <w:t xml:space="preserve"> z</w:t>
      </w:r>
      <w:r w:rsidR="00204264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dlužné částky za každý započatý kalendářní den prodlení.</w:t>
      </w:r>
    </w:p>
    <w:p w:rsidR="00204264" w:rsidRDefault="00204264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Záruky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Při nedodržení termínu zásahu uvedeného v článku VIII. této smlouvy a objednaného při</w:t>
      </w:r>
      <w:r w:rsidR="00C1547A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nahlášení poruchy náleží odběrateli právo účtovat poskytovateli smluvní pokutu ve výši ceny úkonu dle článku IX. této smlouvy za každý započatý jednotkový časový úsek prodlení.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Jednotkovým časovým úsekem je myšlena v případě nedodržení rychlosti servisního zásahu požadovaná rychlost servisního zásahu a v případě nedodržení doby odstranění poruchy požadovaná doba odstranění poruchy dle zvolené varianty havarijního zásahu.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neodpovídá za včasnost havarijního zásahu, pokud nejsou odběratelem zajištěny podmínky nutné pro realizaci zásahu.</w:t>
      </w:r>
    </w:p>
    <w:p w:rsidR="00204264" w:rsidRDefault="00204264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XII.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Vyšší moc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není odpovědný za porušení svých povinností, jestliže prokáže, že toto porušení bylo způsobeno překážkou, kterou nemohl ovlivnit a ohledně které nelze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rozumně předpokládat, že s ní mohl počítat v době uzavření smlouvy nebo že tuto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překážku nebo její důsledky mohl odvrátit nebo překonat. Poskytovatel v</w:t>
      </w:r>
      <w:r w:rsidR="002D07AE" w:rsidRPr="003A7496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případě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porušení smlouvy musí okamžitě oznámit odběrateli překážku a její účinky na způsobilost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poskytnout p</w:t>
      </w:r>
      <w:r w:rsidR="002D07AE" w:rsidRPr="003A7496">
        <w:rPr>
          <w:rFonts w:asciiTheme="minorHAnsi" w:hAnsiTheme="minorHAnsi" w:cstheme="minorHAnsi"/>
        </w:rPr>
        <w:t>l</w:t>
      </w:r>
      <w:r w:rsidRPr="003A7496">
        <w:rPr>
          <w:rFonts w:asciiTheme="minorHAnsi" w:hAnsiTheme="minorHAnsi" w:cstheme="minorHAnsi"/>
        </w:rPr>
        <w:t>nění. V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těchto případech zajistí poskytovatel náhradní řešení v</w:t>
      </w:r>
      <w:r w:rsidR="002D07AE" w:rsidRPr="003A7496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nejbližším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možném termínu.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XIII.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Platnost smlouvy a její ukon</w:t>
      </w:r>
      <w:r w:rsidR="002D07AE" w:rsidRPr="003A7496">
        <w:rPr>
          <w:rFonts w:asciiTheme="minorHAnsi" w:hAnsiTheme="minorHAnsi" w:cstheme="minorHAnsi"/>
          <w:b/>
          <w:bCs/>
        </w:rPr>
        <w:t>č</w:t>
      </w:r>
      <w:r w:rsidRPr="003A7496">
        <w:rPr>
          <w:rFonts w:asciiTheme="minorHAnsi" w:hAnsiTheme="minorHAnsi" w:cstheme="minorHAnsi"/>
          <w:b/>
          <w:bCs/>
        </w:rPr>
        <w:t>ení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Smlouva se uzavírá na dobu neurčitou a nabývá platnosti a účinnosti dnem podpisu.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Smlouva může být změněna pouze písemnou formou a za souhlasu obou smluvních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stran.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Platnost smlouvy je možné ukončit dohodou, výpovědí bez udání důvodu nebo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okamžitou výpovědí z důvodu opakovaného závažného porušování smluvních povinností.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Jakákoliv dohoda či výpově</w:t>
      </w:r>
      <w:r w:rsidR="002D07AE" w:rsidRPr="003A7496">
        <w:rPr>
          <w:rFonts w:asciiTheme="minorHAnsi" w:hAnsiTheme="minorHAnsi" w:cstheme="minorHAnsi"/>
        </w:rPr>
        <w:t>ď</w:t>
      </w:r>
      <w:r w:rsidRPr="003A7496">
        <w:rPr>
          <w:rFonts w:asciiTheme="minorHAnsi" w:hAnsiTheme="minorHAnsi" w:cstheme="minorHAnsi"/>
        </w:rPr>
        <w:t xml:space="preserve"> musí mít vždy písemnou formu.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Výpovědní lhůta pro ukončení platnosti smlouvy bez udání důvodu č</w:t>
      </w:r>
      <w:r w:rsidR="002D07AE" w:rsidRPr="003A7496">
        <w:rPr>
          <w:rFonts w:asciiTheme="minorHAnsi" w:hAnsiTheme="minorHAnsi" w:cstheme="minorHAnsi"/>
        </w:rPr>
        <w:t>iní pro ob</w:t>
      </w:r>
      <w:r w:rsidRPr="003A7496">
        <w:rPr>
          <w:rFonts w:asciiTheme="minorHAnsi" w:hAnsiTheme="minorHAnsi" w:cstheme="minorHAnsi"/>
        </w:rPr>
        <w:t>ě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smluvní strany 3 měsíce. Výpovědní lhůta počíná běžet od 1. dne měsíce následujícího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po podání výpovědi.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případě závažného a opakovaného porušování smluvních povinností jakoukoliv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ze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smluvních stran může strana druhá vypovědět tuto smlouvu s okamžitou platností.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Zmíněná závažnost a opakovanost porušování smluvních povinností musí být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prokazatelná a</w:t>
      </w:r>
      <w:r w:rsidR="00622559">
        <w:rPr>
          <w:rFonts w:asciiTheme="minorHAnsi" w:hAnsiTheme="minorHAnsi" w:cstheme="minorHAnsi"/>
        </w:rPr>
        <w:t> </w:t>
      </w:r>
      <w:r w:rsidRPr="003A7496">
        <w:rPr>
          <w:rFonts w:asciiTheme="minorHAnsi" w:hAnsiTheme="minorHAnsi" w:cstheme="minorHAnsi"/>
        </w:rPr>
        <w:t>aktu okamžité výpovědi smlouvy musí předcházet písemné upozornění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na nep</w:t>
      </w:r>
      <w:r w:rsidR="002D07AE" w:rsidRPr="003A7496">
        <w:rPr>
          <w:rFonts w:asciiTheme="minorHAnsi" w:hAnsiTheme="minorHAnsi" w:cstheme="minorHAnsi"/>
        </w:rPr>
        <w:t>l</w:t>
      </w:r>
      <w:r w:rsidRPr="003A7496">
        <w:rPr>
          <w:rFonts w:asciiTheme="minorHAnsi" w:hAnsiTheme="minorHAnsi" w:cstheme="minorHAnsi"/>
        </w:rPr>
        <w:t>nění povinností.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Za závažné nep</w:t>
      </w:r>
      <w:r w:rsidR="002D07AE" w:rsidRPr="003A7496">
        <w:rPr>
          <w:rFonts w:asciiTheme="minorHAnsi" w:hAnsiTheme="minorHAnsi" w:cstheme="minorHAnsi"/>
        </w:rPr>
        <w:t>l</w:t>
      </w:r>
      <w:r w:rsidRPr="003A7496">
        <w:rPr>
          <w:rFonts w:asciiTheme="minorHAnsi" w:hAnsiTheme="minorHAnsi" w:cstheme="minorHAnsi"/>
        </w:rPr>
        <w:t>nění smluvních povinností je na jedné straně považováno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nedodržování časových termín ů pro rychlost zásahu či opravy a na druhé straně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nedodržení splatnosti vystavené faktury.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Jakákoliv forma výpovědi smlouvy nemá žádný odkladný či rušící vliv na nutnost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korektního vypořádání veškerých vzájemných závazků z této smlouvy plynoucích.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XIV.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Ml</w:t>
      </w:r>
      <w:r w:rsidR="002D07AE" w:rsidRPr="003A7496">
        <w:rPr>
          <w:rFonts w:asciiTheme="minorHAnsi" w:hAnsiTheme="minorHAnsi" w:cstheme="minorHAnsi"/>
          <w:b/>
          <w:bCs/>
        </w:rPr>
        <w:t>č</w:t>
      </w:r>
      <w:r w:rsidRPr="003A7496">
        <w:rPr>
          <w:rFonts w:asciiTheme="minorHAnsi" w:hAnsiTheme="minorHAnsi" w:cstheme="minorHAnsi"/>
          <w:b/>
          <w:bCs/>
        </w:rPr>
        <w:t>enlivost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Poskytovatel je povinen zachovávat nejpřísnější mlčenlivost vůči třetím osobám,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všeobecně o všem, co se dozví v rámci své činnosti pro odběratele. Poskytovatel se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zavazuje, že veškeré tyto informace jsou přísně důvěrné, a je povinen dodržovat závazek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mlčenlivosti. V případě porušení tohoto ujednání je dohodnuta smluvní pokuta do výše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50.000,- Kč.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2D07AE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XV</w:t>
      </w:r>
      <w:r w:rsidR="00053123" w:rsidRPr="003A7496">
        <w:rPr>
          <w:rFonts w:asciiTheme="minorHAnsi" w:hAnsiTheme="minorHAnsi" w:cstheme="minorHAnsi"/>
          <w:b/>
          <w:bCs/>
        </w:rPr>
        <w:t>.</w:t>
      </w:r>
    </w:p>
    <w:p w:rsidR="00053123" w:rsidRPr="003A7496" w:rsidRDefault="002D07AE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  <w:b/>
          <w:bCs/>
        </w:rPr>
        <w:t>Ř</w:t>
      </w:r>
      <w:r w:rsidR="00053123" w:rsidRPr="003A7496">
        <w:rPr>
          <w:rFonts w:asciiTheme="minorHAnsi" w:hAnsiTheme="minorHAnsi" w:cstheme="minorHAnsi"/>
          <w:b/>
          <w:bCs/>
        </w:rPr>
        <w:t>ešení spor</w:t>
      </w:r>
      <w:r w:rsidRPr="003A7496">
        <w:rPr>
          <w:rFonts w:asciiTheme="minorHAnsi" w:hAnsiTheme="minorHAnsi" w:cstheme="minorHAnsi"/>
          <w:b/>
          <w:bCs/>
        </w:rPr>
        <w:t>ů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případě vzniku sporu při provádění této smlouvy nebo v souvislosti s ní se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zúčastněné strany budou snažit vyřešit jej vzájemným jednáním. Jestliže se takovým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způsobem spor nepodaří vyřešit, bude předložen k projednání a rozhodnutí místně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příslušnému soudu.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2D07AE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XVI</w:t>
      </w:r>
      <w:r w:rsidR="00053123" w:rsidRPr="003A7496">
        <w:rPr>
          <w:rFonts w:asciiTheme="minorHAnsi" w:hAnsiTheme="minorHAnsi" w:cstheme="minorHAnsi"/>
          <w:b/>
          <w:bCs/>
        </w:rPr>
        <w:t>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Zp</w:t>
      </w:r>
      <w:r w:rsidR="002D07AE" w:rsidRPr="003A7496">
        <w:rPr>
          <w:rFonts w:asciiTheme="minorHAnsi" w:hAnsiTheme="minorHAnsi" w:cstheme="minorHAnsi"/>
          <w:b/>
          <w:bCs/>
        </w:rPr>
        <w:t>ů</w:t>
      </w:r>
      <w:r w:rsidRPr="003A7496">
        <w:rPr>
          <w:rFonts w:asciiTheme="minorHAnsi" w:hAnsiTheme="minorHAnsi" w:cstheme="minorHAnsi"/>
          <w:b/>
          <w:bCs/>
        </w:rPr>
        <w:t>sob hlášení poruchy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Závady znemožňující základní činnost výpočetní techniky musí být vždy hlášeny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následujícím způsobem: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pracovní dny v době od 6:00 do 20:00 h</w:t>
      </w:r>
      <w:r w:rsidR="002D07AE" w:rsidRPr="003A7496">
        <w:rPr>
          <w:rFonts w:asciiTheme="minorHAnsi" w:hAnsiTheme="minorHAnsi" w:cstheme="minorHAnsi"/>
        </w:rPr>
        <w:t>odin zprávou SMS na telefonní č</w:t>
      </w:r>
      <w:r w:rsidRPr="003A7496">
        <w:rPr>
          <w:rFonts w:asciiTheme="minorHAnsi" w:hAnsiTheme="minorHAnsi" w:cstheme="minorHAnsi"/>
        </w:rPr>
        <w:t>íslo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+420 608 962 099.</w:t>
      </w:r>
    </w:p>
    <w:p w:rsidR="00053123" w:rsidRPr="003A7496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V SMS zprávě je nutné uvést telefonní číslo objednávajícího, s nímž se poskytovatel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neprodleně spojí, aby upřesnil druh závady.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XVII.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Závěrečná ustanovení</w:t>
      </w:r>
    </w:p>
    <w:p w:rsidR="00053123" w:rsidRDefault="00053123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Smlouva je vyhotovena ve dvou stejnopisech, z nichž každá ze smluvních stran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obdrží po jednom. Veškeré další úpravy je třeba provádět písemnou formou jako dodatek</w:t>
      </w:r>
      <w:r w:rsidR="002D07AE"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</w:rPr>
        <w:t>k této smlouvě.</w:t>
      </w: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Olomouci 1.</w:t>
      </w:r>
      <w:r w:rsidR="006225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</w:t>
      </w:r>
      <w:r w:rsidR="00622559">
        <w:rPr>
          <w:rFonts w:asciiTheme="minorHAnsi" w:hAnsiTheme="minorHAnsi" w:cstheme="minorHAnsi"/>
        </w:rPr>
        <w:t xml:space="preserve"> </w:t>
      </w:r>
      <w:r w:rsidR="00C6041E">
        <w:rPr>
          <w:rFonts w:asciiTheme="minorHAnsi" w:hAnsiTheme="minorHAnsi" w:cstheme="minorHAnsi"/>
        </w:rPr>
        <w:t>2018</w:t>
      </w: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A71F6F">
      <w:pPr>
        <w:tabs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ab/>
        <w:t>____________________</w:t>
      </w:r>
    </w:p>
    <w:p w:rsidR="00A71F6F" w:rsidRPr="003A7496" w:rsidRDefault="00A71F6F" w:rsidP="00A71F6F">
      <w:pPr>
        <w:tabs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>
        <w:rPr>
          <w:rFonts w:asciiTheme="minorHAnsi" w:hAnsiTheme="minorHAnsi" w:cstheme="minorHAnsi"/>
        </w:rPr>
        <w:tab/>
        <w:t>Odběratel</w:t>
      </w:r>
    </w:p>
    <w:sectPr w:rsidR="00A71F6F" w:rsidRPr="003A7496" w:rsidSect="00AF6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F3" w:rsidRDefault="00095CF3" w:rsidP="00622559">
      <w:pPr>
        <w:spacing w:line="240" w:lineRule="auto"/>
      </w:pPr>
      <w:r>
        <w:separator/>
      </w:r>
    </w:p>
  </w:endnote>
  <w:endnote w:type="continuationSeparator" w:id="0">
    <w:p w:rsidR="00095CF3" w:rsidRDefault="00095CF3" w:rsidP="00622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257654"/>
      <w:docPartObj>
        <w:docPartGallery w:val="Page Numbers (Bottom of Page)"/>
        <w:docPartUnique/>
      </w:docPartObj>
    </w:sdtPr>
    <w:sdtEndPr/>
    <w:sdtContent>
      <w:p w:rsidR="00622559" w:rsidRDefault="006225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2559" w:rsidRDefault="00622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F3" w:rsidRDefault="00095CF3" w:rsidP="00622559">
      <w:pPr>
        <w:spacing w:line="240" w:lineRule="auto"/>
      </w:pPr>
      <w:r>
        <w:separator/>
      </w:r>
    </w:p>
  </w:footnote>
  <w:footnote w:type="continuationSeparator" w:id="0">
    <w:p w:rsidR="00095CF3" w:rsidRDefault="00095CF3" w:rsidP="006225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E74"/>
    <w:multiLevelType w:val="hybridMultilevel"/>
    <w:tmpl w:val="7F148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0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E770A6"/>
    <w:multiLevelType w:val="hybridMultilevel"/>
    <w:tmpl w:val="EAC4E69A"/>
    <w:lvl w:ilvl="0" w:tplc="D600713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9F34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2802CD"/>
    <w:multiLevelType w:val="hybridMultilevel"/>
    <w:tmpl w:val="5944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2AF9"/>
    <w:multiLevelType w:val="hybridMultilevel"/>
    <w:tmpl w:val="70EEB3C4"/>
    <w:lvl w:ilvl="0" w:tplc="3D80D9D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55"/>
    <w:rsid w:val="0001163A"/>
    <w:rsid w:val="00053123"/>
    <w:rsid w:val="00095CF3"/>
    <w:rsid w:val="001352DB"/>
    <w:rsid w:val="00160B85"/>
    <w:rsid w:val="00160DD1"/>
    <w:rsid w:val="001615B7"/>
    <w:rsid w:val="00204264"/>
    <w:rsid w:val="00226B23"/>
    <w:rsid w:val="002768E7"/>
    <w:rsid w:val="00287ACD"/>
    <w:rsid w:val="002C06B3"/>
    <w:rsid w:val="002D07AE"/>
    <w:rsid w:val="002E11CF"/>
    <w:rsid w:val="003A7496"/>
    <w:rsid w:val="00445AB8"/>
    <w:rsid w:val="005A67B0"/>
    <w:rsid w:val="0060572C"/>
    <w:rsid w:val="00622559"/>
    <w:rsid w:val="007E7155"/>
    <w:rsid w:val="007F4384"/>
    <w:rsid w:val="008376F5"/>
    <w:rsid w:val="00875D37"/>
    <w:rsid w:val="00976A75"/>
    <w:rsid w:val="00A71F6F"/>
    <w:rsid w:val="00AF6A50"/>
    <w:rsid w:val="00B40B3B"/>
    <w:rsid w:val="00B447F5"/>
    <w:rsid w:val="00B93AAE"/>
    <w:rsid w:val="00B95C68"/>
    <w:rsid w:val="00BE1DC6"/>
    <w:rsid w:val="00C1547A"/>
    <w:rsid w:val="00C6041E"/>
    <w:rsid w:val="00CE3C9A"/>
    <w:rsid w:val="00E14000"/>
    <w:rsid w:val="00EC7F58"/>
    <w:rsid w:val="00F31760"/>
    <w:rsid w:val="00F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AE1DD-455A-43C2-8FF8-3961CAB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6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rsid w:val="007E7155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Theme="minorEastAsia" w:hAnsi="TimesNewRomanPSMT" w:cs="TimesNewRomanPSMT"/>
      <w:lang w:eastAsia="zh-CN"/>
    </w:rPr>
  </w:style>
  <w:style w:type="paragraph" w:styleId="Odstavecseseznamem">
    <w:name w:val="List Paragraph"/>
    <w:basedOn w:val="Normln"/>
    <w:uiPriority w:val="34"/>
    <w:qFormat/>
    <w:rsid w:val="002768E7"/>
    <w:pPr>
      <w:ind w:left="720"/>
      <w:contextualSpacing/>
    </w:pPr>
  </w:style>
  <w:style w:type="table" w:styleId="Mkatabulky">
    <w:name w:val="Table Grid"/>
    <w:basedOn w:val="Normlntabulka"/>
    <w:uiPriority w:val="59"/>
    <w:rsid w:val="000531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25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559"/>
  </w:style>
  <w:style w:type="paragraph" w:styleId="Zpat">
    <w:name w:val="footer"/>
    <w:basedOn w:val="Normln"/>
    <w:link w:val="ZpatChar"/>
    <w:uiPriority w:val="99"/>
    <w:unhideWhenUsed/>
    <w:rsid w:val="006225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Máj</dc:creator>
  <cp:lastModifiedBy>Iveta_Chmelarova</cp:lastModifiedBy>
  <cp:revision>3</cp:revision>
  <cp:lastPrinted>2018-11-28T08:48:00Z</cp:lastPrinted>
  <dcterms:created xsi:type="dcterms:W3CDTF">2018-11-28T09:32:00Z</dcterms:created>
  <dcterms:modified xsi:type="dcterms:W3CDTF">2018-12-05T10:47:00Z</dcterms:modified>
</cp:coreProperties>
</file>