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center"/>
        <w:rPr>
          <w:color w:val="000000"/>
        </w:rPr>
      </w:pPr>
      <w:r>
        <w:rPr>
          <w:color w:val="000000"/>
        </w:rPr>
        <w:t>SMLOUVA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center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center"/>
        <w:rPr>
          <w:color w:val="000000"/>
        </w:rPr>
      </w:pPr>
      <w:r>
        <w:rPr>
          <w:color w:val="000000"/>
        </w:rPr>
        <w:t>o spolupráci při realizaci uměleckého pořadu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b/>
        </w:rPr>
        <w:t>Reklama na severu</w:t>
      </w:r>
      <w:r>
        <w:rPr>
          <w:b/>
          <w:color w:val="000000"/>
        </w:rPr>
        <w:t xml:space="preserve"> s r. o. 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se sídlem P</w:t>
      </w:r>
      <w:r>
        <w:t>růchodní 104, Děčín, 40502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IČ: 28</w:t>
      </w:r>
      <w:r>
        <w:t>692616</w:t>
      </w:r>
      <w:r>
        <w:rPr>
          <w:color w:val="000000"/>
        </w:rPr>
        <w:t>, DIČ: CZ28</w:t>
      </w:r>
      <w:r>
        <w:t>692616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za niž jedná pan Jiří Klement, jednatel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 xml:space="preserve">bankovní spojení: </w:t>
      </w:r>
      <w:proofErr w:type="spellStart"/>
      <w:r>
        <w:rPr>
          <w:color w:val="000000"/>
        </w:rPr>
        <w:t>Fio</w:t>
      </w:r>
      <w:proofErr w:type="spellEnd"/>
      <w:r>
        <w:rPr>
          <w:color w:val="000000"/>
        </w:rPr>
        <w:t xml:space="preserve"> banka., č.</w:t>
      </w:r>
      <w:r w:rsidR="00470E11">
        <w:rPr>
          <w:color w:val="000000"/>
        </w:rPr>
        <w:t xml:space="preserve"> </w:t>
      </w:r>
      <w:r>
        <w:rPr>
          <w:color w:val="000000"/>
        </w:rPr>
        <w:t xml:space="preserve">účtu 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(dále jen Agentura)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a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4D23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rPr>
          <w:color w:val="000000"/>
        </w:rPr>
      </w:pPr>
      <w:r>
        <w:rPr>
          <w:b/>
        </w:rPr>
        <w:t>Dům kultury Ostrov, příspěvková organizace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</w:pPr>
      <w:r>
        <w:t>se sídlem</w:t>
      </w:r>
      <w:r w:rsidR="004D23A5">
        <w:t xml:space="preserve"> Mírové nám. 733, 363 01 Ostrov</w:t>
      </w:r>
    </w:p>
    <w:p w:rsidR="004D23A5" w:rsidRDefault="004D23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rPr>
          <w:color w:val="000000"/>
        </w:rPr>
      </w:pPr>
      <w:r>
        <w:t>IČ: 00520136, DIČ: CZ00520136</w:t>
      </w:r>
    </w:p>
    <w:p w:rsidR="00081979" w:rsidRDefault="004D23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rPr>
          <w:color w:val="000000"/>
        </w:rPr>
      </w:pPr>
      <w:r>
        <w:rPr>
          <w:color w:val="000000"/>
        </w:rPr>
        <w:t>Z</w:t>
      </w:r>
      <w:r w:rsidR="009F0459">
        <w:rPr>
          <w:color w:val="000000"/>
        </w:rPr>
        <w:t>astoupená</w:t>
      </w:r>
      <w:r>
        <w:rPr>
          <w:color w:val="000000"/>
        </w:rPr>
        <w:t xml:space="preserve"> Ing. Miroslavem Očenáškem, ředitelem DK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(dále jen Pořadatel)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Preambule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 xml:space="preserve">Agentura prohlašuje, že na základě uzavřené smlouvy zastupuje Lucii Bílou a Petra </w:t>
      </w:r>
      <w:proofErr w:type="spellStart"/>
      <w:r>
        <w:rPr>
          <w:color w:val="000000"/>
        </w:rPr>
        <w:t>Maláska</w:t>
      </w:r>
      <w:proofErr w:type="spellEnd"/>
      <w:r>
        <w:rPr>
          <w:color w:val="000000"/>
        </w:rPr>
        <w:t xml:space="preserve"> a v tom rámci je oprávněna sjednávat podmínky jejího vystoupení </w:t>
      </w:r>
      <w:proofErr w:type="spellStart"/>
      <w:r>
        <w:rPr>
          <w:color w:val="000000"/>
        </w:rPr>
        <w:t>m.j</w:t>
      </w:r>
      <w:proofErr w:type="spellEnd"/>
      <w:r>
        <w:rPr>
          <w:color w:val="000000"/>
        </w:rPr>
        <w:t>. v rámci koncertu.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 xml:space="preserve">Předmětem této smlouvy je sjednání podmínek </w:t>
      </w:r>
      <w:r>
        <w:t>recitálu</w:t>
      </w:r>
      <w:r>
        <w:rPr>
          <w:color w:val="000000"/>
        </w:rPr>
        <w:t xml:space="preserve"> Lucie Bílé a úprava práv a závazků Agentury a Pořadatele.  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ČASOVÝ ROZVRH VYSTOUPENÍ:</w:t>
      </w:r>
    </w:p>
    <w:p w:rsidR="00F3562B" w:rsidRDefault="00F356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color w:val="000000"/>
        </w:rPr>
      </w:pPr>
    </w:p>
    <w:p w:rsidR="00081979" w:rsidRPr="00F3562B" w:rsidRDefault="009F04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b/>
        </w:rPr>
      </w:pPr>
      <w:r>
        <w:rPr>
          <w:color w:val="000000"/>
        </w:rPr>
        <w:t xml:space="preserve">Datum vystoupení: </w:t>
      </w:r>
      <w:r w:rsidR="00DA2A6B" w:rsidRPr="00F3562B">
        <w:rPr>
          <w:b/>
          <w:color w:val="000000"/>
        </w:rPr>
        <w:t>19. 3. 2019</w:t>
      </w:r>
    </w:p>
    <w:p w:rsidR="00081979" w:rsidRPr="00F3562B" w:rsidRDefault="009F04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b/>
        </w:rPr>
      </w:pPr>
      <w:r>
        <w:rPr>
          <w:color w:val="000000"/>
        </w:rPr>
        <w:t xml:space="preserve">Název akce: </w:t>
      </w:r>
      <w:r w:rsidRPr="00F3562B">
        <w:rPr>
          <w:b/>
        </w:rPr>
        <w:t>Lucie Bílá - recitál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 xml:space="preserve">Místo konání:  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color w:val="000000"/>
        </w:rPr>
      </w:pPr>
      <w:proofErr w:type="gramStart"/>
      <w:r>
        <w:rPr>
          <w:color w:val="000000"/>
        </w:rPr>
        <w:t>Příjezd  techniky</w:t>
      </w:r>
      <w:proofErr w:type="gramEnd"/>
      <w:r>
        <w:rPr>
          <w:color w:val="000000"/>
        </w:rPr>
        <w:t xml:space="preserve"> na místo: 1</w:t>
      </w:r>
      <w:r>
        <w:t>4</w:t>
      </w:r>
      <w:r>
        <w:rPr>
          <w:color w:val="000000"/>
        </w:rPr>
        <w:t>,00 hodin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Zvuková zkouška: 1</w:t>
      </w:r>
      <w:r>
        <w:t>8</w:t>
      </w:r>
      <w:r>
        <w:rPr>
          <w:color w:val="000000"/>
        </w:rPr>
        <w:t>,</w:t>
      </w:r>
      <w:r>
        <w:t>0</w:t>
      </w:r>
      <w:r>
        <w:rPr>
          <w:color w:val="000000"/>
        </w:rPr>
        <w:t>0 hodin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 xml:space="preserve">Pouštění do sálu: </w:t>
      </w:r>
      <w:r>
        <w:t>30 min před vystoupením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 xml:space="preserve">Začátek vystoupení:  </w:t>
      </w:r>
      <w:r>
        <w:t>19</w:t>
      </w:r>
      <w:r>
        <w:rPr>
          <w:color w:val="000000"/>
        </w:rPr>
        <w:t>,00 hodin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 xml:space="preserve">Doba trvání vystoupení: </w:t>
      </w:r>
      <w:r>
        <w:t>9</w:t>
      </w:r>
      <w:r>
        <w:rPr>
          <w:color w:val="000000"/>
        </w:rPr>
        <w:t>0 minut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F3562B" w:rsidRDefault="00F3562B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2) ODMĚNA  A PLATEBNÍ PODMÍNKY</w:t>
      </w:r>
    </w:p>
    <w:p w:rsidR="0089726F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 xml:space="preserve">a) </w:t>
      </w:r>
      <w:r w:rsidR="0089726F">
        <w:rPr>
          <w:color w:val="000000"/>
        </w:rPr>
        <w:t>Smluvní podíl za uskutečněný koncert</w:t>
      </w:r>
      <w:r w:rsidR="00DA2A6B">
        <w:rPr>
          <w:color w:val="000000"/>
        </w:rPr>
        <w:t xml:space="preserve"> </w:t>
      </w:r>
      <w:r w:rsidR="0089726F">
        <w:rPr>
          <w:color w:val="000000"/>
        </w:rPr>
        <w:t xml:space="preserve">je </w:t>
      </w:r>
      <w:r w:rsidR="00DA2A6B">
        <w:rPr>
          <w:color w:val="000000"/>
        </w:rPr>
        <w:t>90</w:t>
      </w:r>
      <w:r w:rsidR="00470E11">
        <w:rPr>
          <w:color w:val="000000"/>
        </w:rPr>
        <w:t xml:space="preserve"> </w:t>
      </w:r>
      <w:r w:rsidR="00DA2A6B">
        <w:rPr>
          <w:color w:val="000000"/>
        </w:rPr>
        <w:t>% z celkové tržby za prodané vstupenky včetně DPH pro</w:t>
      </w:r>
      <w:r w:rsidR="0089726F">
        <w:rPr>
          <w:color w:val="000000"/>
        </w:rPr>
        <w:t xml:space="preserve"> agenturu </w:t>
      </w:r>
      <w:r w:rsidR="00470E11">
        <w:rPr>
          <w:color w:val="000000"/>
        </w:rPr>
        <w:t>–</w:t>
      </w:r>
      <w:r w:rsidR="0089726F">
        <w:rPr>
          <w:color w:val="000000"/>
        </w:rPr>
        <w:t xml:space="preserve"> </w:t>
      </w:r>
      <w:r w:rsidR="00DA2A6B">
        <w:rPr>
          <w:color w:val="000000"/>
        </w:rPr>
        <w:t>Reklama na severu s.r.o. a 10</w:t>
      </w:r>
      <w:r w:rsidR="00470E11">
        <w:rPr>
          <w:color w:val="000000"/>
        </w:rPr>
        <w:t xml:space="preserve"> </w:t>
      </w:r>
      <w:r w:rsidR="00DA2A6B">
        <w:rPr>
          <w:color w:val="000000"/>
        </w:rPr>
        <w:t>% vč</w:t>
      </w:r>
      <w:r w:rsidR="0089726F">
        <w:rPr>
          <w:color w:val="000000"/>
        </w:rPr>
        <w:t>e</w:t>
      </w:r>
      <w:r w:rsidR="00DA2A6B">
        <w:rPr>
          <w:color w:val="000000"/>
        </w:rPr>
        <w:t>tně DPH pro Dům kultury Ostrov.</w:t>
      </w:r>
    </w:p>
    <w:p w:rsidR="00F3562B" w:rsidRDefault="00F3562B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89726F" w:rsidRDefault="00F3562B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 xml:space="preserve">b) </w:t>
      </w:r>
      <w:r w:rsidR="00DA2A6B">
        <w:rPr>
          <w:color w:val="000000"/>
        </w:rPr>
        <w:t>Splatnost</w:t>
      </w:r>
      <w:r>
        <w:rPr>
          <w:color w:val="000000"/>
        </w:rPr>
        <w:t xml:space="preserve"> faktury </w:t>
      </w:r>
      <w:r w:rsidR="00DA2A6B">
        <w:rPr>
          <w:color w:val="000000"/>
        </w:rPr>
        <w:t>do 3 dnů od konání akce na základě vystavené faktury od</w:t>
      </w:r>
      <w:r w:rsidR="0089726F">
        <w:rPr>
          <w:color w:val="000000"/>
        </w:rPr>
        <w:t xml:space="preserve"> Agentury</w:t>
      </w:r>
      <w:r w:rsidR="00DA2A6B">
        <w:rPr>
          <w:color w:val="000000"/>
        </w:rPr>
        <w:t xml:space="preserve"> Reklama na severu přev</w:t>
      </w:r>
      <w:bookmarkStart w:id="0" w:name="_GoBack"/>
      <w:bookmarkEnd w:id="0"/>
      <w:r w:rsidR="00DA2A6B">
        <w:rPr>
          <w:color w:val="000000"/>
        </w:rPr>
        <w:t>odem na její účet</w:t>
      </w:r>
      <w:r w:rsidR="0089726F">
        <w:rPr>
          <w:color w:val="000000"/>
        </w:rPr>
        <w:t>. Ihned po zahájení koncertu bude zástupci agentury předáno řádné vyúčtování – výjezd z </w:t>
      </w:r>
      <w:proofErr w:type="spellStart"/>
      <w:r w:rsidR="0089726F">
        <w:rPr>
          <w:color w:val="000000"/>
        </w:rPr>
        <w:t>Colossea</w:t>
      </w:r>
      <w:proofErr w:type="spellEnd"/>
      <w:r w:rsidR="0089726F">
        <w:rPr>
          <w:color w:val="000000"/>
        </w:rPr>
        <w:t xml:space="preserve"> na základě které bude agenturou vyhotovena faktura. 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F3562B" w:rsidRDefault="00F3562B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F3562B" w:rsidRDefault="00F3562B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F3562B" w:rsidRDefault="00F3562B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 xml:space="preserve">c) Veškeré náklady musí mít Pořadatel schválené od Agentury písemně formou elektronické komunikace. V případě, že Pořadatel nebude mít písemně schválený náklad, nebude na něj při vyúčtování brán zřetel. 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d) Celkové odměny obou stran jsou konečné</w:t>
      </w:r>
      <w:r w:rsidR="00470E11">
        <w:rPr>
          <w:color w:val="000000"/>
        </w:rPr>
        <w:t>,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a  zahrnují</w:t>
      </w:r>
      <w:proofErr w:type="gramEnd"/>
      <w:r>
        <w:rPr>
          <w:color w:val="000000"/>
        </w:rPr>
        <w:t xml:space="preserve"> v sobě veškeré výdaje a náklady spojené s plněním této smlouvy.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3) PLAKÁTY, INZERÁTY A PUBLIC RELATIONS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Agentura doručí Pořadateli předem dohodnutý počet plakátů A2, které Pořadatel využije k maximální propagaci projektu. Na požádání Pořadatele Agentury vyrobí inzeráty v požadované velikosti a barevnosti. Zástupce poskytne články a rozhovory s Lucií Bílou.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4) KONTROLA U VCHODŮ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Pořadatel zajistí co nejúčinnější kontrolu diváků a zamezí tím vnášení nebezpečných předmětů, které by mohly ohrozit zdraví jiných osob, tj. výbušniny, střelné zbraně, nože, nápoje ve skleněných a plechových obalech.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5) POVINNOSTI AGENTURY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 xml:space="preserve">a) </w:t>
      </w:r>
      <w:r>
        <w:rPr>
          <w:color w:val="000000"/>
        </w:rPr>
        <w:tab/>
        <w:t xml:space="preserve">aby se účinkující dostavili na místo vystoupení včas a mohli tak v dohodnutou dobu zahájit své vystoupení. Agentura však neodpovídá za případné zdržení umělců z důvodu úrazu způsobené během cesty nebo na místě vystoupení či z důvodu vyšší moci, 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 xml:space="preserve">b) </w:t>
      </w:r>
      <w:r>
        <w:rPr>
          <w:color w:val="000000"/>
        </w:rPr>
        <w:tab/>
        <w:t xml:space="preserve">vystoupení Petra </w:t>
      </w:r>
      <w:proofErr w:type="spellStart"/>
      <w:r>
        <w:rPr>
          <w:color w:val="000000"/>
        </w:rPr>
        <w:t>Maláska</w:t>
      </w:r>
      <w:proofErr w:type="spellEnd"/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 xml:space="preserve">c) </w:t>
      </w:r>
      <w:r>
        <w:rPr>
          <w:color w:val="000000"/>
        </w:rPr>
        <w:tab/>
        <w:t>dopravu účinkujících,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 xml:space="preserve">d) </w:t>
      </w:r>
      <w:r>
        <w:rPr>
          <w:color w:val="000000"/>
        </w:rPr>
        <w:tab/>
        <w:t>Lucii Bílé vizážistu a kostyméra, nezbytné k jejímu vystoupení.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 xml:space="preserve">e) </w:t>
      </w:r>
      <w:r>
        <w:rPr>
          <w:color w:val="000000"/>
        </w:rPr>
        <w:tab/>
        <w:t xml:space="preserve">ozvučení a osvětlení koncertu, včetně dopravy, přičemž pořadatel je povinen akceptovat technické dispozice, které jsou nedílnou součástí této smlouvy 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proofErr w:type="gramStart"/>
      <w:r>
        <w:rPr>
          <w:color w:val="000000"/>
        </w:rPr>
        <w:t>f )</w:t>
      </w:r>
      <w:proofErr w:type="gramEnd"/>
      <w:r>
        <w:rPr>
          <w:color w:val="000000"/>
        </w:rPr>
        <w:t xml:space="preserve">     opatřit si svolení k užití uměleckých děl u OSA a této společnosti na vlastní náklady uhradit náklady spojené s užitím autorského díla.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5.1)</w:t>
      </w:r>
      <w:r>
        <w:rPr>
          <w:color w:val="000000"/>
        </w:rPr>
        <w:tab/>
        <w:t>Pořadatel se touto smlouvou zavazuje zajistit: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  <w:t xml:space="preserve">propagaci koncertu tak, aby byla zajištěna návštěvnost odpovídající vystoupení Lucie Bílé, tj. obsazenost míst v rozsahu minimálně tří čtvrtin kapacity sálu, jinak je Zástupce oprávněn od smlouvy odstoupit, 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  <w:t>zdarma předprodej vstupenek, nájem sálu a pořadatelskou službu, plus pódium, jež bude vyhovovat hygienickým a bezpečnostním požadavkům na vystoupení, tj. řádně připravit vystoupení,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  <w:t>technické požadavky, které jsou nedílnou součástí této smlouvy.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  <w:t xml:space="preserve">samostatnou uzamykatelnou řádně vybavenou šatnu pro Lucii Bílou a větší šatnu pro sbor dle podmínek pro účinkující, jež jsou nedílnou součástí této smlouvy </w:t>
      </w:r>
      <w:proofErr w:type="gramStart"/>
      <w:r>
        <w:rPr>
          <w:color w:val="000000"/>
        </w:rPr>
        <w:t>( po</w:t>
      </w:r>
      <w:proofErr w:type="gramEnd"/>
      <w:r>
        <w:rPr>
          <w:color w:val="000000"/>
        </w:rPr>
        <w:t xml:space="preserve"> dohodě se zástupcem agentury pouze 1 šatna)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  <w:t xml:space="preserve">hlídané parkování pro </w:t>
      </w:r>
      <w:r>
        <w:t>8</w:t>
      </w:r>
      <w:r>
        <w:rPr>
          <w:color w:val="000000"/>
        </w:rPr>
        <w:t xml:space="preserve"> osobních automobilů a nákladní automobil v místě konání koncertu od příjezdu vystupujících na místo až do jejich odjezdu,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f)    aby před zahájením ani v průběhu vystoupení nebyly pořizovány žádné profesionální záznamy ani přenosy uměleckých výkonů bez písemného souhlasu agentury, jež v případě porušení tohoto závazku je oprávněna požadovat smluvní pokutu ve výši 500.000 Kč,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g)     aby v průběhu vystoupení nebylo podáváno ani konzumováno žádné občerstvení v těsné blízkosti pódia a aby před zahájením vystoupení, v jeho průběhu i po jeho skončení byl prostor pódia a zákulisí střežen proti vstupu jakýchkoliv nepovolaných osob,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 xml:space="preserve">i)      rezervovat Agentuře max. </w:t>
      </w:r>
      <w:r>
        <w:t>1</w:t>
      </w:r>
      <w:r>
        <w:rPr>
          <w:color w:val="000000"/>
        </w:rPr>
        <w:t>0 vstupenek na koncert v šesté řadě</w:t>
      </w:r>
      <w:r>
        <w:t>. Zároveň si může pořadatel ponechat 6 volných vstupenek pro vlastní potřebu.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lastRenderedPageBreak/>
        <w:t>j)     vyhrazený prostor (stolek + židle) pro prodej suvenýrů (CD, DVD apod.) Lucie Bílé divákům koncertu v blízkosti šatny či místa vstupu a východu diváků na koncert vč. případného svolení provozovatele zařízení.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 xml:space="preserve">k)     zajistí, aby při prodeji vstupenek byla </w:t>
      </w:r>
      <w:r>
        <w:rPr>
          <w:color w:val="000000"/>
          <w:u w:val="single"/>
        </w:rPr>
        <w:t xml:space="preserve">rezervace možná max. </w:t>
      </w:r>
      <w:r>
        <w:rPr>
          <w:u w:val="single"/>
        </w:rPr>
        <w:t>7</w:t>
      </w:r>
      <w:r>
        <w:rPr>
          <w:color w:val="000000"/>
          <w:u w:val="single"/>
        </w:rPr>
        <w:t xml:space="preserve"> dní</w:t>
      </w:r>
      <w:r>
        <w:rPr>
          <w:color w:val="000000"/>
        </w:rPr>
        <w:t>. Posledních 7 dní před koncertem nesmí pořadatel dělat rezervace vstupenek. V případě nedodržení tohoto bodu, ztrácí Pořadatel nárok na odměnu.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6) STORNO PODMÍNKY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Bude-li vystoupení znemožněno v důsledku nepředvídatelné události, ležící mimo smluvní strany (přírodní katastrofa, úraz, epidemie, náhlá nemoc</w:t>
      </w:r>
      <w:r w:rsidR="00470E11">
        <w:rPr>
          <w:color w:val="000000"/>
        </w:rPr>
        <w:t xml:space="preserve">, </w:t>
      </w:r>
      <w:r>
        <w:rPr>
          <w:color w:val="000000"/>
        </w:rPr>
        <w:t>úmrtí, havárie, úřední zákaz), mají obě smluvní strany právo od smlouvy odstoupit bez jakýchkoliv nároků na finanční úhradu škody, avšak po předchozím průkazném vyrozumění.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7) DALŠÍ USTANOVENÍ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Smlouva podepsaná ze strany Pořadatele musí být vrácena na adresu Agentury nejpozději do 7 dnů ode dne doručení Pořadateli.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 xml:space="preserve">Výběr repertoáru je výhradně v kompetenci Lucie Bílé. 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Touto smlouvou se neuděluje pořadateli svolení ke komerčnímu využití jmen, podobizen, obrazových snímků a obrazových či zvukových záznamů, či jiných projevů osobní povahy Lucie Bílé ani dalších výkonných umělců, s výjimkou podkladů předaných agenturou k propagaci koncertu. Propagační materiál jakékoliv povahy pořadatel poskytne předem k písemnému schválení agentuře. V případě, že tak pořadatel neučiní, bude toto užití posuzováno jako porušení autorského zákona.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 xml:space="preserve">Na pódiu a v blízkém okolí nesmí být umístěno žádné logo či jiný reklamní poutač. Pořadatel se zavazuje dodat agentuře předem ke schválení umístění log reklamních partnerů v místě vystoupení a na případných propagačních tiskovinách (pozvánky, vstupenky, plakáty atd.). 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Pořadatel se zavazuje, že koncert dle této smlouvy, nebude bez písemného souhlasu agentury nijak spojen s jakýmkoliv komerčním nebo politickým subjektem a na scéně nevystoupí kromě výkonných umělců dle bodového scénáře schváleného agenturou žádná osoba spojená s politickou stranou či jinak veřejně činná. Pro případ porušení tohoto závazku je agentura oprávněna odstoupit od smlouvy a požadovat na pořadateli smluvní pokutu ve výši sjednané ceny dle čl. IV této smlouvy. Uhrazená cena bude</w:t>
      </w:r>
      <w:r>
        <w:rPr>
          <w:i/>
          <w:color w:val="000000"/>
        </w:rPr>
        <w:t xml:space="preserve"> </w:t>
      </w:r>
      <w:r>
        <w:rPr>
          <w:color w:val="000000"/>
        </w:rPr>
        <w:t>považována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za uhrazenou smluvní pokutu. 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Smluvní strany se zavazují, že o všech důvěrných a utajovaných informacích a skutečnostech, o kterých se dozví v průběhu vzájemné spolupráce, budou zachovávat mlčení po celou dobu trvání smlouvy i po jejím skončení. Za důvěrné a utajované informace, které jsou takto jako takové označeny, anebo jsou takového charakteru, že mohou v případě zveřejnění přivodit kterékoliv smluvní straně újmu bez ohledu na to, zda mají povahu osobních, obchodních či jiných informací. Smluvní strany se každá zavazují, že důvěrné a utajované informace nebudou šířit sami ani prostřednictvím třetích osob.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Po přečtení této smlouvy obě strany potvrzují, že její obsah, ustanovení, práva a závazky v ní odpovídají jejich pravdivým a svobodným záměrům, a tato smlouva byla uzavřena na základě vzájemné dohody nikoliv ve stavu nouze, ani nápadně nevýhodných podmínek.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8) ZÁVĚREČNÁ USTANOVENÍ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 xml:space="preserve">Tato smlouva je vyhotovena ve dvou originálech, z nichž každá ze smluvních stran obdrží po jednom </w:t>
      </w:r>
      <w:r>
        <w:rPr>
          <w:color w:val="000000"/>
        </w:rPr>
        <w:lastRenderedPageBreak/>
        <w:t>exempláři.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Tato smlouva je v souladu se zákony České republiky a všechny případné spory budou řešeny především dohodou smluvních stran. V případě, že se smluvní strany nedohodnou smírnou cestou, pak všechny spory podléhají řešení soudu místně příslušnému zástupci.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Tato smlouva vstupuje v platnost a účinnost dnem jejího podpisu oběma stranami.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color w:val="000000"/>
        </w:rPr>
      </w:pPr>
      <w:r>
        <w:rPr>
          <w:color w:val="000000"/>
        </w:rPr>
        <w:t>Osoby jednající za smluvní strany potvrzují, že jsou starší osmnácti let, a že jsou oprávněny k uzavření této smlouvy.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  <w:r>
        <w:rPr>
          <w:color w:val="000000"/>
        </w:rPr>
        <w:t>V Praze dne……………….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V …............. dne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……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  <w:r>
        <w:rPr>
          <w:color w:val="000000"/>
        </w:rPr>
        <w:t>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……………………………..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  <w:r>
        <w:rPr>
          <w:color w:val="000000"/>
        </w:rPr>
        <w:t xml:space="preserve">Zástupce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Agentura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i/>
          <w:color w:val="000000"/>
        </w:rPr>
      </w:pPr>
      <w:r>
        <w:rPr>
          <w:i/>
          <w:color w:val="000000"/>
        </w:rPr>
        <w:t>Příloha: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i/>
          <w:color w:val="000000"/>
        </w:rPr>
      </w:pPr>
      <w:r>
        <w:rPr>
          <w:i/>
          <w:color w:val="000000"/>
        </w:rPr>
        <w:t>1</w:t>
      </w:r>
      <w:r w:rsidR="00470E11">
        <w:rPr>
          <w:i/>
          <w:color w:val="000000"/>
        </w:rPr>
        <w:t xml:space="preserve"> </w:t>
      </w:r>
      <w:r>
        <w:rPr>
          <w:i/>
          <w:color w:val="000000"/>
        </w:rPr>
        <w:t>technické požadavky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i/>
          <w:color w:val="000000"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ind w:left="360"/>
        <w:contextualSpacing w:val="0"/>
        <w:rPr>
          <w:i/>
          <w:color w:val="000000"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  <w:color w:val="000000"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  <w:color w:val="000000"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  <w:color w:val="000000"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  <w:color w:val="000000"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14CF5" w:rsidRDefault="00014CF5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14CF5" w:rsidRDefault="00014CF5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14CF5" w:rsidRDefault="00014CF5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14CF5" w:rsidRDefault="00014CF5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  <w:color w:val="000000"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  <w:color w:val="000000"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i/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jc w:val="center"/>
        <w:rPr>
          <w:color w:val="000000"/>
        </w:rPr>
      </w:pPr>
      <w:r>
        <w:rPr>
          <w:color w:val="000000"/>
        </w:rPr>
        <w:t>TECHNICKÉ POŽADAVKY LUCIE BÍLÁ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</w:p>
    <w:p w:rsidR="00081979" w:rsidRDefault="009F04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color w:val="000000"/>
        </w:rPr>
        <w:t>Podmínky pro technický tým: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ind w:left="1410" w:hanging="1050"/>
        <w:contextualSpacing w:val="0"/>
        <w:rPr>
          <w:color w:val="000000"/>
        </w:rPr>
      </w:pPr>
      <w:r>
        <w:rPr>
          <w:color w:val="000000"/>
        </w:rPr>
        <w:t>Pódium:</w:t>
      </w:r>
      <w:r>
        <w:rPr>
          <w:color w:val="000000"/>
        </w:rPr>
        <w:tab/>
        <w:t xml:space="preserve">vyvýšené pódium cca 0,75 m nad úrovní podlahy diváků o rozměru min.7,5 x 5,3 m. 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ind w:left="360"/>
        <w:contextualSpacing w:val="0"/>
        <w:rPr>
          <w:i/>
          <w:color w:val="000000"/>
        </w:rPr>
      </w:pPr>
      <w:r>
        <w:rPr>
          <w:color w:val="000000"/>
        </w:rPr>
        <w:t xml:space="preserve">Zásuvky: </w:t>
      </w:r>
      <w:r>
        <w:rPr>
          <w:i/>
          <w:color w:val="000000"/>
        </w:rPr>
        <w:tab/>
        <w:t>1x 380V/ 32A (64A) na jevišti pro světla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i/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ind w:left="1410" w:hanging="1050"/>
        <w:contextualSpacing w:val="0"/>
        <w:rPr>
          <w:color w:val="000000"/>
        </w:rPr>
      </w:pPr>
      <w:r>
        <w:rPr>
          <w:color w:val="000000"/>
        </w:rPr>
        <w:t xml:space="preserve">Prostor: </w:t>
      </w:r>
      <w:r>
        <w:rPr>
          <w:color w:val="000000"/>
        </w:rPr>
        <w:tab/>
        <w:t>min. 2x 1,5m po obou stranách jeviště pro reprosoustavy, 1 – 1,5m nad úrovní hlediště (</w:t>
      </w:r>
      <w:proofErr w:type="spellStart"/>
      <w:proofErr w:type="gramStart"/>
      <w:r>
        <w:rPr>
          <w:color w:val="000000"/>
        </w:rPr>
        <w:t>popř.praktikáble</w:t>
      </w:r>
      <w:proofErr w:type="spellEnd"/>
      <w:proofErr w:type="gramEnd"/>
      <w:r>
        <w:rPr>
          <w:color w:val="000000"/>
        </w:rPr>
        <w:t>), min. 3x2,5m v akustickém středu sálu pro zvukový pult. (k dispozici min. 1 stůl cca 1x1,5m, tři židle), nebo 4 místa v řadě a dvě řady nad sebou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ind w:left="1410" w:hanging="1050"/>
        <w:contextualSpacing w:val="0"/>
        <w:jc w:val="both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ind w:left="283"/>
        <w:contextualSpacing w:val="0"/>
        <w:jc w:val="both"/>
        <w:rPr>
          <w:color w:val="000000"/>
        </w:rPr>
      </w:pPr>
      <w:r>
        <w:rPr>
          <w:color w:val="000000"/>
        </w:rPr>
        <w:t xml:space="preserve">Přístup do sálu je nutno umožnit cca 4 </w:t>
      </w:r>
      <w:proofErr w:type="spellStart"/>
      <w:proofErr w:type="gramStart"/>
      <w:r>
        <w:rPr>
          <w:color w:val="000000"/>
        </w:rPr>
        <w:t>hod.před</w:t>
      </w:r>
      <w:proofErr w:type="spellEnd"/>
      <w:proofErr w:type="gramEnd"/>
      <w:r>
        <w:rPr>
          <w:color w:val="000000"/>
        </w:rPr>
        <w:t xml:space="preserve"> začátkem akce. V případě dobrého přístupu na jeviště zajistit na tuto dobu dva pomocníky na stěhování aparatury, v případě obtížného přístupu (schody, delší vzdálenost apod.) čtyři pomocníků na stěhování aparatury. Stejný počet pomocníků zajistit i po skončení koncertu, přičemž likvidace trvá cca 2 hodiny.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ind w:left="283"/>
        <w:contextualSpacing w:val="0"/>
        <w:rPr>
          <w:color w:val="000000"/>
        </w:rPr>
      </w:pPr>
      <w:r>
        <w:rPr>
          <w:color w:val="000000"/>
        </w:rPr>
        <w:t>Od příjezdu techniky, po celou dobu, až do odjezdu musí být přítomen a k dispozici místní elektrikář a odpovědný zástupce pořadatele, kompetentní řešit vzniklé problémy.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ind w:left="283"/>
        <w:contextualSpacing w:val="0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ind w:left="283"/>
        <w:contextualSpacing w:val="0"/>
        <w:rPr>
          <w:color w:val="000000"/>
        </w:rPr>
      </w:pPr>
      <w:r>
        <w:rPr>
          <w:color w:val="000000"/>
        </w:rPr>
        <w:t xml:space="preserve">Případné konzultace technického rázu řešit s p. </w:t>
      </w:r>
      <w:proofErr w:type="spellStart"/>
      <w:r w:rsidR="00470E11">
        <w:rPr>
          <w:color w:val="FF0000"/>
        </w:rPr>
        <w:t>xxxxxx</w:t>
      </w:r>
      <w:proofErr w:type="spellEnd"/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ind w:left="283"/>
        <w:contextualSpacing w:val="0"/>
        <w:rPr>
          <w:color w:val="000000"/>
        </w:rPr>
      </w:pPr>
    </w:p>
    <w:p w:rsidR="00081979" w:rsidRDefault="009F04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</w:pPr>
      <w:r>
        <w:rPr>
          <w:color w:val="000000"/>
        </w:rPr>
        <w:t>Podmínky pro účinkující: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ind w:left="283"/>
        <w:contextualSpacing w:val="0"/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 w:val="0"/>
      </w:pPr>
      <w:r>
        <w:t>3</w:t>
      </w:r>
      <w:r>
        <w:rPr>
          <w:color w:val="000000"/>
        </w:rPr>
        <w:t xml:space="preserve">x samostatná uzamykatelná čistá šatna (teplota min. 22 </w:t>
      </w:r>
      <w:proofErr w:type="spellStart"/>
      <w:r>
        <w:rPr>
          <w:color w:val="000000"/>
        </w:rPr>
        <w:t>st.Celsia</w:t>
      </w:r>
      <w:proofErr w:type="spellEnd"/>
      <w:r>
        <w:rPr>
          <w:color w:val="000000"/>
        </w:rPr>
        <w:t xml:space="preserve">), vybavená zrcadlem, umyvadlem (s toaletními potřebami – mýdlo, ručník apod.), věšákem s ramínky, stolem a židlemi. 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contextualSpacing w:val="0"/>
        <w:rPr>
          <w:color w:val="000000"/>
        </w:rPr>
      </w:pPr>
      <w:r>
        <w:t>12</w:t>
      </w:r>
      <w:r>
        <w:rPr>
          <w:color w:val="000000"/>
        </w:rPr>
        <w:t>x skleničky 0,3l bez loga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  <w:r>
        <w:rPr>
          <w:color w:val="000000"/>
        </w:rPr>
        <w:t>Teplota na pódiu během zkoušek a představení -  min. 18 st. Celsia.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  <w:r>
        <w:rPr>
          <w:color w:val="000000"/>
        </w:rPr>
        <w:t xml:space="preserve">Parkování pro </w:t>
      </w:r>
      <w:r>
        <w:t>5</w:t>
      </w:r>
      <w:r>
        <w:rPr>
          <w:color w:val="000000"/>
        </w:rPr>
        <w:t xml:space="preserve"> osobních vozů a nákladní vůz v bezprostřední blízkosti místa konání</w:t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  <w:r>
        <w:rPr>
          <w:color w:val="000000"/>
        </w:rPr>
        <w:t>Případné konzultace týkající se vystoupení řešit s </w:t>
      </w:r>
      <w:proofErr w:type="spellStart"/>
      <w:r w:rsidR="00470E11">
        <w:rPr>
          <w:color w:val="FF0000"/>
        </w:rPr>
        <w:t>xxxxxx</w:t>
      </w:r>
      <w:proofErr w:type="spellEnd"/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  <w:r>
        <w:rPr>
          <w:color w:val="000000"/>
        </w:rPr>
        <w:t>V Praze dne ..................... 201</w:t>
      </w:r>
      <w:r w:rsidR="00470E11">
        <w:t>8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</w:p>
    <w:p w:rsidR="00081979" w:rsidRDefault="0008197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  <w:r>
        <w:rPr>
          <w:color w:val="000000"/>
        </w:rPr>
        <w:t>......................................................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............................................. </w:t>
      </w:r>
    </w:p>
    <w:p w:rsidR="00081979" w:rsidRDefault="009F0459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tab/>
        <w:t xml:space="preserve"> za agenturu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</w:t>
      </w:r>
      <w:r>
        <w:rPr>
          <w:color w:val="000000"/>
        </w:rPr>
        <w:tab/>
      </w:r>
      <w:r>
        <w:rPr>
          <w:color w:val="000000"/>
        </w:rPr>
        <w:tab/>
        <w:t xml:space="preserve"> za pořadatele</w:t>
      </w:r>
    </w:p>
    <w:sectPr w:rsidR="00081979">
      <w:footerReference w:type="default" r:id="rId7"/>
      <w:pgSz w:w="11906" w:h="16838"/>
      <w:pgMar w:top="1134" w:right="1133" w:bottom="1418" w:left="1134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459" w:rsidRDefault="009F0459">
      <w:r>
        <w:separator/>
      </w:r>
    </w:p>
  </w:endnote>
  <w:endnote w:type="continuationSeparator" w:id="0">
    <w:p w:rsidR="009F0459" w:rsidRDefault="009F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979" w:rsidRDefault="00081979">
    <w:pPr>
      <w:pBdr>
        <w:top w:val="nil"/>
        <w:left w:val="nil"/>
        <w:bottom w:val="nil"/>
        <w:right w:val="nil"/>
        <w:between w:val="nil"/>
      </w:pBdr>
      <w:contextualSpacing w:val="0"/>
      <w:rPr>
        <w:rFonts w:ascii="Arial" w:eastAsia="Arial" w:hAnsi="Arial" w:cs="Arial"/>
        <w:color w:val="000000"/>
        <w:sz w:val="22"/>
        <w:szCs w:val="22"/>
      </w:rPr>
    </w:pPr>
  </w:p>
  <w:p w:rsidR="00081979" w:rsidRDefault="00081979">
    <w:pPr>
      <w:pBdr>
        <w:top w:val="nil"/>
        <w:left w:val="nil"/>
        <w:bottom w:val="nil"/>
        <w:right w:val="nil"/>
        <w:between w:val="nil"/>
      </w:pBdr>
      <w:contextualSpacing w:val="0"/>
      <w:rPr>
        <w:rFonts w:ascii="Arial" w:eastAsia="Arial" w:hAnsi="Arial" w:cs="Arial"/>
        <w:color w:val="000000"/>
        <w:sz w:val="22"/>
        <w:szCs w:val="22"/>
      </w:rPr>
    </w:pPr>
  </w:p>
  <w:p w:rsidR="00081979" w:rsidRDefault="00081979">
    <w:pPr>
      <w:pBdr>
        <w:top w:val="nil"/>
        <w:left w:val="nil"/>
        <w:bottom w:val="nil"/>
        <w:right w:val="nil"/>
        <w:between w:val="nil"/>
      </w:pBdr>
      <w:contextualSpacing w:val="0"/>
      <w:jc w:val="center"/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459" w:rsidRDefault="009F0459">
      <w:r>
        <w:separator/>
      </w:r>
    </w:p>
  </w:footnote>
  <w:footnote w:type="continuationSeparator" w:id="0">
    <w:p w:rsidR="009F0459" w:rsidRDefault="009F0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F3C28"/>
    <w:multiLevelType w:val="multilevel"/>
    <w:tmpl w:val="28DCF236"/>
    <w:lvl w:ilvl="0">
      <w:start w:val="1"/>
      <w:numFmt w:val="upperLetter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upperLetter"/>
      <w:lvlText w:val="%3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upperLetter"/>
      <w:lvlText w:val="%4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upperLetter"/>
      <w:lvlText w:val="%5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upperLetter"/>
      <w:lvlText w:val="%6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upperLetter"/>
      <w:lvlText w:val="%7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upperLetter"/>
      <w:lvlText w:val="%8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upperLetter"/>
      <w:lvlText w:val="%9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79"/>
    <w:rsid w:val="00014CF5"/>
    <w:rsid w:val="00081979"/>
    <w:rsid w:val="00470E11"/>
    <w:rsid w:val="004D23A5"/>
    <w:rsid w:val="006A21C0"/>
    <w:rsid w:val="0089726F"/>
    <w:rsid w:val="009F0459"/>
    <w:rsid w:val="00DA2A6B"/>
    <w:rsid w:val="00F3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F9A9"/>
  <w15:docId w15:val="{CACF9C48-3962-4BAC-B7AD-A322D491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jc w:val="both"/>
      <w:outlineLvl w:val="0"/>
    </w:pPr>
    <w:rPr>
      <w:b/>
    </w:rPr>
  </w:style>
  <w:style w:type="paragraph" w:styleId="Nadpis2">
    <w:name w:val="heading 2"/>
    <w:basedOn w:val="Normln"/>
    <w:next w:val="Normln"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dpis3">
    <w:name w:val="heading 3"/>
    <w:basedOn w:val="Normln"/>
    <w:next w:val="Normln"/>
    <w:p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dpis4">
    <w:name w:val="heading 4"/>
    <w:basedOn w:val="Normln"/>
    <w:next w:val="Normln"/>
    <w:pPr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pPr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pPr>
      <w:spacing w:before="240" w:after="60"/>
      <w:outlineLvl w:val="5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6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1484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Krajmerová</dc:creator>
  <cp:lastModifiedBy>Michaela Krajmerová</cp:lastModifiedBy>
  <cp:revision>3</cp:revision>
  <cp:lastPrinted>2018-11-26T13:06:00Z</cp:lastPrinted>
  <dcterms:created xsi:type="dcterms:W3CDTF">2018-11-30T06:12:00Z</dcterms:created>
  <dcterms:modified xsi:type="dcterms:W3CDTF">2018-12-04T12:26:00Z</dcterms:modified>
</cp:coreProperties>
</file>