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A1" w:rsidRDefault="001C279D" w:rsidP="000203A1">
      <w:pPr>
        <w:pStyle w:val="NoList1"/>
        <w:widowControl w:val="0"/>
        <w:spacing w:line="276" w:lineRule="auto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t>643-2016-11141/1</w:t>
      </w:r>
      <w:bookmarkStart w:id="0" w:name="_GoBack"/>
      <w:bookmarkEnd w:id="0"/>
      <w:r w:rsidR="000203A1"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B2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35pt;margin-top:277.85pt;width:14.15pt;height:0;flip:y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0203A1">
        <w:rPr>
          <w:rFonts w:ascii="Arial" w:eastAsia="Arial" w:hAnsi="Arial" w:cs="Arial"/>
          <w:spacing w:val="14"/>
          <w:lang w:val="cs-CZ"/>
        </w:rPr>
        <w:t xml:space="preserve"> </w:t>
      </w:r>
      <w:r w:rsidR="000203A1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0203A1" w:rsidRPr="004B0ECD" w:rsidRDefault="000203A1" w:rsidP="000203A1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4B0ECD">
        <w:rPr>
          <w:b/>
          <w:sz w:val="28"/>
          <w:szCs w:val="28"/>
        </w:rPr>
        <w:t>DODATEK č. 1</w:t>
      </w:r>
      <w:r>
        <w:rPr>
          <w:b/>
          <w:sz w:val="28"/>
          <w:szCs w:val="28"/>
        </w:rPr>
        <w:t xml:space="preserve"> ke</w:t>
      </w:r>
    </w:p>
    <w:p w:rsidR="000203A1" w:rsidRPr="00725299" w:rsidRDefault="000203A1" w:rsidP="000203A1">
      <w:pPr>
        <w:pStyle w:val="Nadpis4"/>
        <w:keepNext w:val="0"/>
        <w:widowControl w:val="0"/>
        <w:numPr>
          <w:ilvl w:val="0"/>
          <w:numId w:val="0"/>
        </w:numPr>
        <w:spacing w:after="120" w:line="276" w:lineRule="auto"/>
        <w:jc w:val="center"/>
        <w:rPr>
          <w:b/>
          <w:sz w:val="28"/>
          <w:szCs w:val="28"/>
        </w:rPr>
      </w:pPr>
      <w:r w:rsidRPr="00725299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Pr="00725299">
        <w:rPr>
          <w:b/>
          <w:sz w:val="28"/>
          <w:szCs w:val="28"/>
        </w:rPr>
        <w:t xml:space="preserve">  O  DÍLO</w:t>
      </w:r>
    </w:p>
    <w:p w:rsidR="000203A1" w:rsidRPr="007E167B" w:rsidRDefault="000203A1" w:rsidP="000203A1">
      <w:pPr>
        <w:widowControl w:val="0"/>
        <w:spacing w:line="276" w:lineRule="auto"/>
        <w:jc w:val="center"/>
        <w:rPr>
          <w:b/>
        </w:rPr>
      </w:pPr>
      <w:r w:rsidRPr="007E167B">
        <w:rPr>
          <w:b/>
        </w:rPr>
        <w:t xml:space="preserve">č. smlouvy </w:t>
      </w:r>
      <w:r w:rsidRPr="00F638BD">
        <w:rPr>
          <w:b/>
        </w:rPr>
        <w:t>643-2016-12131</w:t>
      </w:r>
    </w:p>
    <w:p w:rsidR="000203A1" w:rsidRPr="0001386E" w:rsidRDefault="000203A1" w:rsidP="000203A1">
      <w:pPr>
        <w:widowControl w:val="0"/>
        <w:spacing w:line="276" w:lineRule="auto"/>
      </w:pPr>
    </w:p>
    <w:p w:rsidR="000203A1" w:rsidRPr="0001386E" w:rsidRDefault="000203A1" w:rsidP="000203A1">
      <w:pPr>
        <w:widowControl w:val="0"/>
        <w:spacing w:line="276" w:lineRule="auto"/>
        <w:jc w:val="center"/>
        <w:rPr>
          <w:b/>
          <w:bCs/>
        </w:rPr>
      </w:pPr>
      <w:r w:rsidRPr="0001386E">
        <w:rPr>
          <w:b/>
          <w:bCs/>
        </w:rPr>
        <w:t>uzavřen</w:t>
      </w:r>
      <w:r>
        <w:rPr>
          <w:b/>
          <w:bCs/>
        </w:rPr>
        <w:t>ý</w:t>
      </w:r>
    </w:p>
    <w:p w:rsidR="000203A1" w:rsidRPr="0001386E" w:rsidRDefault="000203A1" w:rsidP="000203A1">
      <w:pPr>
        <w:widowControl w:val="0"/>
        <w:spacing w:line="276" w:lineRule="auto"/>
        <w:jc w:val="center"/>
      </w:pPr>
    </w:p>
    <w:p w:rsidR="000203A1" w:rsidRDefault="000203A1" w:rsidP="000203A1">
      <w:pPr>
        <w:widowControl w:val="0"/>
        <w:tabs>
          <w:tab w:val="left" w:pos="284"/>
          <w:tab w:val="left" w:pos="567"/>
          <w:tab w:val="left" w:pos="4820"/>
        </w:tabs>
        <w:spacing w:line="276" w:lineRule="auto"/>
        <w:ind w:left="709"/>
      </w:pPr>
      <w:r w:rsidRPr="0001386E">
        <w:t xml:space="preserve">podle § 2586 </w:t>
      </w:r>
      <w:r>
        <w:t xml:space="preserve">a násl. </w:t>
      </w:r>
      <w:r w:rsidRPr="0001386E">
        <w:t>zákona č. 89/2012 Sb., občan</w:t>
      </w:r>
      <w:r>
        <w:t>ský zákoník, ve znění pozdějších předpisů (dále jen „občanský zákoník“) ve spojení s § 2623 a násl. občanského zákoníku</w:t>
      </w:r>
    </w:p>
    <w:p w:rsidR="000203A1" w:rsidRPr="0001386E" w:rsidRDefault="000203A1" w:rsidP="000203A1">
      <w:pPr>
        <w:widowControl w:val="0"/>
        <w:tabs>
          <w:tab w:val="left" w:pos="284"/>
          <w:tab w:val="left" w:pos="567"/>
          <w:tab w:val="left" w:pos="4820"/>
        </w:tabs>
        <w:spacing w:line="276" w:lineRule="auto"/>
        <w:ind w:left="709"/>
        <w:jc w:val="center"/>
      </w:pPr>
      <w:r>
        <w:t>(dále jen „dodatek“)</w:t>
      </w:r>
    </w:p>
    <w:p w:rsidR="000203A1" w:rsidRPr="0001386E" w:rsidRDefault="000203A1" w:rsidP="000203A1">
      <w:pPr>
        <w:widowControl w:val="0"/>
        <w:tabs>
          <w:tab w:val="left" w:pos="284"/>
          <w:tab w:val="left" w:pos="567"/>
          <w:tab w:val="left" w:pos="4820"/>
        </w:tabs>
        <w:spacing w:line="276" w:lineRule="auto"/>
        <w:rPr>
          <w:b/>
        </w:rPr>
      </w:pPr>
    </w:p>
    <w:p w:rsidR="000203A1" w:rsidRPr="00C8029C" w:rsidRDefault="000203A1" w:rsidP="000203A1">
      <w:pPr>
        <w:widowControl w:val="0"/>
        <w:tabs>
          <w:tab w:val="left" w:pos="284"/>
          <w:tab w:val="left" w:pos="567"/>
          <w:tab w:val="left" w:pos="4820"/>
        </w:tabs>
        <w:spacing w:line="276" w:lineRule="auto"/>
        <w:jc w:val="center"/>
      </w:pPr>
      <w:r w:rsidRPr="00C8029C">
        <w:t xml:space="preserve">mezi smluvními stranami (dále </w:t>
      </w:r>
      <w:r>
        <w:t>jen</w:t>
      </w:r>
      <w:r w:rsidRPr="00C8029C">
        <w:t xml:space="preserve"> „smluvní strany“)</w:t>
      </w:r>
    </w:p>
    <w:p w:rsidR="000203A1" w:rsidRPr="0001386E" w:rsidRDefault="000203A1" w:rsidP="000203A1">
      <w:pPr>
        <w:pStyle w:val="Zkladntext"/>
        <w:widowControl w:val="0"/>
        <w:spacing w:line="276" w:lineRule="auto"/>
        <w:jc w:val="center"/>
        <w:rPr>
          <w:rFonts w:ascii="Arial" w:eastAsia="Arial" w:hAnsi="Arial" w:cs="Arial"/>
          <w:b/>
          <w:color w:val="auto"/>
          <w:u w:val="single"/>
        </w:rPr>
      </w:pPr>
    </w:p>
    <w:p w:rsidR="000203A1" w:rsidRPr="007A04E2" w:rsidRDefault="000203A1" w:rsidP="000203A1">
      <w:pPr>
        <w:pStyle w:val="Nadpis1"/>
        <w:keepNext w:val="0"/>
        <w:widowControl w:val="0"/>
        <w:numPr>
          <w:ilvl w:val="0"/>
          <w:numId w:val="0"/>
        </w:numPr>
        <w:spacing w:before="360" w:after="120" w:line="276" w:lineRule="auto"/>
        <w:ind w:left="284"/>
        <w:jc w:val="center"/>
        <w:rPr>
          <w:b/>
        </w:rPr>
      </w:pPr>
      <w:r w:rsidRPr="007A04E2">
        <w:rPr>
          <w:b/>
        </w:rPr>
        <w:t>SMLUVNÍ STRANY</w:t>
      </w:r>
    </w:p>
    <w:p w:rsidR="000203A1" w:rsidRDefault="000203A1" w:rsidP="000203A1">
      <w:pPr>
        <w:pStyle w:val="Normln1"/>
        <w:widowControl w:val="0"/>
        <w:numPr>
          <w:ilvl w:val="0"/>
          <w:numId w:val="1"/>
        </w:numPr>
        <w:tabs>
          <w:tab w:val="left" w:pos="142"/>
          <w:tab w:val="left" w:pos="2552"/>
          <w:tab w:val="left" w:pos="4820"/>
        </w:tabs>
        <w:suppressAutoHyphens w:val="0"/>
        <w:spacing w:line="276" w:lineRule="auto"/>
        <w:ind w:left="426" w:hanging="426"/>
        <w:rPr>
          <w:rFonts w:eastAsia="Albany"/>
          <w:sz w:val="22"/>
          <w:szCs w:val="22"/>
        </w:rPr>
      </w:pPr>
      <w:r w:rsidRPr="00C648B3">
        <w:rPr>
          <w:rFonts w:eastAsia="Albany"/>
          <w:b/>
          <w:bCs/>
          <w:sz w:val="22"/>
          <w:szCs w:val="22"/>
        </w:rPr>
        <w:t>Objednatel:</w:t>
      </w:r>
      <w:r w:rsidRPr="00C648B3">
        <w:rPr>
          <w:rFonts w:eastAsia="Albany"/>
          <w:sz w:val="22"/>
          <w:szCs w:val="22"/>
        </w:rPr>
        <w:tab/>
      </w:r>
    </w:p>
    <w:p w:rsidR="000203A1" w:rsidRPr="00C648B3" w:rsidRDefault="000203A1" w:rsidP="000203A1">
      <w:pPr>
        <w:pStyle w:val="Normln1"/>
        <w:widowControl w:val="0"/>
        <w:tabs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C648B3">
        <w:rPr>
          <w:rFonts w:eastAsia="Albany"/>
          <w:sz w:val="22"/>
          <w:szCs w:val="22"/>
        </w:rPr>
        <w:t xml:space="preserve">Česká republika -  Ministerstvo zemědělství   </w:t>
      </w:r>
      <w:r w:rsidRPr="00C648B3">
        <w:rPr>
          <w:rFonts w:eastAsia="Albany"/>
          <w:b/>
          <w:bCs/>
          <w:sz w:val="22"/>
          <w:szCs w:val="22"/>
        </w:rPr>
        <w:t xml:space="preserve"> </w:t>
      </w:r>
      <w:r w:rsidRPr="00C648B3">
        <w:rPr>
          <w:rFonts w:eastAsia="Albany"/>
          <w:sz w:val="22"/>
          <w:szCs w:val="22"/>
        </w:rPr>
        <w:tab/>
        <w:t xml:space="preserve">  </w:t>
      </w:r>
    </w:p>
    <w:p w:rsidR="000203A1" w:rsidRPr="00C648B3" w:rsidRDefault="000203A1" w:rsidP="000203A1">
      <w:pPr>
        <w:pStyle w:val="Normln1"/>
        <w:widowControl w:val="0"/>
        <w:tabs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Sídlo: </w:t>
      </w:r>
      <w:r>
        <w:rPr>
          <w:rFonts w:eastAsia="Albany"/>
          <w:sz w:val="22"/>
          <w:szCs w:val="22"/>
        </w:rPr>
        <w:tab/>
      </w:r>
      <w:r w:rsidRPr="00C648B3">
        <w:rPr>
          <w:rFonts w:eastAsia="Albany"/>
          <w:sz w:val="22"/>
          <w:szCs w:val="22"/>
        </w:rPr>
        <w:t xml:space="preserve">Těšnov 65/17, 110 00 Praha 1                                                                                                                                                     </w:t>
      </w:r>
    </w:p>
    <w:p w:rsidR="000203A1" w:rsidRDefault="000203A1" w:rsidP="000203A1">
      <w:pPr>
        <w:pStyle w:val="Normln1"/>
        <w:widowControl w:val="0"/>
        <w:tabs>
          <w:tab w:val="left" w:pos="284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C648B3">
        <w:rPr>
          <w:rFonts w:eastAsia="Albany"/>
          <w:sz w:val="22"/>
          <w:szCs w:val="22"/>
        </w:rPr>
        <w:t xml:space="preserve">IČ: </w:t>
      </w:r>
      <w:r>
        <w:rPr>
          <w:rFonts w:eastAsia="Albany"/>
          <w:sz w:val="22"/>
          <w:szCs w:val="22"/>
        </w:rPr>
        <w:t xml:space="preserve"> </w:t>
      </w:r>
      <w:r>
        <w:rPr>
          <w:rFonts w:eastAsia="Albany"/>
          <w:sz w:val="22"/>
          <w:szCs w:val="22"/>
        </w:rPr>
        <w:tab/>
      </w:r>
      <w:r w:rsidRPr="00C648B3">
        <w:rPr>
          <w:rFonts w:eastAsia="Albany"/>
          <w:sz w:val="22"/>
          <w:szCs w:val="22"/>
        </w:rPr>
        <w:t xml:space="preserve">00020478  </w:t>
      </w:r>
    </w:p>
    <w:p w:rsidR="000203A1" w:rsidRDefault="000203A1" w:rsidP="000203A1">
      <w:pPr>
        <w:pStyle w:val="Normln1"/>
        <w:widowControl w:val="0"/>
        <w:tabs>
          <w:tab w:val="left" w:pos="284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DIČ: </w:t>
      </w:r>
      <w:r>
        <w:rPr>
          <w:rFonts w:eastAsia="Albany"/>
          <w:sz w:val="22"/>
          <w:szCs w:val="22"/>
        </w:rPr>
        <w:tab/>
        <w:t>CZ00020478</w:t>
      </w:r>
    </w:p>
    <w:p w:rsidR="000203A1" w:rsidRPr="00C648B3" w:rsidRDefault="000203A1" w:rsidP="000203A1">
      <w:pPr>
        <w:pStyle w:val="Normln1"/>
        <w:widowControl w:val="0"/>
        <w:tabs>
          <w:tab w:val="left" w:pos="284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C648B3">
        <w:rPr>
          <w:rFonts w:eastAsia="Albany"/>
          <w:sz w:val="22"/>
          <w:szCs w:val="22"/>
        </w:rPr>
        <w:t>Bank</w:t>
      </w:r>
      <w:r>
        <w:rPr>
          <w:rFonts w:eastAsia="Albany"/>
          <w:sz w:val="22"/>
          <w:szCs w:val="22"/>
        </w:rPr>
        <w:t>ovní</w:t>
      </w:r>
      <w:r w:rsidRPr="00C648B3">
        <w:rPr>
          <w:rFonts w:eastAsia="Albany"/>
          <w:sz w:val="22"/>
          <w:szCs w:val="22"/>
        </w:rPr>
        <w:t xml:space="preserve"> spojení:</w:t>
      </w:r>
      <w:r>
        <w:rPr>
          <w:rFonts w:eastAsia="Albany"/>
          <w:sz w:val="22"/>
          <w:szCs w:val="22"/>
        </w:rPr>
        <w:tab/>
        <w:t>Česká národní banka, č. účtu 1226001/0710</w:t>
      </w:r>
    </w:p>
    <w:p w:rsid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630B81">
        <w:rPr>
          <w:rFonts w:eastAsia="Albany"/>
          <w:sz w:val="22"/>
          <w:szCs w:val="22"/>
        </w:rPr>
        <w:t>Č.ú. pro bankovní záruky: 6015-1226001/0710</w:t>
      </w:r>
    </w:p>
    <w:p w:rsidR="000203A1" w:rsidRPr="00C648B3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C648B3">
        <w:rPr>
          <w:rFonts w:eastAsia="Albany"/>
          <w:sz w:val="22"/>
          <w:szCs w:val="22"/>
        </w:rPr>
        <w:t xml:space="preserve">Zastoupená:     </w:t>
      </w:r>
      <w:r>
        <w:rPr>
          <w:rFonts w:eastAsia="Albany"/>
          <w:sz w:val="22"/>
          <w:szCs w:val="22"/>
        </w:rPr>
        <w:tab/>
        <w:t>Mgr. Pavlem Brokešem, ředitelem odboru vnitřní správy</w:t>
      </w:r>
    </w:p>
    <w:p w:rsidR="000203A1" w:rsidRPr="00C648B3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Ve věcech </w:t>
      </w:r>
      <w:r w:rsidRPr="00C648B3">
        <w:rPr>
          <w:rFonts w:eastAsia="Albany"/>
          <w:sz w:val="22"/>
          <w:szCs w:val="22"/>
        </w:rPr>
        <w:t xml:space="preserve">technických: </w:t>
      </w:r>
      <w:r>
        <w:rPr>
          <w:rFonts w:eastAsia="Albany"/>
          <w:sz w:val="22"/>
          <w:szCs w:val="22"/>
        </w:rPr>
        <w:t xml:space="preserve">   </w:t>
      </w:r>
      <w:r w:rsidRPr="006E486E">
        <w:rPr>
          <w:rFonts w:eastAsia="Albany"/>
          <w:sz w:val="22"/>
          <w:szCs w:val="22"/>
        </w:rPr>
        <w:t>Mgr. Milan Švihálek</w:t>
      </w:r>
      <w:r>
        <w:rPr>
          <w:rFonts w:eastAsia="Albany"/>
          <w:sz w:val="22"/>
          <w:szCs w:val="22"/>
        </w:rPr>
        <w:t xml:space="preserve">, </w:t>
      </w:r>
      <w:r w:rsidRPr="00D41556">
        <w:rPr>
          <w:rFonts w:eastAsia="Albany"/>
          <w:sz w:val="21"/>
          <w:szCs w:val="21"/>
        </w:rPr>
        <w:t>oddělení regionální správy budov</w:t>
      </w:r>
    </w:p>
    <w:p w:rsidR="000203A1" w:rsidRPr="00C648B3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C648B3">
        <w:rPr>
          <w:rFonts w:eastAsia="Albany"/>
          <w:sz w:val="22"/>
          <w:szCs w:val="22"/>
        </w:rPr>
        <w:t>Tel:</w:t>
      </w:r>
      <w:r>
        <w:rPr>
          <w:rFonts w:eastAsia="Albany"/>
          <w:sz w:val="22"/>
          <w:szCs w:val="22"/>
        </w:rPr>
        <w:tab/>
      </w:r>
      <w:r>
        <w:rPr>
          <w:rFonts w:eastAsia="Albany"/>
          <w:sz w:val="22"/>
          <w:szCs w:val="22"/>
        </w:rPr>
        <w:tab/>
        <w:t>+420 721 123 812</w:t>
      </w:r>
    </w:p>
    <w:p w:rsidR="000203A1" w:rsidRPr="00C648B3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C648B3">
        <w:rPr>
          <w:rFonts w:eastAsia="Albany"/>
          <w:sz w:val="22"/>
          <w:szCs w:val="22"/>
        </w:rPr>
        <w:t>(dále jen „Objednatel“)</w:t>
      </w:r>
    </w:p>
    <w:p w:rsidR="000203A1" w:rsidRPr="00C648B3" w:rsidRDefault="000203A1" w:rsidP="000203A1">
      <w:pPr>
        <w:pStyle w:val="Normln1"/>
        <w:widowControl w:val="0"/>
        <w:tabs>
          <w:tab w:val="left" w:pos="567"/>
          <w:tab w:val="left" w:pos="2552"/>
          <w:tab w:val="left" w:pos="4536"/>
        </w:tabs>
        <w:suppressAutoHyphens w:val="0"/>
        <w:spacing w:line="276" w:lineRule="auto"/>
        <w:rPr>
          <w:rFonts w:eastAsia="Albany"/>
          <w:b/>
          <w:bCs/>
          <w:sz w:val="22"/>
          <w:szCs w:val="22"/>
        </w:rPr>
      </w:pPr>
      <w:r w:rsidRPr="00C648B3">
        <w:rPr>
          <w:rFonts w:eastAsia="Albany"/>
          <w:b/>
          <w:bCs/>
          <w:sz w:val="22"/>
          <w:szCs w:val="22"/>
        </w:rPr>
        <w:t xml:space="preserve">          </w:t>
      </w:r>
    </w:p>
    <w:p w:rsidR="000203A1" w:rsidRPr="00C648B3" w:rsidRDefault="000203A1" w:rsidP="000203A1">
      <w:pPr>
        <w:pStyle w:val="Normln1"/>
        <w:widowControl w:val="0"/>
        <w:tabs>
          <w:tab w:val="left" w:pos="567"/>
          <w:tab w:val="left" w:pos="2552"/>
          <w:tab w:val="left" w:pos="4536"/>
        </w:tabs>
        <w:suppressAutoHyphens w:val="0"/>
        <w:spacing w:line="276" w:lineRule="auto"/>
        <w:rPr>
          <w:rFonts w:eastAsia="Albany"/>
          <w:b/>
          <w:bCs/>
          <w:sz w:val="22"/>
          <w:szCs w:val="22"/>
          <w:u w:val="single"/>
        </w:rPr>
      </w:pPr>
    </w:p>
    <w:p w:rsidR="000203A1" w:rsidRPr="00C648B3" w:rsidRDefault="000203A1" w:rsidP="000203A1">
      <w:pPr>
        <w:pStyle w:val="Normln1"/>
        <w:widowControl w:val="0"/>
        <w:tabs>
          <w:tab w:val="left" w:pos="567"/>
          <w:tab w:val="left" w:pos="2552"/>
          <w:tab w:val="left" w:pos="4536"/>
        </w:tabs>
        <w:suppressAutoHyphens w:val="0"/>
        <w:spacing w:line="276" w:lineRule="auto"/>
        <w:rPr>
          <w:rFonts w:eastAsia="Albany"/>
          <w:b/>
          <w:bCs/>
          <w:sz w:val="22"/>
          <w:szCs w:val="22"/>
        </w:rPr>
      </w:pPr>
    </w:p>
    <w:p w:rsidR="000203A1" w:rsidRPr="000203A1" w:rsidRDefault="000203A1" w:rsidP="000203A1">
      <w:pPr>
        <w:pStyle w:val="Normln1"/>
        <w:widowControl w:val="0"/>
        <w:numPr>
          <w:ilvl w:val="0"/>
          <w:numId w:val="1"/>
        </w:numPr>
        <w:tabs>
          <w:tab w:val="left" w:pos="142"/>
          <w:tab w:val="left" w:pos="2552"/>
          <w:tab w:val="left" w:pos="4820"/>
        </w:tabs>
        <w:suppressAutoHyphens w:val="0"/>
        <w:spacing w:line="276" w:lineRule="auto"/>
        <w:ind w:left="426" w:hanging="426"/>
        <w:rPr>
          <w:rFonts w:eastAsia="Albany"/>
          <w:b/>
          <w:bCs/>
          <w:sz w:val="22"/>
          <w:szCs w:val="22"/>
        </w:rPr>
      </w:pPr>
      <w:r w:rsidRPr="000203A1">
        <w:rPr>
          <w:rFonts w:eastAsia="Albany"/>
          <w:b/>
          <w:bCs/>
          <w:sz w:val="22"/>
          <w:szCs w:val="22"/>
        </w:rPr>
        <w:t xml:space="preserve">Zhotovitel:  </w:t>
      </w:r>
      <w:r w:rsidRPr="000203A1">
        <w:rPr>
          <w:rFonts w:eastAsia="Albany"/>
          <w:b/>
          <w:bCs/>
          <w:sz w:val="22"/>
          <w:szCs w:val="22"/>
        </w:rPr>
        <w:tab/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Firma / OSVČ:    </w:t>
      </w:r>
      <w:r w:rsidRPr="000203A1">
        <w:rPr>
          <w:rFonts w:eastAsia="Albany"/>
          <w:sz w:val="22"/>
          <w:szCs w:val="22"/>
        </w:rPr>
        <w:tab/>
      </w:r>
      <w:r w:rsidRPr="000203A1">
        <w:rPr>
          <w:rStyle w:val="Zstupntext"/>
          <w:color w:val="auto"/>
          <w:sz w:val="22"/>
          <w:szCs w:val="22"/>
        </w:rPr>
        <w:t>ELEKTRO-FA. PAVELEK, s. r. o.</w:t>
      </w:r>
      <w:r w:rsidRPr="000203A1">
        <w:rPr>
          <w:rFonts w:eastAsia="Albany"/>
          <w:sz w:val="22"/>
          <w:szCs w:val="22"/>
        </w:rPr>
        <w:tab/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Sídlo:                 </w:t>
      </w:r>
      <w:r w:rsidRPr="000203A1">
        <w:rPr>
          <w:rFonts w:eastAsia="Albany"/>
          <w:sz w:val="22"/>
          <w:szCs w:val="22"/>
        </w:rPr>
        <w:tab/>
      </w:r>
      <w:r w:rsidRPr="000203A1">
        <w:rPr>
          <w:rStyle w:val="Zstupntext"/>
          <w:color w:val="auto"/>
          <w:sz w:val="22"/>
          <w:szCs w:val="22"/>
        </w:rPr>
        <w:t>Ostravská 327/54, 747 70 Opava 9</w:t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IČ:                     </w:t>
      </w:r>
      <w:r w:rsidRPr="000203A1">
        <w:rPr>
          <w:rFonts w:eastAsia="Albany"/>
          <w:sz w:val="22"/>
          <w:szCs w:val="22"/>
        </w:rPr>
        <w:tab/>
      </w:r>
      <w:r w:rsidRPr="000203A1">
        <w:rPr>
          <w:rStyle w:val="Zstupntext"/>
          <w:color w:val="auto"/>
          <w:sz w:val="22"/>
          <w:szCs w:val="22"/>
        </w:rPr>
        <w:t>60322195</w:t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DIČ:                    </w:t>
      </w:r>
      <w:r w:rsidRPr="000203A1">
        <w:rPr>
          <w:rFonts w:eastAsia="Albany"/>
          <w:sz w:val="22"/>
          <w:szCs w:val="22"/>
        </w:rPr>
        <w:tab/>
      </w:r>
      <w:r w:rsidRPr="000203A1">
        <w:rPr>
          <w:rStyle w:val="Zstupntext"/>
          <w:color w:val="auto"/>
          <w:sz w:val="22"/>
          <w:szCs w:val="22"/>
        </w:rPr>
        <w:t>CZ60322195</w:t>
      </w:r>
      <w:r w:rsidRPr="000203A1">
        <w:rPr>
          <w:rFonts w:eastAsia="Albany"/>
          <w:sz w:val="22"/>
          <w:szCs w:val="22"/>
        </w:rPr>
        <w:tab/>
        <w:t xml:space="preserve">   </w:t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Bankovní spojení:    </w:t>
      </w:r>
      <w:r w:rsidRPr="000203A1">
        <w:rPr>
          <w:rFonts w:eastAsia="Albany"/>
          <w:sz w:val="22"/>
          <w:szCs w:val="22"/>
        </w:rPr>
        <w:tab/>
      </w:r>
      <w:r w:rsidRPr="000203A1">
        <w:rPr>
          <w:rStyle w:val="Zstupntext"/>
          <w:color w:val="auto"/>
          <w:sz w:val="22"/>
          <w:szCs w:val="22"/>
        </w:rPr>
        <w:t>ČSOB, a.s.</w:t>
      </w:r>
      <w:r w:rsidRPr="000203A1">
        <w:rPr>
          <w:rFonts w:eastAsia="Albany"/>
          <w:sz w:val="22"/>
          <w:szCs w:val="22"/>
        </w:rPr>
        <w:tab/>
        <w:t xml:space="preserve">  </w:t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IBAN:  č.ú.           </w:t>
      </w:r>
      <w:r w:rsidRPr="000203A1">
        <w:rPr>
          <w:rFonts w:eastAsia="Albany"/>
          <w:sz w:val="22"/>
          <w:szCs w:val="22"/>
        </w:rPr>
        <w:tab/>
      </w:r>
      <w:r w:rsidRPr="000203A1">
        <w:rPr>
          <w:rStyle w:val="Zstupntext"/>
          <w:color w:val="auto"/>
          <w:sz w:val="22"/>
          <w:szCs w:val="22"/>
        </w:rPr>
        <w:t>183 231 281/0300</w:t>
      </w:r>
      <w:r w:rsidRPr="000203A1">
        <w:rPr>
          <w:rFonts w:eastAsia="Albany"/>
          <w:sz w:val="22"/>
          <w:szCs w:val="22"/>
        </w:rPr>
        <w:t xml:space="preserve">           </w:t>
      </w:r>
      <w:r w:rsidRPr="000203A1">
        <w:rPr>
          <w:rFonts w:eastAsia="Albany"/>
          <w:sz w:val="22"/>
          <w:szCs w:val="22"/>
        </w:rPr>
        <w:tab/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Jednající:            </w:t>
      </w:r>
      <w:r w:rsidRPr="000203A1">
        <w:rPr>
          <w:rFonts w:eastAsia="Albany"/>
          <w:sz w:val="22"/>
          <w:szCs w:val="22"/>
        </w:rPr>
        <w:tab/>
      </w:r>
      <w:r w:rsidR="006B7B09">
        <w:rPr>
          <w:rStyle w:val="Zstupntext"/>
          <w:color w:val="auto"/>
          <w:sz w:val="22"/>
          <w:szCs w:val="22"/>
        </w:rPr>
        <w:t>xxxxxx</w:t>
      </w:r>
      <w:r w:rsidRPr="000203A1">
        <w:rPr>
          <w:rStyle w:val="Zstupntext"/>
          <w:color w:val="auto"/>
          <w:sz w:val="22"/>
          <w:szCs w:val="22"/>
        </w:rPr>
        <w:t>, jednatel</w:t>
      </w:r>
      <w:r w:rsidRPr="000203A1">
        <w:rPr>
          <w:rFonts w:eastAsia="Albany"/>
          <w:sz w:val="22"/>
          <w:szCs w:val="22"/>
        </w:rPr>
        <w:t xml:space="preserve"> </w:t>
      </w:r>
      <w:r w:rsidRPr="000203A1">
        <w:rPr>
          <w:rFonts w:eastAsia="Albany"/>
          <w:sz w:val="22"/>
          <w:szCs w:val="22"/>
        </w:rPr>
        <w:tab/>
      </w:r>
      <w:r w:rsidRPr="000203A1">
        <w:rPr>
          <w:rFonts w:eastAsia="Albany"/>
          <w:sz w:val="22"/>
          <w:szCs w:val="22"/>
        </w:rPr>
        <w:tab/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Ve věcech technických:    </w:t>
      </w:r>
      <w:r w:rsidRPr="000203A1">
        <w:rPr>
          <w:rFonts w:eastAsia="Albany"/>
          <w:sz w:val="22"/>
          <w:szCs w:val="22"/>
        </w:rPr>
        <w:tab/>
      </w:r>
      <w:r w:rsidR="006B7B09">
        <w:rPr>
          <w:rStyle w:val="Zstupntext"/>
          <w:color w:val="auto"/>
          <w:sz w:val="22"/>
          <w:szCs w:val="22"/>
        </w:rPr>
        <w:t>xxxxxx</w:t>
      </w:r>
      <w:r w:rsidRPr="000203A1">
        <w:rPr>
          <w:rStyle w:val="Zstupntext"/>
          <w:color w:val="auto"/>
          <w:sz w:val="22"/>
          <w:szCs w:val="22"/>
        </w:rPr>
        <w:t>, stavbyvedoucí</w:t>
      </w:r>
      <w:r w:rsidRPr="000203A1">
        <w:rPr>
          <w:rFonts w:eastAsia="Albany"/>
          <w:sz w:val="22"/>
          <w:szCs w:val="22"/>
        </w:rPr>
        <w:t xml:space="preserve">       </w:t>
      </w:r>
      <w:r w:rsidRPr="000203A1">
        <w:rPr>
          <w:rFonts w:eastAsia="Albany"/>
          <w:sz w:val="22"/>
          <w:szCs w:val="22"/>
        </w:rPr>
        <w:tab/>
        <w:t xml:space="preserve">                             </w:t>
      </w:r>
    </w:p>
    <w:p w:rsidR="000203A1" w:rsidRPr="000203A1" w:rsidRDefault="000203A1" w:rsidP="000203A1">
      <w:pPr>
        <w:pStyle w:val="Normln1"/>
        <w:widowControl w:val="0"/>
        <w:tabs>
          <w:tab w:val="left" w:pos="567"/>
          <w:tab w:val="left" w:pos="2552"/>
          <w:tab w:val="left" w:pos="4820"/>
        </w:tabs>
        <w:suppressAutoHyphens w:val="0"/>
        <w:spacing w:line="276" w:lineRule="auto"/>
        <w:rPr>
          <w:rFonts w:eastAsia="Albany"/>
          <w:sz w:val="22"/>
          <w:szCs w:val="22"/>
        </w:rPr>
      </w:pPr>
      <w:r w:rsidRPr="000203A1">
        <w:rPr>
          <w:rFonts w:eastAsia="Albany"/>
          <w:sz w:val="22"/>
          <w:szCs w:val="22"/>
        </w:rPr>
        <w:t xml:space="preserve">Tel:                      </w:t>
      </w:r>
      <w:r w:rsidRPr="000203A1">
        <w:rPr>
          <w:rFonts w:eastAsia="Albany"/>
          <w:sz w:val="22"/>
          <w:szCs w:val="22"/>
        </w:rPr>
        <w:tab/>
      </w:r>
      <w:r w:rsidR="006B7B09">
        <w:rPr>
          <w:rStyle w:val="Zstupntext"/>
          <w:color w:val="auto"/>
          <w:sz w:val="22"/>
          <w:szCs w:val="22"/>
        </w:rPr>
        <w:t>xxxxxx</w:t>
      </w:r>
    </w:p>
    <w:p w:rsidR="000203A1" w:rsidRPr="0001386E" w:rsidRDefault="000203A1" w:rsidP="000203A1">
      <w:pPr>
        <w:widowControl w:val="0"/>
        <w:spacing w:after="200" w:line="276" w:lineRule="auto"/>
      </w:pPr>
    </w:p>
    <w:p w:rsidR="000203A1" w:rsidRDefault="000203A1" w:rsidP="000203A1">
      <w:pPr>
        <w:widowControl w:val="0"/>
        <w:tabs>
          <w:tab w:val="left" w:pos="4820"/>
        </w:tabs>
        <w:spacing w:line="276" w:lineRule="auto"/>
        <w:rPr>
          <w:b/>
          <w:u w:val="single"/>
        </w:rPr>
      </w:pPr>
    </w:p>
    <w:p w:rsidR="000203A1" w:rsidRDefault="000203A1" w:rsidP="000203A1">
      <w:pPr>
        <w:widowControl w:val="0"/>
        <w:tabs>
          <w:tab w:val="left" w:pos="4820"/>
        </w:tabs>
        <w:spacing w:line="276" w:lineRule="auto"/>
        <w:rPr>
          <w:b/>
          <w:u w:val="single"/>
        </w:rPr>
      </w:pPr>
    </w:p>
    <w:p w:rsidR="000203A1" w:rsidRDefault="000203A1" w:rsidP="000203A1">
      <w:pPr>
        <w:widowControl w:val="0"/>
        <w:tabs>
          <w:tab w:val="left" w:pos="4820"/>
        </w:tabs>
        <w:spacing w:line="276" w:lineRule="auto"/>
        <w:rPr>
          <w:b/>
          <w:u w:val="single"/>
        </w:rPr>
      </w:pPr>
    </w:p>
    <w:p w:rsidR="000203A1" w:rsidRDefault="000203A1" w:rsidP="000203A1">
      <w:pPr>
        <w:widowControl w:val="0"/>
        <w:tabs>
          <w:tab w:val="left" w:pos="4820"/>
        </w:tabs>
        <w:spacing w:line="276" w:lineRule="auto"/>
        <w:rPr>
          <w:b/>
          <w:u w:val="single"/>
        </w:rPr>
      </w:pPr>
    </w:p>
    <w:p w:rsidR="000203A1" w:rsidRDefault="000203A1" w:rsidP="000203A1">
      <w:pPr>
        <w:widowControl w:val="0"/>
        <w:tabs>
          <w:tab w:val="left" w:pos="4820"/>
        </w:tabs>
        <w:spacing w:line="276" w:lineRule="auto"/>
        <w:rPr>
          <w:b/>
          <w:u w:val="single"/>
        </w:rPr>
      </w:pPr>
    </w:p>
    <w:p w:rsidR="000203A1" w:rsidRDefault="000203A1" w:rsidP="000203A1">
      <w:pPr>
        <w:widowControl w:val="0"/>
        <w:tabs>
          <w:tab w:val="left" w:pos="4820"/>
        </w:tabs>
        <w:spacing w:line="276" w:lineRule="auto"/>
        <w:jc w:val="center"/>
        <w:rPr>
          <w:b/>
        </w:rPr>
      </w:pPr>
      <w:r w:rsidRPr="004B0ECD">
        <w:rPr>
          <w:b/>
        </w:rPr>
        <w:t>PREAMBULE</w:t>
      </w:r>
    </w:p>
    <w:p w:rsidR="000203A1" w:rsidRDefault="000203A1" w:rsidP="000203A1">
      <w:pPr>
        <w:widowControl w:val="0"/>
        <w:tabs>
          <w:tab w:val="left" w:pos="4820"/>
        </w:tabs>
        <w:spacing w:line="276" w:lineRule="auto"/>
        <w:jc w:val="center"/>
        <w:rPr>
          <w:b/>
        </w:rPr>
      </w:pPr>
    </w:p>
    <w:p w:rsidR="000203A1" w:rsidRDefault="000203A1" w:rsidP="000203A1">
      <w:pPr>
        <w:pStyle w:val="Odstavecseseznamem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4B0ECD">
        <w:rPr>
          <w:sz w:val="20"/>
          <w:szCs w:val="20"/>
        </w:rPr>
        <w:t xml:space="preserve">Tento </w:t>
      </w:r>
      <w:r>
        <w:rPr>
          <w:sz w:val="20"/>
          <w:szCs w:val="20"/>
        </w:rPr>
        <w:t>d</w:t>
      </w:r>
      <w:r w:rsidRPr="004B0ECD">
        <w:rPr>
          <w:sz w:val="20"/>
          <w:szCs w:val="20"/>
        </w:rPr>
        <w:t xml:space="preserve">odatek je uzavřen v návaznosti na Veřejnou zakázku s názvem: </w:t>
      </w:r>
      <w:r w:rsidRPr="003605AC">
        <w:rPr>
          <w:sz w:val="20"/>
          <w:szCs w:val="20"/>
        </w:rPr>
        <w:t>„Rekonstrukce elektroinstalace v budově MZe, Wurmova 606/2,Přerov“</w:t>
      </w:r>
      <w:r>
        <w:rPr>
          <w:sz w:val="20"/>
          <w:szCs w:val="20"/>
        </w:rPr>
        <w:t>,</w:t>
      </w:r>
      <w:r w:rsidRPr="004B0ECD">
        <w:rPr>
          <w:sz w:val="20"/>
          <w:szCs w:val="20"/>
        </w:rPr>
        <w:t xml:space="preserve"> vyhlášenou Objednatelem</w:t>
      </w:r>
      <w:r>
        <w:rPr>
          <w:sz w:val="20"/>
          <w:szCs w:val="20"/>
        </w:rPr>
        <w:t xml:space="preserve"> a s ní související smlouvu č. 643</w:t>
      </w:r>
      <w:r w:rsidRPr="004B0ECD">
        <w:rPr>
          <w:sz w:val="20"/>
          <w:szCs w:val="20"/>
        </w:rPr>
        <w:t>-</w:t>
      </w:r>
      <w:r>
        <w:rPr>
          <w:sz w:val="20"/>
          <w:szCs w:val="20"/>
        </w:rPr>
        <w:t>2016</w:t>
      </w:r>
      <w:r w:rsidRPr="004B0ECD">
        <w:rPr>
          <w:sz w:val="20"/>
          <w:szCs w:val="20"/>
        </w:rPr>
        <w:t>-</w:t>
      </w:r>
      <w:r>
        <w:rPr>
          <w:sz w:val="20"/>
          <w:szCs w:val="20"/>
        </w:rPr>
        <w:t>12131 (dále jen „smlouva“)</w:t>
      </w:r>
      <w:r w:rsidRPr="004B0ECD">
        <w:rPr>
          <w:sz w:val="20"/>
          <w:szCs w:val="20"/>
        </w:rPr>
        <w:t xml:space="preserve">. </w:t>
      </w:r>
    </w:p>
    <w:p w:rsidR="000203A1" w:rsidRDefault="000203A1" w:rsidP="000203A1">
      <w:pPr>
        <w:pStyle w:val="Odstavecseseznamem"/>
        <w:spacing w:line="276" w:lineRule="auto"/>
        <w:rPr>
          <w:sz w:val="20"/>
          <w:szCs w:val="20"/>
        </w:rPr>
      </w:pPr>
    </w:p>
    <w:p w:rsidR="000203A1" w:rsidRPr="006849A3" w:rsidRDefault="000203A1" w:rsidP="000203A1">
      <w:pPr>
        <w:pStyle w:val="Odstavecseseznamem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6849A3">
        <w:rPr>
          <w:sz w:val="20"/>
          <w:szCs w:val="20"/>
        </w:rPr>
        <w:t xml:space="preserve">Předmětem smlouvy je </w:t>
      </w:r>
      <w:r w:rsidRPr="00B44421">
        <w:rPr>
          <w:i/>
          <w:sz w:val="20"/>
          <w:szCs w:val="20"/>
        </w:rPr>
        <w:t> </w:t>
      </w:r>
      <w:r w:rsidRPr="00B44421">
        <w:rPr>
          <w:sz w:val="20"/>
          <w:szCs w:val="20"/>
        </w:rPr>
        <w:t>oprav</w:t>
      </w:r>
      <w:r>
        <w:rPr>
          <w:sz w:val="20"/>
          <w:szCs w:val="20"/>
        </w:rPr>
        <w:t>a</w:t>
      </w:r>
      <w:r w:rsidRPr="00B44421">
        <w:rPr>
          <w:sz w:val="20"/>
          <w:szCs w:val="20"/>
        </w:rPr>
        <w:t xml:space="preserve"> rozvodů silnoproudých elektroinstalací a úprav</w:t>
      </w:r>
      <w:r>
        <w:rPr>
          <w:sz w:val="20"/>
          <w:szCs w:val="20"/>
        </w:rPr>
        <w:t>a</w:t>
      </w:r>
      <w:r w:rsidRPr="00B44421">
        <w:rPr>
          <w:sz w:val="20"/>
          <w:szCs w:val="20"/>
        </w:rPr>
        <w:t xml:space="preserve"> měření spotřeby v objektu Ministerstva zemědělství na adrese Wurmova 606/2 v Přerov na parcele č. 1236/1, k.ú. Přerov</w:t>
      </w:r>
      <w:r>
        <w:rPr>
          <w:sz w:val="20"/>
          <w:szCs w:val="20"/>
        </w:rPr>
        <w:t xml:space="preserve"> (dále jen „objekt“)</w:t>
      </w:r>
      <w:r w:rsidRPr="00B44421">
        <w:rPr>
          <w:rFonts w:eastAsia="Times New Roman"/>
          <w:sz w:val="20"/>
          <w:szCs w:val="20"/>
          <w:lang w:eastAsia="ar-SA"/>
        </w:rPr>
        <w:t>,</w:t>
      </w:r>
      <w:r w:rsidRPr="00B44421">
        <w:rPr>
          <w:i/>
          <w:sz w:val="20"/>
          <w:szCs w:val="20"/>
        </w:rPr>
        <w:t xml:space="preserve"> </w:t>
      </w:r>
      <w:r w:rsidRPr="00B44421">
        <w:rPr>
          <w:sz w:val="20"/>
          <w:szCs w:val="20"/>
        </w:rPr>
        <w:t xml:space="preserve">v intencích této </w:t>
      </w:r>
      <w:r>
        <w:rPr>
          <w:sz w:val="20"/>
          <w:szCs w:val="20"/>
        </w:rPr>
        <w:t>smlouvy</w:t>
      </w:r>
      <w:r w:rsidRPr="00B44421">
        <w:rPr>
          <w:sz w:val="20"/>
          <w:szCs w:val="20"/>
        </w:rPr>
        <w:t xml:space="preserve"> a v rozsahu dle Objednatelem předané projektové dokumentace zpracované ve stupni dokumentace pro provádění stavby vypracované dne 31. 12. 2013 společností </w:t>
      </w:r>
      <w:r w:rsidR="006B7B09">
        <w:rPr>
          <w:sz w:val="20"/>
          <w:szCs w:val="20"/>
        </w:rPr>
        <w:t>xxxxx</w:t>
      </w:r>
      <w:r w:rsidRPr="00B44421">
        <w:rPr>
          <w:sz w:val="20"/>
          <w:szCs w:val="20"/>
        </w:rPr>
        <w:t xml:space="preserve"> – ELPEVO, Boční 660, Velký Týnec,</w:t>
      </w:r>
      <w:r>
        <w:rPr>
          <w:sz w:val="20"/>
          <w:szCs w:val="20"/>
        </w:rPr>
        <w:t xml:space="preserve"> doplněné dne 30.6.2017, </w:t>
      </w:r>
      <w:r w:rsidRPr="00B44421">
        <w:rPr>
          <w:sz w:val="20"/>
          <w:szCs w:val="20"/>
        </w:rPr>
        <w:t xml:space="preserve"> a závazek Objednatele provedené a dokončené Dílo dle podmínek této smlouvy převzít a zaplatit cenu za zhotovení Díla</w:t>
      </w:r>
      <w:r w:rsidRPr="006849A3">
        <w:rPr>
          <w:sz w:val="20"/>
          <w:szCs w:val="20"/>
        </w:rPr>
        <w:t>.</w:t>
      </w:r>
    </w:p>
    <w:p w:rsidR="000203A1" w:rsidRPr="006849A3" w:rsidRDefault="000203A1" w:rsidP="000203A1">
      <w:pPr>
        <w:widowControl w:val="0"/>
        <w:tabs>
          <w:tab w:val="left" w:pos="4820"/>
        </w:tabs>
        <w:spacing w:line="276" w:lineRule="auto"/>
        <w:rPr>
          <w:sz w:val="20"/>
          <w:szCs w:val="20"/>
        </w:rPr>
      </w:pPr>
    </w:p>
    <w:p w:rsidR="000203A1" w:rsidRDefault="000203A1" w:rsidP="000203A1">
      <w:pPr>
        <w:pStyle w:val="Nadpis1"/>
        <w:keepNext w:val="0"/>
        <w:widowControl w:val="0"/>
        <w:numPr>
          <w:ilvl w:val="0"/>
          <w:numId w:val="2"/>
        </w:numPr>
        <w:spacing w:before="360" w:after="120" w:line="276" w:lineRule="auto"/>
        <w:jc w:val="center"/>
        <w:rPr>
          <w:b/>
        </w:rPr>
      </w:pPr>
    </w:p>
    <w:p w:rsidR="000203A1" w:rsidRPr="00030687" w:rsidRDefault="000203A1" w:rsidP="000203A1">
      <w:pPr>
        <w:pStyle w:val="Nadpis1"/>
        <w:keepNext w:val="0"/>
        <w:widowControl w:val="0"/>
        <w:numPr>
          <w:ilvl w:val="0"/>
          <w:numId w:val="0"/>
        </w:numPr>
        <w:spacing w:before="60" w:after="60" w:line="276" w:lineRule="auto"/>
        <w:ind w:left="360"/>
        <w:rPr>
          <w:sz w:val="20"/>
          <w:szCs w:val="20"/>
        </w:rPr>
      </w:pPr>
      <w:r w:rsidRPr="00030687">
        <w:rPr>
          <w:sz w:val="20"/>
          <w:szCs w:val="20"/>
        </w:rPr>
        <w:t xml:space="preserve">Předmětem tohoto dodatku je změna článku III. odst. 3 smlouvy s </w:t>
      </w:r>
      <w:r>
        <w:rPr>
          <w:sz w:val="20"/>
          <w:szCs w:val="20"/>
        </w:rPr>
        <w:t xml:space="preserve">původním </w:t>
      </w:r>
      <w:r w:rsidRPr="00030687">
        <w:rPr>
          <w:sz w:val="20"/>
          <w:szCs w:val="20"/>
        </w:rPr>
        <w:t xml:space="preserve">zněním: </w:t>
      </w:r>
    </w:p>
    <w:p w:rsidR="000203A1" w:rsidRPr="00030687" w:rsidRDefault="000203A1" w:rsidP="000203A1">
      <w:pPr>
        <w:pStyle w:val="Nadpis1"/>
        <w:keepNext w:val="0"/>
        <w:widowControl w:val="0"/>
        <w:numPr>
          <w:ilvl w:val="0"/>
          <w:numId w:val="0"/>
        </w:numPr>
        <w:spacing w:before="60" w:after="60" w:line="276" w:lineRule="auto"/>
        <w:ind w:left="567" w:hanging="567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Pr="00030687">
        <w:rPr>
          <w:i/>
          <w:sz w:val="20"/>
          <w:szCs w:val="20"/>
        </w:rPr>
        <w:t xml:space="preserve">3.03 </w:t>
      </w:r>
      <w:r w:rsidRPr="00030687">
        <w:rPr>
          <w:i/>
          <w:sz w:val="20"/>
          <w:szCs w:val="20"/>
        </w:rPr>
        <w:tab/>
      </w:r>
      <w:r w:rsidRPr="00030687">
        <w:rPr>
          <w:sz w:val="20"/>
          <w:szCs w:val="20"/>
        </w:rPr>
        <w:t xml:space="preserve">Celková cena Díla je oběma smluvními stranami sjednána v souladu s § 2 zákona č. 526/1990 Sb., o cenách, ve znění pozdějších předpisů a je oběma smluvními stranami dohodnuta ve výši:      </w:t>
      </w:r>
    </w:p>
    <w:p w:rsidR="000203A1" w:rsidRPr="000203A1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357" w:firstLine="210"/>
        <w:jc w:val="both"/>
        <w:rPr>
          <w:rFonts w:ascii="Arial" w:eastAsia="Arial" w:hAnsi="Arial" w:cs="Arial"/>
        </w:rPr>
      </w:pPr>
      <w:r w:rsidRPr="000203A1">
        <w:rPr>
          <w:rStyle w:val="Zstupntext"/>
          <w:rFonts w:ascii="Arial" w:hAnsi="Arial" w:cs="Arial"/>
          <w:color w:val="auto"/>
        </w:rPr>
        <w:t xml:space="preserve">3 666 246,62 </w:t>
      </w:r>
      <w:r w:rsidRPr="000203A1">
        <w:rPr>
          <w:rFonts w:ascii="Arial" w:eastAsia="Arial" w:hAnsi="Arial" w:cs="Arial"/>
        </w:rPr>
        <w:t>Kč bez DPH</w:t>
      </w:r>
    </w:p>
    <w:p w:rsidR="000203A1" w:rsidRPr="000203A1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357" w:firstLine="210"/>
        <w:jc w:val="both"/>
        <w:rPr>
          <w:rFonts w:ascii="Arial" w:eastAsia="Arial" w:hAnsi="Arial" w:cs="Arial"/>
        </w:rPr>
      </w:pPr>
      <w:r w:rsidRPr="000203A1">
        <w:rPr>
          <w:rStyle w:val="Zstupntext"/>
          <w:rFonts w:ascii="Arial" w:hAnsi="Arial" w:cs="Arial"/>
          <w:color w:val="auto"/>
        </w:rPr>
        <w:t xml:space="preserve">   769 911,79 </w:t>
      </w:r>
      <w:r w:rsidRPr="000203A1">
        <w:rPr>
          <w:rFonts w:ascii="Arial" w:eastAsia="Arial" w:hAnsi="Arial" w:cs="Arial"/>
        </w:rPr>
        <w:t>Kč DPH</w:t>
      </w:r>
    </w:p>
    <w:p w:rsidR="000203A1" w:rsidRPr="000203A1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357" w:firstLine="210"/>
        <w:jc w:val="both"/>
        <w:rPr>
          <w:rFonts w:ascii="Arial" w:eastAsia="Arial" w:hAnsi="Arial" w:cs="Arial"/>
        </w:rPr>
      </w:pPr>
      <w:r w:rsidRPr="000203A1">
        <w:rPr>
          <w:rStyle w:val="Zstupntext"/>
          <w:rFonts w:ascii="Arial" w:hAnsi="Arial" w:cs="Arial"/>
          <w:color w:val="auto"/>
        </w:rPr>
        <w:t xml:space="preserve">4 436 159,- -  </w:t>
      </w:r>
      <w:r w:rsidRPr="000203A1">
        <w:rPr>
          <w:rFonts w:ascii="Arial" w:eastAsia="Arial" w:hAnsi="Arial" w:cs="Arial"/>
        </w:rPr>
        <w:t>Kč včetně DPH“</w:t>
      </w:r>
    </w:p>
    <w:p w:rsidR="000203A1" w:rsidRPr="000203A1" w:rsidRDefault="000203A1" w:rsidP="000203A1">
      <w:pPr>
        <w:widowControl w:val="0"/>
        <w:spacing w:before="60" w:after="60" w:line="276" w:lineRule="auto"/>
        <w:outlineLvl w:val="0"/>
        <w:rPr>
          <w:i/>
          <w:sz w:val="20"/>
        </w:rPr>
      </w:pPr>
    </w:p>
    <w:p w:rsidR="000203A1" w:rsidRPr="000203A1" w:rsidRDefault="000203A1" w:rsidP="000203A1">
      <w:pPr>
        <w:pStyle w:val="Nadpis1"/>
        <w:keepNext w:val="0"/>
        <w:widowControl w:val="0"/>
        <w:numPr>
          <w:ilvl w:val="0"/>
          <w:numId w:val="0"/>
        </w:numPr>
        <w:spacing w:before="60" w:after="60" w:line="276" w:lineRule="auto"/>
        <w:ind w:firstLine="288"/>
        <w:rPr>
          <w:i/>
          <w:sz w:val="20"/>
          <w:szCs w:val="20"/>
        </w:rPr>
      </w:pPr>
    </w:p>
    <w:p w:rsidR="000203A1" w:rsidRPr="000203A1" w:rsidRDefault="000203A1" w:rsidP="000203A1">
      <w:pPr>
        <w:pStyle w:val="Nadpis1"/>
        <w:keepNext w:val="0"/>
        <w:widowControl w:val="0"/>
        <w:numPr>
          <w:ilvl w:val="0"/>
          <w:numId w:val="0"/>
        </w:numPr>
        <w:spacing w:before="60" w:after="60" w:line="276" w:lineRule="auto"/>
        <w:ind w:left="360"/>
        <w:rPr>
          <w:sz w:val="20"/>
          <w:szCs w:val="20"/>
        </w:rPr>
      </w:pPr>
      <w:r w:rsidRPr="000203A1">
        <w:rPr>
          <w:sz w:val="20"/>
          <w:szCs w:val="20"/>
        </w:rPr>
        <w:t xml:space="preserve">Původní text smlouvy se s účinností tohoto dodatku ruší a nahrazuje novým zněním takto: </w:t>
      </w:r>
    </w:p>
    <w:p w:rsidR="000203A1" w:rsidRPr="000203A1" w:rsidRDefault="000203A1" w:rsidP="000203A1">
      <w:pPr>
        <w:widowControl w:val="0"/>
        <w:spacing w:before="60" w:after="60" w:line="276" w:lineRule="auto"/>
        <w:outlineLvl w:val="0"/>
        <w:rPr>
          <w:sz w:val="20"/>
        </w:rPr>
      </w:pPr>
      <w:r w:rsidRPr="000203A1">
        <w:rPr>
          <w:sz w:val="20"/>
          <w:szCs w:val="20"/>
        </w:rPr>
        <w:t xml:space="preserve">„3.03 </w:t>
      </w:r>
      <w:r w:rsidRPr="000203A1">
        <w:rPr>
          <w:sz w:val="20"/>
          <w:szCs w:val="20"/>
        </w:rPr>
        <w:tab/>
      </w:r>
      <w:r w:rsidRPr="000203A1">
        <w:rPr>
          <w:sz w:val="20"/>
        </w:rPr>
        <w:t xml:space="preserve">Celková cena Díla je oběma smluvními stranami sjednána v souladu s § 2 zákona č. 526/1990 </w:t>
      </w:r>
    </w:p>
    <w:p w:rsidR="000203A1" w:rsidRPr="000203A1" w:rsidRDefault="000203A1" w:rsidP="000203A1">
      <w:pPr>
        <w:widowControl w:val="0"/>
        <w:spacing w:before="60" w:after="60" w:line="276" w:lineRule="auto"/>
        <w:ind w:left="709" w:firstLine="1"/>
        <w:outlineLvl w:val="0"/>
        <w:rPr>
          <w:sz w:val="20"/>
        </w:rPr>
      </w:pPr>
      <w:r w:rsidRPr="000203A1">
        <w:rPr>
          <w:sz w:val="20"/>
        </w:rPr>
        <w:t xml:space="preserve">Sb., o cenách, ve znění pozdějších předpisů a je oběma smluvními stranami dohodnuta ve výši:      </w:t>
      </w:r>
    </w:p>
    <w:p w:rsidR="000203A1" w:rsidRPr="000203A1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357" w:firstLine="210"/>
        <w:jc w:val="both"/>
        <w:rPr>
          <w:rFonts w:ascii="Arial" w:eastAsia="Arial" w:hAnsi="Arial" w:cs="Arial"/>
        </w:rPr>
      </w:pPr>
      <w:r w:rsidRPr="000203A1">
        <w:rPr>
          <w:rStyle w:val="Zstupntext"/>
          <w:rFonts w:ascii="Arial" w:hAnsi="Arial" w:cs="Arial"/>
          <w:color w:val="auto"/>
        </w:rPr>
        <w:t xml:space="preserve">3 787 008,87 </w:t>
      </w:r>
      <w:r w:rsidRPr="000203A1">
        <w:rPr>
          <w:rFonts w:ascii="Arial" w:eastAsia="Arial" w:hAnsi="Arial" w:cs="Arial"/>
        </w:rPr>
        <w:t>Kč bez DPH</w:t>
      </w:r>
    </w:p>
    <w:p w:rsidR="000203A1" w:rsidRPr="000203A1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357" w:firstLine="210"/>
        <w:jc w:val="both"/>
        <w:rPr>
          <w:rFonts w:ascii="Arial" w:eastAsia="Arial" w:hAnsi="Arial" w:cs="Arial"/>
        </w:rPr>
      </w:pPr>
      <w:r w:rsidRPr="000203A1">
        <w:rPr>
          <w:rStyle w:val="Zstupntext"/>
          <w:rFonts w:ascii="Arial" w:hAnsi="Arial" w:cs="Arial"/>
          <w:color w:val="auto"/>
        </w:rPr>
        <w:t xml:space="preserve">   795 271,86 </w:t>
      </w:r>
      <w:r w:rsidRPr="000203A1">
        <w:rPr>
          <w:rFonts w:ascii="Arial" w:eastAsia="Arial" w:hAnsi="Arial" w:cs="Arial"/>
        </w:rPr>
        <w:t>Kč DPH</w:t>
      </w:r>
    </w:p>
    <w:p w:rsidR="000203A1" w:rsidRPr="000203A1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357" w:firstLine="210"/>
        <w:jc w:val="both"/>
        <w:rPr>
          <w:rFonts w:ascii="Arial" w:eastAsia="Arial" w:hAnsi="Arial" w:cs="Arial"/>
        </w:rPr>
      </w:pPr>
      <w:r w:rsidRPr="000203A1">
        <w:rPr>
          <w:rStyle w:val="Zstupntext"/>
          <w:rFonts w:ascii="Arial" w:hAnsi="Arial" w:cs="Arial"/>
          <w:color w:val="auto"/>
        </w:rPr>
        <w:t xml:space="preserve">4 582 280,73-  </w:t>
      </w:r>
      <w:r w:rsidRPr="000203A1">
        <w:rPr>
          <w:rFonts w:ascii="Arial" w:eastAsia="Arial" w:hAnsi="Arial" w:cs="Arial"/>
        </w:rPr>
        <w:t>Kč včetně DPH</w:t>
      </w:r>
    </w:p>
    <w:p w:rsidR="000203A1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357" w:firstLine="210"/>
        <w:jc w:val="both"/>
        <w:rPr>
          <w:rFonts w:ascii="Arial" w:eastAsia="Arial" w:hAnsi="Arial" w:cs="Arial"/>
        </w:rPr>
      </w:pPr>
    </w:p>
    <w:p w:rsidR="000203A1" w:rsidRPr="00030687" w:rsidRDefault="000203A1" w:rsidP="000203A1">
      <w:pPr>
        <w:pStyle w:val="Prosttext"/>
        <w:widowControl w:val="0"/>
        <w:tabs>
          <w:tab w:val="num" w:pos="709"/>
        </w:tabs>
        <w:spacing w:before="120" w:after="120" w:line="276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Navýšení plnění bude provedeno v rámci 5. dílčí etapy díla v souladu se zněním článku IX. smlouvy“</w:t>
      </w:r>
    </w:p>
    <w:p w:rsidR="000203A1" w:rsidRPr="00030687" w:rsidRDefault="000203A1" w:rsidP="000203A1">
      <w:pPr>
        <w:widowControl w:val="0"/>
        <w:tabs>
          <w:tab w:val="num" w:pos="709"/>
        </w:tabs>
        <w:spacing w:before="120" w:after="120" w:line="276" w:lineRule="auto"/>
        <w:ind w:left="357" w:firstLine="210"/>
        <w:rPr>
          <w:sz w:val="20"/>
        </w:rPr>
      </w:pPr>
      <w:r w:rsidRPr="00030687">
        <w:rPr>
          <w:sz w:val="20"/>
          <w:szCs w:val="20"/>
          <w:lang w:eastAsia="cs-CZ"/>
        </w:rPr>
        <w:tab/>
      </w:r>
    </w:p>
    <w:p w:rsidR="000203A1" w:rsidRDefault="000203A1" w:rsidP="000203A1">
      <w:pPr>
        <w:pStyle w:val="Nadpis1"/>
        <w:keepNext w:val="0"/>
        <w:widowControl w:val="0"/>
        <w:numPr>
          <w:ilvl w:val="0"/>
          <w:numId w:val="2"/>
        </w:numPr>
        <w:spacing w:before="360" w:after="120" w:line="276" w:lineRule="auto"/>
        <w:jc w:val="center"/>
        <w:rPr>
          <w:b/>
        </w:rPr>
      </w:pPr>
    </w:p>
    <w:p w:rsidR="000203A1" w:rsidRPr="00030687" w:rsidRDefault="000203A1" w:rsidP="000203A1">
      <w:pPr>
        <w:pStyle w:val="Nadpis1"/>
        <w:keepNext w:val="0"/>
        <w:widowControl w:val="0"/>
        <w:numPr>
          <w:ilvl w:val="1"/>
          <w:numId w:val="2"/>
        </w:numPr>
        <w:spacing w:before="360" w:after="120" w:line="276" w:lineRule="auto"/>
        <w:contextualSpacing/>
        <w:rPr>
          <w:sz w:val="18"/>
          <w:szCs w:val="18"/>
          <w:shd w:val="clear" w:color="auto" w:fill="FFFFFF"/>
        </w:rPr>
      </w:pPr>
      <w:r w:rsidRPr="00F456BA">
        <w:rPr>
          <w:sz w:val="20"/>
          <w:szCs w:val="20"/>
        </w:rPr>
        <w:t>Tento dodatek je sepsán z důvodu vzniklých neovlivnitelných objektivních skutečností, které se vyskytly v průběhu stavby.</w:t>
      </w:r>
      <w:r>
        <w:rPr>
          <w:sz w:val="20"/>
          <w:szCs w:val="20"/>
        </w:rPr>
        <w:t xml:space="preserve"> </w:t>
      </w:r>
      <w:r w:rsidRPr="00914317">
        <w:rPr>
          <w:sz w:val="18"/>
          <w:szCs w:val="18"/>
          <w:lang w:eastAsia="cs-CZ"/>
        </w:rPr>
        <w:t xml:space="preserve">Po odbourání části krytí VN a NN kabeláže ve společných prostorech (chodba) a vybourání otvoru pro uložení </w:t>
      </w:r>
      <w:r w:rsidRPr="00914317">
        <w:rPr>
          <w:sz w:val="18"/>
          <w:szCs w:val="18"/>
        </w:rPr>
        <w:t>rozvaděče RH RE bylo</w:t>
      </w:r>
      <w:r w:rsidRPr="00914317">
        <w:rPr>
          <w:sz w:val="18"/>
          <w:szCs w:val="18"/>
          <w:lang w:eastAsia="cs-CZ"/>
        </w:rPr>
        <w:t xml:space="preserve"> v důsledku upřesňujícího zaměření zjištěno, že instalace v projektu navrženého krytí a rozvaděče je v nedostačující hloubce zdiva a u kabeláže </w:t>
      </w:r>
      <w:r>
        <w:rPr>
          <w:sz w:val="18"/>
          <w:szCs w:val="18"/>
          <w:lang w:eastAsia="cs-CZ"/>
        </w:rPr>
        <w:t xml:space="preserve">je </w:t>
      </w:r>
      <w:r w:rsidRPr="00914317">
        <w:rPr>
          <w:sz w:val="18"/>
          <w:szCs w:val="18"/>
          <w:lang w:eastAsia="cs-CZ"/>
        </w:rPr>
        <w:t xml:space="preserve">bez </w:t>
      </w:r>
      <w:r>
        <w:rPr>
          <w:sz w:val="18"/>
          <w:szCs w:val="18"/>
          <w:lang w:eastAsia="cs-CZ"/>
        </w:rPr>
        <w:t>možného</w:t>
      </w:r>
      <w:r w:rsidRPr="00914317">
        <w:rPr>
          <w:sz w:val="18"/>
          <w:szCs w:val="18"/>
          <w:lang w:eastAsia="cs-CZ"/>
        </w:rPr>
        <w:t xml:space="preserve"> prostoru</w:t>
      </w:r>
      <w:r>
        <w:rPr>
          <w:sz w:val="18"/>
          <w:szCs w:val="18"/>
          <w:lang w:eastAsia="cs-CZ"/>
        </w:rPr>
        <w:t xml:space="preserve"> pro její</w:t>
      </w:r>
      <w:r w:rsidRPr="00914317">
        <w:rPr>
          <w:sz w:val="18"/>
          <w:szCs w:val="18"/>
          <w:lang w:eastAsia="cs-CZ"/>
        </w:rPr>
        <w:t xml:space="preserve"> uložení a další stavební činnost a následný provoz objektu.</w:t>
      </w:r>
      <w:r>
        <w:rPr>
          <w:sz w:val="18"/>
          <w:szCs w:val="18"/>
          <w:lang w:eastAsia="cs-CZ"/>
        </w:rPr>
        <w:t xml:space="preserve"> Tato skutečnost byla potvrzena ze strany nezávislého technického dozoru stavby, což je potvrzeno v rámci stavebního deníku i přiložených zápisů z kontrolních dnů. </w:t>
      </w:r>
      <w:r w:rsidRPr="00914317">
        <w:rPr>
          <w:sz w:val="18"/>
          <w:szCs w:val="18"/>
          <w:lang w:eastAsia="cs-CZ"/>
        </w:rPr>
        <w:t xml:space="preserve">Vzhledem k této neovlivnitelné skutečnosti bylo </w:t>
      </w:r>
      <w:r w:rsidRPr="00914317">
        <w:rPr>
          <w:sz w:val="18"/>
          <w:szCs w:val="18"/>
          <w:lang w:eastAsia="cs-CZ"/>
        </w:rPr>
        <w:lastRenderedPageBreak/>
        <w:t>po projednání s autorem projektu a technickým dozorem stavby navrženo uložených sítí namísto objemově nevyhovujících a nevzhledných lišt uložení pod SDK krytí pod stropem, ve kterém bude organizovaně uložena stávající i budoucí kabeláž a postupy do dalších podlaží objektu</w:t>
      </w:r>
      <w:r>
        <w:rPr>
          <w:sz w:val="18"/>
          <w:szCs w:val="18"/>
          <w:lang w:eastAsia="cs-CZ"/>
        </w:rPr>
        <w:t xml:space="preserve">. SDK krytí bude dimenzováno pro budoucí možné rozvody i další instalace (např. elektronickou požární signalizaci, klimatizační rozvody, datové rozvody a další. Tyto rozvody budou jako systém instalovány se stejnými parametry a využitím ve všech pěti podlažích objektu. </w:t>
      </w:r>
      <w:r w:rsidRPr="00961246">
        <w:rPr>
          <w:sz w:val="18"/>
          <w:szCs w:val="18"/>
          <w:lang w:eastAsia="cs-CZ"/>
        </w:rPr>
        <w:t xml:space="preserve">Druhou identifikovanou překážkou dokončení díla je nevyhovující specifikace </w:t>
      </w:r>
      <w:r w:rsidRPr="00961246">
        <w:rPr>
          <w:sz w:val="18"/>
          <w:szCs w:val="18"/>
          <w:shd w:val="clear" w:color="auto" w:fill="FFFFFF"/>
        </w:rPr>
        <w:t>RH a RE rozvaděče. Jak vyplývá z přiloženého vyjádření autora projektové dokumentace</w:t>
      </w:r>
      <w:r>
        <w:rPr>
          <w:sz w:val="18"/>
          <w:szCs w:val="18"/>
          <w:shd w:val="clear" w:color="auto" w:fill="FFFFFF"/>
        </w:rPr>
        <w:t>,</w:t>
      </w:r>
      <w:r w:rsidRPr="00961246">
        <w:rPr>
          <w:sz w:val="18"/>
          <w:szCs w:val="18"/>
          <w:shd w:val="clear" w:color="auto" w:fill="FFFFFF"/>
        </w:rPr>
        <w:t xml:space="preserve"> ro</w:t>
      </w:r>
      <w:r w:rsidRPr="00961246">
        <w:rPr>
          <w:color w:val="212121"/>
          <w:sz w:val="18"/>
          <w:szCs w:val="18"/>
          <w:shd w:val="clear" w:color="auto" w:fill="FFFFFF"/>
        </w:rPr>
        <w:t>zvaděč RH, navržený v místnosti č. 115, bude sloučen do společné skříně s elektroměrovým rozvaděčem RE. Skříň bude v min. krytí IP44 a bude osazena v exteriéru objektu v průjezdu. Plombovaná část, pro osazení měřící soupravy, bude provedena v souladu s Připojovacími podmínkami ČEZ Distribuce ze dne 1. 2. 2018. Uzemnění přípojnice HOP, nebude napojeno na svod hromosvodu č. 2, ale bude vyvedeno z hlavní domovní skříně HDS.</w:t>
      </w:r>
      <w:r>
        <w:rPr>
          <w:color w:val="212121"/>
          <w:sz w:val="18"/>
          <w:szCs w:val="18"/>
          <w:shd w:val="clear" w:color="auto" w:fill="FFFFFF"/>
        </w:rPr>
        <w:t xml:space="preserve"> </w:t>
      </w:r>
      <w:r w:rsidRPr="00166308">
        <w:rPr>
          <w:sz w:val="18"/>
          <w:szCs w:val="18"/>
        </w:rPr>
        <w:t>Při provádění prací bylo zjištěno, že n</w:t>
      </w:r>
      <w:r w:rsidRPr="00961246">
        <w:rPr>
          <w:rFonts w:eastAsia="Times New Roman"/>
          <w:color w:val="212121"/>
          <w:sz w:val="18"/>
          <w:szCs w:val="18"/>
          <w:lang w:eastAsia="cs-CZ"/>
        </w:rPr>
        <w:t>a p</w:t>
      </w:r>
      <w:r w:rsidRPr="00166308">
        <w:rPr>
          <w:rFonts w:eastAsia="Times New Roman"/>
          <w:color w:val="212121"/>
          <w:sz w:val="18"/>
          <w:szCs w:val="18"/>
          <w:lang w:eastAsia="cs-CZ"/>
        </w:rPr>
        <w:t>odestách schodiště budou použité</w:t>
      </w:r>
      <w:r w:rsidRPr="00961246">
        <w:rPr>
          <w:rFonts w:eastAsia="Times New Roman"/>
          <w:color w:val="212121"/>
          <w:sz w:val="18"/>
          <w:szCs w:val="18"/>
          <w:lang w:eastAsia="cs-CZ"/>
        </w:rPr>
        <w:t xml:space="preserve"> </w:t>
      </w:r>
      <w:r w:rsidRPr="00961246">
        <w:rPr>
          <w:rFonts w:eastAsia="Times New Roman"/>
          <w:sz w:val="18"/>
          <w:szCs w:val="18"/>
          <w:lang w:eastAsia="cs-CZ"/>
        </w:rPr>
        <w:t>pohybov</w:t>
      </w:r>
      <w:r w:rsidRPr="00A8542C">
        <w:rPr>
          <w:rFonts w:eastAsia="Times New Roman"/>
          <w:sz w:val="18"/>
          <w:szCs w:val="18"/>
          <w:lang w:eastAsia="cs-CZ"/>
        </w:rPr>
        <w:t>é detektory</w:t>
      </w:r>
      <w:r w:rsidRPr="00961246">
        <w:rPr>
          <w:rFonts w:eastAsia="Times New Roman"/>
          <w:sz w:val="18"/>
          <w:szCs w:val="18"/>
          <w:lang w:eastAsia="cs-CZ"/>
        </w:rPr>
        <w:t xml:space="preserve"> pro ovládání osvětlení</w:t>
      </w:r>
      <w:r w:rsidRPr="00A8542C">
        <w:rPr>
          <w:rFonts w:eastAsia="Times New Roman"/>
          <w:sz w:val="18"/>
          <w:szCs w:val="18"/>
          <w:lang w:eastAsia="cs-CZ"/>
        </w:rPr>
        <w:t xml:space="preserve"> s ohledem na orientaci a vnitřní členění objektu </w:t>
      </w:r>
      <w:r>
        <w:rPr>
          <w:rFonts w:eastAsia="Times New Roman"/>
          <w:sz w:val="18"/>
          <w:szCs w:val="18"/>
          <w:lang w:eastAsia="cs-CZ"/>
        </w:rPr>
        <w:t xml:space="preserve">nevyhovují </w:t>
      </w:r>
      <w:r w:rsidRPr="00A8542C">
        <w:rPr>
          <w:rFonts w:eastAsia="Times New Roman"/>
          <w:sz w:val="18"/>
          <w:szCs w:val="18"/>
          <w:lang w:eastAsia="cs-CZ"/>
        </w:rPr>
        <w:t>pro bezpečný provoz a pohyb osob na schodišti objektu</w:t>
      </w:r>
      <w:r>
        <w:rPr>
          <w:rFonts w:eastAsia="Times New Roman"/>
          <w:sz w:val="18"/>
          <w:szCs w:val="18"/>
          <w:lang w:eastAsia="cs-CZ"/>
        </w:rPr>
        <w:t>, proto</w:t>
      </w:r>
      <w:r w:rsidRPr="00A8542C">
        <w:rPr>
          <w:rFonts w:eastAsia="Times New Roman"/>
          <w:sz w:val="18"/>
          <w:szCs w:val="18"/>
          <w:lang w:eastAsia="cs-CZ"/>
        </w:rPr>
        <w:t xml:space="preserve"> je v každém podlaží navrženo doplnění jednoho </w:t>
      </w:r>
      <w:r w:rsidRPr="00961246">
        <w:rPr>
          <w:rFonts w:eastAsia="Times New Roman"/>
          <w:sz w:val="18"/>
          <w:szCs w:val="18"/>
          <w:lang w:eastAsia="cs-CZ"/>
        </w:rPr>
        <w:t>pohybov</w:t>
      </w:r>
      <w:r w:rsidRPr="00A8542C">
        <w:rPr>
          <w:rFonts w:eastAsia="Times New Roman"/>
          <w:sz w:val="18"/>
          <w:szCs w:val="18"/>
          <w:lang w:eastAsia="cs-CZ"/>
        </w:rPr>
        <w:t>ého detektoru</w:t>
      </w:r>
      <w:r w:rsidRPr="00961246">
        <w:rPr>
          <w:rFonts w:eastAsia="Times New Roman"/>
          <w:sz w:val="18"/>
          <w:szCs w:val="18"/>
          <w:lang w:eastAsia="cs-CZ"/>
        </w:rPr>
        <w:t xml:space="preserve"> pro ovládání osvětlení</w:t>
      </w:r>
      <w:r w:rsidRPr="00A8542C">
        <w:rPr>
          <w:rFonts w:eastAsia="Times New Roman"/>
          <w:sz w:val="18"/>
          <w:szCs w:val="18"/>
          <w:lang w:eastAsia="cs-CZ"/>
        </w:rPr>
        <w:t xml:space="preserve"> </w:t>
      </w:r>
      <w:r w:rsidRPr="00961246">
        <w:rPr>
          <w:rFonts w:eastAsia="Times New Roman"/>
          <w:sz w:val="18"/>
          <w:szCs w:val="18"/>
          <w:lang w:eastAsia="cs-CZ"/>
        </w:rPr>
        <w:t>pohybov</w:t>
      </w:r>
      <w:r>
        <w:rPr>
          <w:rFonts w:eastAsia="Times New Roman"/>
          <w:sz w:val="18"/>
          <w:szCs w:val="18"/>
          <w:lang w:eastAsia="cs-CZ"/>
        </w:rPr>
        <w:t>ými</w:t>
      </w:r>
      <w:r w:rsidRPr="00A8542C">
        <w:rPr>
          <w:rFonts w:eastAsia="Times New Roman"/>
          <w:sz w:val="18"/>
          <w:szCs w:val="18"/>
          <w:lang w:eastAsia="cs-CZ"/>
        </w:rPr>
        <w:t xml:space="preserve"> detektory</w:t>
      </w:r>
      <w:r w:rsidRPr="00961246">
        <w:rPr>
          <w:rFonts w:eastAsia="Times New Roman"/>
          <w:sz w:val="18"/>
          <w:szCs w:val="18"/>
          <w:lang w:eastAsia="cs-CZ"/>
        </w:rPr>
        <w:t xml:space="preserve"> </w:t>
      </w:r>
      <w:r w:rsidRPr="00A8542C">
        <w:rPr>
          <w:sz w:val="18"/>
          <w:szCs w:val="18"/>
        </w:rPr>
        <w:t>Luxomat LC-mini 180°</w:t>
      </w:r>
      <w:r w:rsidRPr="00A8542C">
        <w:rPr>
          <w:rFonts w:eastAsia="Times New Roman"/>
          <w:sz w:val="18"/>
          <w:szCs w:val="18"/>
          <w:lang w:eastAsia="cs-CZ"/>
        </w:rPr>
        <w:t xml:space="preserve"> </w:t>
      </w:r>
      <w:r w:rsidRPr="00961246">
        <w:rPr>
          <w:rFonts w:eastAsia="Times New Roman"/>
          <w:sz w:val="18"/>
          <w:szCs w:val="18"/>
          <w:lang w:eastAsia="cs-CZ"/>
        </w:rPr>
        <w:t>pro ovládání osvětlení</w:t>
      </w:r>
      <w:r w:rsidRPr="00A8542C">
        <w:rPr>
          <w:rFonts w:eastAsia="Times New Roman"/>
          <w:sz w:val="18"/>
          <w:szCs w:val="18"/>
          <w:lang w:eastAsia="cs-CZ"/>
        </w:rPr>
        <w:t xml:space="preserve"> </w:t>
      </w:r>
      <w:r>
        <w:rPr>
          <w:rFonts w:eastAsia="Times New Roman"/>
          <w:sz w:val="18"/>
          <w:szCs w:val="18"/>
          <w:lang w:eastAsia="cs-CZ"/>
        </w:rPr>
        <w:t xml:space="preserve">v počtu 4 kusů. </w:t>
      </w:r>
      <w:r w:rsidRPr="00A8542C">
        <w:rPr>
          <w:rFonts w:eastAsia="Times New Roman"/>
          <w:sz w:val="18"/>
          <w:szCs w:val="18"/>
          <w:lang w:eastAsia="cs-CZ"/>
        </w:rPr>
        <w:t>Další navrhovaná úprava mění v projektu navržené použití</w:t>
      </w:r>
      <w:r w:rsidRPr="00A8542C">
        <w:rPr>
          <w:sz w:val="18"/>
          <w:szCs w:val="18"/>
          <w:shd w:val="clear" w:color="auto" w:fill="FFFFFF"/>
        </w:rPr>
        <w:t xml:space="preserve"> osvětlení chodeb</w:t>
      </w:r>
      <w:r w:rsidRPr="00961246">
        <w:rPr>
          <w:rFonts w:eastAsia="Times New Roman"/>
          <w:sz w:val="18"/>
          <w:szCs w:val="18"/>
          <w:lang w:eastAsia="cs-CZ"/>
        </w:rPr>
        <w:t>.</w:t>
      </w:r>
      <w:r w:rsidRPr="00A8542C">
        <w:rPr>
          <w:rFonts w:eastAsia="Times New Roman"/>
          <w:sz w:val="18"/>
          <w:szCs w:val="18"/>
          <w:lang w:eastAsia="cs-CZ"/>
        </w:rPr>
        <w:t xml:space="preserve"> S ohledem na technologický vývoj, který od doby zpracování projektu (r. 2016) přinesl rozšíření a zlevnění </w:t>
      </w:r>
      <w:r w:rsidRPr="00A8542C">
        <w:rPr>
          <w:sz w:val="18"/>
          <w:szCs w:val="18"/>
          <w:shd w:val="clear" w:color="auto" w:fill="FFFFFF"/>
        </w:rPr>
        <w:t>svítidel LED, místo nichž je v projektu navrženo užití zářivkových trubic T5 a T8.  S ohledem na uvedené</w:t>
      </w:r>
      <w:r>
        <w:rPr>
          <w:sz w:val="18"/>
          <w:szCs w:val="18"/>
          <w:shd w:val="clear" w:color="auto" w:fill="FFFFFF"/>
        </w:rPr>
        <w:t xml:space="preserve"> budou </w:t>
      </w:r>
      <w:r w:rsidRPr="00A8542C">
        <w:rPr>
          <w:sz w:val="18"/>
          <w:szCs w:val="18"/>
          <w:shd w:val="clear" w:color="auto" w:fill="FFFFFF"/>
        </w:rPr>
        <w:t>vyměn</w:t>
      </w:r>
      <w:r>
        <w:rPr>
          <w:sz w:val="18"/>
          <w:szCs w:val="18"/>
          <w:shd w:val="clear" w:color="auto" w:fill="FFFFFF"/>
        </w:rPr>
        <w:t>ěna</w:t>
      </w:r>
      <w:r w:rsidRPr="00A8542C">
        <w:rPr>
          <w:sz w:val="18"/>
          <w:szCs w:val="18"/>
          <w:shd w:val="clear" w:color="auto" w:fill="FFFFFF"/>
        </w:rPr>
        <w:t xml:space="preserve"> za svítidla LED. </w:t>
      </w:r>
      <w:r>
        <w:rPr>
          <w:sz w:val="18"/>
          <w:szCs w:val="18"/>
          <w:shd w:val="clear" w:color="auto" w:fill="FFFFFF"/>
        </w:rPr>
        <w:t>I</w:t>
      </w:r>
      <w:r w:rsidRPr="00A8542C">
        <w:rPr>
          <w:sz w:val="18"/>
          <w:szCs w:val="18"/>
          <w:lang w:eastAsia="cs-CZ"/>
        </w:rPr>
        <w:t xml:space="preserve">dentifikovanou překážkou dokončení díla je dodatečně zjištěný nevyhovující stav </w:t>
      </w:r>
      <w:r w:rsidRPr="00A8542C">
        <w:rPr>
          <w:sz w:val="18"/>
          <w:szCs w:val="18"/>
          <w:shd w:val="clear" w:color="auto" w:fill="FFFFFF"/>
        </w:rPr>
        <w:t xml:space="preserve">elektroinstalace kuchyňka a WC ve 4.NP. Projektová dokumentace i dílo samotné zohledňovalo provedení samostatné rekonstrukce všech kuchyněk a sociálních zařízení v objektu provedené v roce 2012 (realizováno KAZV/AZV). Tyto rekonstrukce měly zahrnovat i rekonstrukci elektroinstalací v uvedených částech. Jak bylo zjištěno při provádění díla, ve 4.NP byla elektroinstalace WC a kuchyňky provedena oproti zbytku objektu pouze částečně spínače, zásuvky, kabeláž a související instalační materiál je v nevyhovujícím stavu. Provedené řešení není objektivně propojitelné s rekonstruovanými rozvody a připojitelné na tyto rozvody. Původní projektová dokumentace rekonstrukce kuchyněk a WC popisuje, že byl rekonstruován i popsaný prostor, skutečný stav tomu po odkrytí staveních částí neodpovídá. S ohledem na to bylo přistoupeno k návrhu provést rekonstrukci zhotovitelem i v těchto prostorech. Cenová nabídka odpovídá </w:t>
      </w:r>
      <w:r w:rsidRPr="00A8542C">
        <w:rPr>
          <w:sz w:val="18"/>
          <w:szCs w:val="18"/>
          <w:lang w:eastAsia="cs-CZ"/>
        </w:rPr>
        <w:t xml:space="preserve">v případě shodného typu s položkovými cenami totožných dodávek, materiálu a prací předložených v původní smlouvě o dílo a </w:t>
      </w:r>
      <w:r w:rsidRPr="00A8542C">
        <w:rPr>
          <w:sz w:val="18"/>
          <w:szCs w:val="18"/>
          <w:shd w:val="clear" w:color="auto" w:fill="FFFFFF"/>
        </w:rPr>
        <w:t>aktualizovaným datům </w:t>
      </w:r>
      <w:r w:rsidRPr="00A8542C">
        <w:rPr>
          <w:rStyle w:val="Zdraznn"/>
          <w:bCs/>
          <w:sz w:val="18"/>
          <w:szCs w:val="18"/>
          <w:shd w:val="clear" w:color="auto" w:fill="FFFFFF"/>
        </w:rPr>
        <w:t>cenové soustavy</w:t>
      </w:r>
      <w:r w:rsidRPr="00A8542C">
        <w:rPr>
          <w:sz w:val="18"/>
          <w:szCs w:val="18"/>
          <w:shd w:val="clear" w:color="auto" w:fill="FFFFFF"/>
        </w:rPr>
        <w:t> RTS pro e</w:t>
      </w:r>
      <w:r w:rsidRPr="00A8542C">
        <w:rPr>
          <w:sz w:val="18"/>
          <w:szCs w:val="18"/>
        </w:rPr>
        <w:t xml:space="preserve">lektromontáže, stavební práce a dodávky zařízení dle specifikace. </w:t>
      </w:r>
      <w:r w:rsidRPr="00A8542C">
        <w:rPr>
          <w:sz w:val="18"/>
          <w:szCs w:val="18"/>
          <w:lang w:eastAsia="cs-CZ"/>
        </w:rPr>
        <w:t xml:space="preserve">Ve všech přiložených položkových rozpočtech je uvedena cena za popsané práce související s dokončením díla. Položkové rozpočty budou nedílnou součástí dodatku. </w:t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2"/>
        </w:rPr>
      </w:pPr>
    </w:p>
    <w:p w:rsidR="000203A1" w:rsidRDefault="000203A1" w:rsidP="000203A1">
      <w:pPr>
        <w:pStyle w:val="Nadpis1"/>
        <w:widowControl w:val="0"/>
        <w:numPr>
          <w:ilvl w:val="1"/>
          <w:numId w:val="2"/>
        </w:numPr>
        <w:spacing w:before="60" w:after="60" w:line="276" w:lineRule="auto"/>
        <w:rPr>
          <w:sz w:val="20"/>
          <w:szCs w:val="22"/>
        </w:rPr>
      </w:pPr>
      <w:r w:rsidRPr="00C43B30">
        <w:rPr>
          <w:sz w:val="20"/>
          <w:szCs w:val="22"/>
        </w:rPr>
        <w:t xml:space="preserve">Obě smluvní strany prohlašují, že došlo k dohodě o celém rozsahu tohoto </w:t>
      </w:r>
      <w:r>
        <w:rPr>
          <w:sz w:val="20"/>
          <w:szCs w:val="22"/>
        </w:rPr>
        <w:t>d</w:t>
      </w:r>
      <w:r w:rsidRPr="00C43B30">
        <w:rPr>
          <w:sz w:val="20"/>
          <w:szCs w:val="22"/>
        </w:rPr>
        <w:t xml:space="preserve">odatku </w:t>
      </w:r>
    </w:p>
    <w:p w:rsidR="000203A1" w:rsidRPr="00C43B30" w:rsidRDefault="000203A1" w:rsidP="000203A1">
      <w:pPr>
        <w:pStyle w:val="Nadpis1"/>
        <w:keepNext w:val="0"/>
        <w:widowControl w:val="0"/>
        <w:numPr>
          <w:ilvl w:val="1"/>
          <w:numId w:val="2"/>
        </w:numPr>
        <w:spacing w:before="60" w:after="60" w:line="276" w:lineRule="auto"/>
        <w:rPr>
          <w:sz w:val="20"/>
          <w:szCs w:val="22"/>
        </w:rPr>
      </w:pPr>
      <w:r w:rsidRPr="00071405">
        <w:rPr>
          <w:sz w:val="20"/>
          <w:szCs w:val="22"/>
        </w:rPr>
        <w:t xml:space="preserve">Zhotovitel souhlasí s uveřejněním obsahu </w:t>
      </w:r>
      <w:r>
        <w:rPr>
          <w:sz w:val="20"/>
          <w:szCs w:val="22"/>
        </w:rPr>
        <w:t>dodatku</w:t>
      </w:r>
      <w:r w:rsidRPr="00071405">
        <w:rPr>
          <w:sz w:val="20"/>
          <w:szCs w:val="22"/>
        </w:rPr>
        <w:t xml:space="preserve"> na internetových stránkách Objednatele a na profilu Objednatele.</w:t>
      </w:r>
    </w:p>
    <w:p w:rsidR="000203A1" w:rsidRDefault="000203A1" w:rsidP="000203A1">
      <w:pPr>
        <w:pStyle w:val="Nadpis1"/>
        <w:widowControl w:val="0"/>
        <w:numPr>
          <w:ilvl w:val="1"/>
          <w:numId w:val="2"/>
        </w:numPr>
        <w:spacing w:before="60" w:after="60" w:line="276" w:lineRule="auto"/>
        <w:rPr>
          <w:sz w:val="20"/>
          <w:szCs w:val="22"/>
        </w:rPr>
      </w:pPr>
      <w:r w:rsidRPr="00C43B30">
        <w:rPr>
          <w:sz w:val="20"/>
          <w:szCs w:val="22"/>
        </w:rPr>
        <w:t xml:space="preserve">Tento </w:t>
      </w:r>
      <w:r>
        <w:rPr>
          <w:sz w:val="20"/>
          <w:szCs w:val="22"/>
        </w:rPr>
        <w:t>d</w:t>
      </w:r>
      <w:r w:rsidRPr="00C43B30">
        <w:rPr>
          <w:sz w:val="20"/>
          <w:szCs w:val="22"/>
        </w:rPr>
        <w:t xml:space="preserve">odatek je vyhotoven ve 4 stejnopisech každý s platností originálu, z nichž každá ze smluvních stran obdrží 2 stejnopisy. </w:t>
      </w:r>
    </w:p>
    <w:p w:rsidR="000203A1" w:rsidRPr="00C43B30" w:rsidRDefault="000203A1" w:rsidP="000203A1">
      <w:pPr>
        <w:pStyle w:val="Nadpis1"/>
        <w:widowControl w:val="0"/>
        <w:numPr>
          <w:ilvl w:val="1"/>
          <w:numId w:val="2"/>
        </w:numPr>
        <w:spacing w:before="60" w:after="60" w:line="276" w:lineRule="auto"/>
        <w:rPr>
          <w:sz w:val="20"/>
          <w:szCs w:val="22"/>
        </w:rPr>
      </w:pPr>
      <w:r>
        <w:rPr>
          <w:sz w:val="20"/>
          <w:szCs w:val="22"/>
        </w:rPr>
        <w:t>Ostatní ustanovení smlouvy</w:t>
      </w:r>
      <w:r w:rsidRPr="00C43B30">
        <w:rPr>
          <w:sz w:val="20"/>
          <w:szCs w:val="22"/>
        </w:rPr>
        <w:t xml:space="preserve"> </w:t>
      </w:r>
      <w:r>
        <w:rPr>
          <w:sz w:val="20"/>
          <w:szCs w:val="22"/>
        </w:rPr>
        <w:t>mezi smluvním</w:t>
      </w:r>
      <w:r w:rsidRPr="00C43B30">
        <w:rPr>
          <w:sz w:val="20"/>
          <w:szCs w:val="22"/>
        </w:rPr>
        <w:t xml:space="preserve">i stranami </w:t>
      </w:r>
      <w:r>
        <w:rPr>
          <w:sz w:val="20"/>
          <w:szCs w:val="22"/>
        </w:rPr>
        <w:t xml:space="preserve">se nemění a zůstávají </w:t>
      </w:r>
      <w:r w:rsidRPr="00C43B30">
        <w:rPr>
          <w:sz w:val="20"/>
          <w:szCs w:val="22"/>
        </w:rPr>
        <w:t>v</w:t>
      </w:r>
      <w:r>
        <w:rPr>
          <w:sz w:val="20"/>
          <w:szCs w:val="22"/>
        </w:rPr>
        <w:t> </w:t>
      </w:r>
      <w:r w:rsidRPr="00C43B30">
        <w:rPr>
          <w:sz w:val="20"/>
          <w:szCs w:val="22"/>
        </w:rPr>
        <w:t>platnosti</w:t>
      </w:r>
      <w:r>
        <w:rPr>
          <w:sz w:val="20"/>
          <w:szCs w:val="22"/>
        </w:rPr>
        <w:t>.</w:t>
      </w:r>
      <w:r w:rsidRPr="00C43B30">
        <w:rPr>
          <w:sz w:val="20"/>
          <w:szCs w:val="22"/>
        </w:rPr>
        <w:t xml:space="preserve"> </w:t>
      </w:r>
    </w:p>
    <w:p w:rsidR="000203A1" w:rsidRPr="00C43B30" w:rsidRDefault="000203A1" w:rsidP="000203A1">
      <w:pPr>
        <w:pStyle w:val="Nadpis1"/>
        <w:widowControl w:val="0"/>
        <w:numPr>
          <w:ilvl w:val="1"/>
          <w:numId w:val="2"/>
        </w:numPr>
        <w:spacing w:before="60" w:after="60" w:line="276" w:lineRule="auto"/>
        <w:rPr>
          <w:sz w:val="20"/>
          <w:szCs w:val="22"/>
        </w:rPr>
      </w:pPr>
      <w:r w:rsidRPr="00C43B30">
        <w:rPr>
          <w:sz w:val="20"/>
          <w:szCs w:val="22"/>
        </w:rPr>
        <w:t>Zhotovitel je srozuměn s tím, že Objednatel je povinen uveřejnit dle § 219 odst. 1 na svém profilu t</w:t>
      </w:r>
      <w:r>
        <w:rPr>
          <w:sz w:val="20"/>
          <w:szCs w:val="22"/>
        </w:rPr>
        <w:t>ento</w:t>
      </w:r>
      <w:r w:rsidRPr="00C43B30">
        <w:rPr>
          <w:sz w:val="20"/>
          <w:szCs w:val="22"/>
        </w:rPr>
        <w:t xml:space="preserve"> </w:t>
      </w:r>
      <w:r>
        <w:rPr>
          <w:sz w:val="20"/>
          <w:szCs w:val="22"/>
        </w:rPr>
        <w:t>dodatek</w:t>
      </w:r>
      <w:r w:rsidRPr="00C43B30">
        <w:rPr>
          <w:sz w:val="20"/>
          <w:szCs w:val="22"/>
        </w:rPr>
        <w:t xml:space="preserve"> včetně všech je</w:t>
      </w:r>
      <w:r>
        <w:rPr>
          <w:sz w:val="20"/>
          <w:szCs w:val="22"/>
        </w:rPr>
        <w:t>ho</w:t>
      </w:r>
      <w:r w:rsidRPr="00C43B30">
        <w:rPr>
          <w:sz w:val="20"/>
          <w:szCs w:val="22"/>
        </w:rPr>
        <w:t xml:space="preserve"> změn. Dále je </w:t>
      </w:r>
      <w:r>
        <w:rPr>
          <w:sz w:val="20"/>
          <w:szCs w:val="22"/>
        </w:rPr>
        <w:t>Z</w:t>
      </w:r>
      <w:r w:rsidRPr="00C43B30">
        <w:rPr>
          <w:sz w:val="20"/>
          <w:szCs w:val="22"/>
        </w:rPr>
        <w:t xml:space="preserve">hotovitel srozuměn s tím, že dle § 219 odst. 3 ZZVZ je </w:t>
      </w:r>
      <w:r>
        <w:rPr>
          <w:sz w:val="20"/>
          <w:szCs w:val="22"/>
        </w:rPr>
        <w:t>O</w:t>
      </w:r>
      <w:r w:rsidRPr="00C43B30">
        <w:rPr>
          <w:sz w:val="20"/>
          <w:szCs w:val="22"/>
        </w:rPr>
        <w:t xml:space="preserve">bjednatel povinen uveřejnit na profilu výši skutečné uhrazené ceny za plnění veřejné zakázky. Zhotovitel tímto uděluje souhlas </w:t>
      </w:r>
      <w:r>
        <w:rPr>
          <w:sz w:val="20"/>
          <w:szCs w:val="22"/>
        </w:rPr>
        <w:t>O</w:t>
      </w:r>
      <w:r w:rsidRPr="00C43B30">
        <w:rPr>
          <w:sz w:val="20"/>
          <w:szCs w:val="22"/>
        </w:rPr>
        <w:t xml:space="preserve">bjednateli k uveřejnění všech podkladů, údajů a informací uvedených v tomto odstavci a těch, k jejichž uveřejnění je povinen dle právních předpisů. Zhotovitel je srozuměn s tím, že </w:t>
      </w:r>
      <w:r>
        <w:rPr>
          <w:sz w:val="20"/>
          <w:szCs w:val="22"/>
        </w:rPr>
        <w:t>O</w:t>
      </w:r>
      <w:r w:rsidRPr="00C43B30">
        <w:rPr>
          <w:sz w:val="20"/>
          <w:szCs w:val="22"/>
        </w:rPr>
        <w:t xml:space="preserve">bjednatel je povinen zveřejnit obraz smlouvy a jejích případných změn (dodatků) a dalších dokumentů od této smlouvy odvozených včetně metadat požadovaných k uveřejnění dle zákona č. 340/2015 Sb., o registru smluv. Zveřejnění </w:t>
      </w:r>
      <w:r>
        <w:rPr>
          <w:sz w:val="20"/>
          <w:szCs w:val="22"/>
        </w:rPr>
        <w:t>dodatku</w:t>
      </w:r>
      <w:r w:rsidRPr="00C43B30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č. 1 </w:t>
      </w:r>
      <w:r w:rsidRPr="00C43B30">
        <w:rPr>
          <w:sz w:val="20"/>
          <w:szCs w:val="22"/>
        </w:rPr>
        <w:t>a metadat zajistí Objednatel.</w:t>
      </w:r>
    </w:p>
    <w:p w:rsidR="000203A1" w:rsidRDefault="000203A1" w:rsidP="000203A1">
      <w:pPr>
        <w:pStyle w:val="Nadpis1"/>
        <w:widowControl w:val="0"/>
        <w:numPr>
          <w:ilvl w:val="1"/>
          <w:numId w:val="2"/>
        </w:numPr>
        <w:spacing w:before="60" w:after="60" w:line="276" w:lineRule="auto"/>
        <w:rPr>
          <w:sz w:val="20"/>
          <w:szCs w:val="22"/>
        </w:rPr>
      </w:pPr>
      <w:r w:rsidRPr="00C43B30">
        <w:rPr>
          <w:sz w:val="20"/>
          <w:szCs w:val="22"/>
        </w:rPr>
        <w:t xml:space="preserve">Obě smluvní strany prohlašují, že se seznámily s celým textem tohoto </w:t>
      </w:r>
      <w:r>
        <w:rPr>
          <w:sz w:val="20"/>
          <w:szCs w:val="22"/>
        </w:rPr>
        <w:t>d</w:t>
      </w:r>
      <w:r w:rsidRPr="00C43B30">
        <w:rPr>
          <w:sz w:val="20"/>
          <w:szCs w:val="22"/>
        </w:rPr>
        <w:t>odatku</w:t>
      </w:r>
      <w:r>
        <w:rPr>
          <w:sz w:val="20"/>
          <w:szCs w:val="22"/>
        </w:rPr>
        <w:t>,</w:t>
      </w:r>
      <w:r w:rsidRPr="00C43B30">
        <w:rPr>
          <w:sz w:val="20"/>
          <w:szCs w:val="22"/>
        </w:rPr>
        <w:t xml:space="preserve"> a s celým obsahem tohoto </w:t>
      </w:r>
      <w:r>
        <w:rPr>
          <w:sz w:val="20"/>
          <w:szCs w:val="22"/>
        </w:rPr>
        <w:t>d</w:t>
      </w:r>
      <w:r w:rsidRPr="00C43B30">
        <w:rPr>
          <w:sz w:val="20"/>
          <w:szCs w:val="22"/>
        </w:rPr>
        <w:t xml:space="preserve">odatku souhlasí. Současně prohlašují, že tento </w:t>
      </w:r>
      <w:r>
        <w:rPr>
          <w:sz w:val="20"/>
          <w:szCs w:val="22"/>
        </w:rPr>
        <w:t>d</w:t>
      </w:r>
      <w:r w:rsidRPr="00C43B30">
        <w:rPr>
          <w:sz w:val="20"/>
          <w:szCs w:val="22"/>
        </w:rPr>
        <w:t>odatek nebyl sjednán v tísni ani za jinak je</w:t>
      </w:r>
      <w:r>
        <w:rPr>
          <w:sz w:val="20"/>
          <w:szCs w:val="22"/>
        </w:rPr>
        <w:t>dnostranně nevýhodných podmínek.</w:t>
      </w:r>
    </w:p>
    <w:p w:rsidR="000203A1" w:rsidRDefault="000203A1" w:rsidP="000203A1">
      <w:pPr>
        <w:pStyle w:val="Nadpis1"/>
        <w:keepNext w:val="0"/>
        <w:widowControl w:val="0"/>
        <w:numPr>
          <w:ilvl w:val="1"/>
          <w:numId w:val="2"/>
        </w:numPr>
        <w:spacing w:before="60" w:after="60" w:line="276" w:lineRule="auto"/>
        <w:rPr>
          <w:sz w:val="20"/>
          <w:szCs w:val="22"/>
        </w:rPr>
      </w:pPr>
      <w:r>
        <w:rPr>
          <w:sz w:val="20"/>
          <w:szCs w:val="22"/>
        </w:rPr>
        <w:t>Dodatek</w:t>
      </w:r>
      <w:r w:rsidRPr="00071405">
        <w:rPr>
          <w:sz w:val="20"/>
          <w:szCs w:val="22"/>
        </w:rPr>
        <w:t xml:space="preserve"> nabývá platnosti </w:t>
      </w:r>
      <w:r>
        <w:rPr>
          <w:sz w:val="20"/>
          <w:szCs w:val="22"/>
        </w:rPr>
        <w:t xml:space="preserve">dnem podpisu dodatku druhou ze smluvní stran  </w:t>
      </w:r>
      <w:r w:rsidRPr="00071405">
        <w:rPr>
          <w:sz w:val="20"/>
          <w:szCs w:val="22"/>
        </w:rPr>
        <w:t xml:space="preserve">a účinnosti dnem </w:t>
      </w:r>
      <w:r>
        <w:rPr>
          <w:sz w:val="20"/>
          <w:szCs w:val="22"/>
        </w:rPr>
        <w:t>zveřejnění v registru smluv způsobem uvedeným v čl. II odst.5 dodatku</w:t>
      </w:r>
      <w:r w:rsidRPr="00071405">
        <w:rPr>
          <w:sz w:val="20"/>
          <w:szCs w:val="22"/>
        </w:rPr>
        <w:t>.</w:t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2"/>
        </w:rPr>
      </w:pP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2"/>
        </w:rPr>
      </w:pPr>
    </w:p>
    <w:p w:rsidR="000203A1" w:rsidRPr="00B44421" w:rsidRDefault="000203A1" w:rsidP="000203A1">
      <w:pPr>
        <w:pStyle w:val="Zkladntext"/>
        <w:widowControl w:val="0"/>
        <w:spacing w:line="240" w:lineRule="atLeast"/>
        <w:rPr>
          <w:rFonts w:ascii="Arial" w:eastAsia="Arial" w:hAnsi="Arial" w:cs="Arial"/>
          <w:b/>
          <w:color w:val="auto"/>
          <w:sz w:val="20"/>
        </w:rPr>
      </w:pPr>
      <w:r w:rsidRPr="00B44421">
        <w:rPr>
          <w:rFonts w:ascii="Arial" w:eastAsia="Arial" w:hAnsi="Arial" w:cs="Arial"/>
          <w:b/>
          <w:color w:val="auto"/>
          <w:sz w:val="20"/>
          <w:u w:val="single"/>
        </w:rPr>
        <w:t>Přílohy:</w:t>
      </w:r>
    </w:p>
    <w:p w:rsidR="000203A1" w:rsidRPr="00B44421" w:rsidRDefault="000203A1" w:rsidP="000203A1">
      <w:pPr>
        <w:pStyle w:val="Zkladntext"/>
        <w:widowControl w:val="0"/>
        <w:spacing w:line="240" w:lineRule="atLeast"/>
        <w:rPr>
          <w:rFonts w:ascii="Arial" w:eastAsia="Arial" w:hAnsi="Arial" w:cs="Arial"/>
          <w:color w:val="auto"/>
          <w:sz w:val="20"/>
        </w:rPr>
      </w:pPr>
      <w:r w:rsidRPr="00B44421">
        <w:rPr>
          <w:rFonts w:ascii="Arial" w:eastAsia="Arial" w:hAnsi="Arial" w:cs="Arial"/>
          <w:b/>
          <w:color w:val="auto"/>
          <w:sz w:val="20"/>
        </w:rPr>
        <w:tab/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0"/>
        </w:rPr>
      </w:pPr>
      <w:r w:rsidRPr="00B44421">
        <w:rPr>
          <w:sz w:val="20"/>
          <w:szCs w:val="20"/>
        </w:rPr>
        <w:t>Příloha č.1 -</w:t>
      </w:r>
      <w:r w:rsidRPr="00B2137B">
        <w:t xml:space="preserve"> </w:t>
      </w:r>
      <w:r w:rsidRPr="00B2137B">
        <w:rPr>
          <w:sz w:val="20"/>
          <w:szCs w:val="20"/>
        </w:rPr>
        <w:t>MZe - rekonstrukce elektroinstalace - SDK Kufry 1.NP záměna za drážky</w:t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Příloha č.2 - </w:t>
      </w:r>
      <w:r w:rsidRPr="00B2137B">
        <w:rPr>
          <w:sz w:val="20"/>
          <w:szCs w:val="20"/>
        </w:rPr>
        <w:t>MZe - rekonstrukce elektroinstalace - SDK Kufr</w:t>
      </w:r>
      <w:r>
        <w:rPr>
          <w:sz w:val="20"/>
          <w:szCs w:val="20"/>
        </w:rPr>
        <w:t>y 2-5.NP záměna za drážky</w:t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Příloha č.3 - </w:t>
      </w:r>
      <w:r w:rsidRPr="00B2137B">
        <w:rPr>
          <w:sz w:val="20"/>
          <w:szCs w:val="20"/>
        </w:rPr>
        <w:t>MZe Přerov</w:t>
      </w:r>
      <w:r>
        <w:rPr>
          <w:sz w:val="20"/>
          <w:szCs w:val="20"/>
        </w:rPr>
        <w:t xml:space="preserve"> </w:t>
      </w:r>
      <w:r w:rsidRPr="00B2137B">
        <w:rPr>
          <w:sz w:val="20"/>
          <w:szCs w:val="20"/>
        </w:rPr>
        <w:t>Wurm</w:t>
      </w:r>
      <w:r>
        <w:rPr>
          <w:sz w:val="20"/>
          <w:szCs w:val="20"/>
        </w:rPr>
        <w:t>ova 2 - rozvaděče  RH a RE</w:t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Příloha č.4 - </w:t>
      </w:r>
      <w:r w:rsidRPr="00B2137B">
        <w:rPr>
          <w:sz w:val="20"/>
          <w:szCs w:val="20"/>
        </w:rPr>
        <w:t>MZe - rekonstrukce elektroinstalace - doplnění po</w:t>
      </w:r>
      <w:r>
        <w:rPr>
          <w:sz w:val="20"/>
          <w:szCs w:val="20"/>
        </w:rPr>
        <w:t>hyb. detektorů na schodiště</w:t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Příloha č.5 - </w:t>
      </w:r>
      <w:r w:rsidRPr="00B2137B">
        <w:rPr>
          <w:sz w:val="20"/>
          <w:szCs w:val="20"/>
        </w:rPr>
        <w:t>MZe -Wurmova 2 Přerov - nová elektroins</w:t>
      </w:r>
      <w:r>
        <w:rPr>
          <w:sz w:val="20"/>
          <w:szCs w:val="20"/>
        </w:rPr>
        <w:t>t</w:t>
      </w:r>
      <w:r w:rsidRPr="00B2137B">
        <w:rPr>
          <w:sz w:val="20"/>
          <w:szCs w:val="20"/>
        </w:rPr>
        <w:t>.</w:t>
      </w:r>
      <w:r>
        <w:rPr>
          <w:sz w:val="20"/>
          <w:szCs w:val="20"/>
        </w:rPr>
        <w:t xml:space="preserve"> Kuchyňka + WC 4 NP</w:t>
      </w:r>
    </w:p>
    <w:p w:rsidR="000203A1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0"/>
        </w:rPr>
      </w:pPr>
    </w:p>
    <w:p w:rsidR="000203A1" w:rsidRPr="00C43B30" w:rsidRDefault="000203A1" w:rsidP="000203A1">
      <w:pPr>
        <w:pStyle w:val="Nadpis1"/>
        <w:widowControl w:val="0"/>
        <w:numPr>
          <w:ilvl w:val="0"/>
          <w:numId w:val="0"/>
        </w:numPr>
        <w:spacing w:before="60" w:after="60" w:line="276" w:lineRule="auto"/>
        <w:ind w:left="567"/>
        <w:rPr>
          <w:sz w:val="20"/>
          <w:szCs w:val="22"/>
        </w:rPr>
      </w:pPr>
    </w:p>
    <w:p w:rsidR="000203A1" w:rsidRPr="00071405" w:rsidRDefault="000203A1" w:rsidP="000203A1">
      <w:pPr>
        <w:widowControl w:val="0"/>
        <w:spacing w:line="276" w:lineRule="auto"/>
        <w:rPr>
          <w:sz w:val="20"/>
        </w:rPr>
      </w:pPr>
    </w:p>
    <w:p w:rsidR="000203A1" w:rsidRPr="00071405" w:rsidRDefault="000203A1" w:rsidP="000203A1">
      <w:pPr>
        <w:widowControl w:val="0"/>
        <w:spacing w:line="276" w:lineRule="auto"/>
        <w:ind w:left="539"/>
        <w:rPr>
          <w:sz w:val="20"/>
          <w:szCs w:val="20"/>
        </w:rPr>
      </w:pPr>
      <w:r w:rsidRPr="00071405">
        <w:rPr>
          <w:sz w:val="20"/>
          <w:szCs w:val="20"/>
        </w:rPr>
        <w:t xml:space="preserve">V Praze dne </w:t>
      </w:r>
      <w:r w:rsidR="00C92A57">
        <w:rPr>
          <w:sz w:val="20"/>
          <w:szCs w:val="20"/>
        </w:rPr>
        <w:t>26.11.2018</w:t>
      </w:r>
      <w:r w:rsidRPr="0007140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</w:t>
      </w:r>
      <w:r w:rsidRPr="00071405">
        <w:rPr>
          <w:sz w:val="20"/>
          <w:szCs w:val="20"/>
        </w:rPr>
        <w:t xml:space="preserve"> </w:t>
      </w:r>
      <w:r w:rsidR="00233827">
        <w:rPr>
          <w:sz w:val="20"/>
          <w:szCs w:val="20"/>
        </w:rPr>
        <w:t xml:space="preserve">      </w:t>
      </w:r>
      <w:r w:rsidRPr="00071405">
        <w:rPr>
          <w:sz w:val="20"/>
          <w:szCs w:val="20"/>
        </w:rPr>
        <w:t>V</w:t>
      </w:r>
      <w:r>
        <w:rPr>
          <w:sz w:val="20"/>
          <w:szCs w:val="20"/>
        </w:rPr>
        <w:t xml:space="preserve"> Opavě </w:t>
      </w:r>
      <w:r w:rsidRPr="00071405">
        <w:rPr>
          <w:sz w:val="20"/>
          <w:szCs w:val="20"/>
        </w:rPr>
        <w:t xml:space="preserve">dne </w:t>
      </w:r>
      <w:r w:rsidR="00C92A57">
        <w:rPr>
          <w:sz w:val="20"/>
          <w:szCs w:val="20"/>
        </w:rPr>
        <w:t>30.11.2018</w:t>
      </w:r>
    </w:p>
    <w:p w:rsidR="000203A1" w:rsidRDefault="000203A1" w:rsidP="000203A1">
      <w:pPr>
        <w:widowControl w:val="0"/>
        <w:spacing w:line="276" w:lineRule="auto"/>
        <w:ind w:left="539"/>
        <w:rPr>
          <w:sz w:val="20"/>
          <w:szCs w:val="20"/>
        </w:rPr>
      </w:pPr>
    </w:p>
    <w:p w:rsidR="000203A1" w:rsidRDefault="000203A1" w:rsidP="000203A1">
      <w:pPr>
        <w:widowControl w:val="0"/>
        <w:spacing w:line="276" w:lineRule="auto"/>
        <w:ind w:left="539"/>
        <w:rPr>
          <w:sz w:val="20"/>
          <w:szCs w:val="20"/>
        </w:rPr>
      </w:pPr>
    </w:p>
    <w:p w:rsidR="000203A1" w:rsidRDefault="000203A1" w:rsidP="000203A1">
      <w:pPr>
        <w:widowControl w:val="0"/>
        <w:spacing w:line="276" w:lineRule="auto"/>
        <w:ind w:left="539"/>
        <w:rPr>
          <w:sz w:val="20"/>
          <w:szCs w:val="20"/>
        </w:rPr>
      </w:pPr>
    </w:p>
    <w:p w:rsidR="000203A1" w:rsidRDefault="000203A1" w:rsidP="000203A1">
      <w:pPr>
        <w:widowControl w:val="0"/>
        <w:spacing w:line="276" w:lineRule="auto"/>
        <w:ind w:left="539"/>
        <w:rPr>
          <w:sz w:val="20"/>
          <w:szCs w:val="20"/>
        </w:rPr>
      </w:pPr>
    </w:p>
    <w:p w:rsidR="000203A1" w:rsidRDefault="000203A1" w:rsidP="000203A1">
      <w:pPr>
        <w:widowControl w:val="0"/>
        <w:spacing w:line="276" w:lineRule="auto"/>
        <w:ind w:left="539"/>
        <w:rPr>
          <w:sz w:val="20"/>
          <w:szCs w:val="20"/>
        </w:rPr>
      </w:pPr>
    </w:p>
    <w:p w:rsidR="000203A1" w:rsidRPr="00071405" w:rsidRDefault="000203A1" w:rsidP="000203A1">
      <w:pPr>
        <w:widowControl w:val="0"/>
        <w:spacing w:line="276" w:lineRule="auto"/>
        <w:rPr>
          <w:sz w:val="20"/>
          <w:szCs w:val="20"/>
        </w:rPr>
      </w:pPr>
    </w:p>
    <w:p w:rsidR="000203A1" w:rsidRPr="00071405" w:rsidRDefault="000203A1" w:rsidP="000203A1">
      <w:pPr>
        <w:widowControl w:val="0"/>
        <w:spacing w:line="276" w:lineRule="auto"/>
        <w:rPr>
          <w:sz w:val="20"/>
          <w:szCs w:val="20"/>
        </w:rPr>
      </w:pPr>
    </w:p>
    <w:p w:rsidR="000203A1" w:rsidRPr="00071405" w:rsidRDefault="000203A1" w:rsidP="000203A1">
      <w:pPr>
        <w:widowControl w:val="0"/>
        <w:spacing w:line="276" w:lineRule="auto"/>
        <w:ind w:left="539"/>
        <w:rPr>
          <w:b/>
          <w:sz w:val="20"/>
          <w:szCs w:val="20"/>
        </w:rPr>
      </w:pPr>
      <w:r w:rsidRPr="00071405">
        <w:rPr>
          <w:b/>
          <w:sz w:val="20"/>
          <w:szCs w:val="20"/>
        </w:rPr>
        <w:t xml:space="preserve">      ………………………………                                      ……………………………….</w:t>
      </w:r>
    </w:p>
    <w:p w:rsidR="000203A1" w:rsidRPr="00071405" w:rsidRDefault="000203A1" w:rsidP="000203A1">
      <w:pPr>
        <w:widowControl w:val="0"/>
        <w:spacing w:line="276" w:lineRule="auto"/>
        <w:ind w:left="539"/>
        <w:rPr>
          <w:sz w:val="20"/>
          <w:szCs w:val="20"/>
        </w:rPr>
      </w:pPr>
      <w:r w:rsidRPr="00071405">
        <w:rPr>
          <w:b/>
          <w:sz w:val="20"/>
          <w:szCs w:val="20"/>
        </w:rPr>
        <w:t xml:space="preserve">                </w:t>
      </w:r>
      <w:r w:rsidRPr="00071405">
        <w:rPr>
          <w:sz w:val="20"/>
          <w:szCs w:val="20"/>
        </w:rPr>
        <w:t>Objednatel:                                                             Zhotovitel:</w:t>
      </w:r>
    </w:p>
    <w:p w:rsidR="000203A1" w:rsidRPr="00233827" w:rsidRDefault="000203A1" w:rsidP="000203A1">
      <w:pPr>
        <w:widowControl w:val="0"/>
        <w:spacing w:line="276" w:lineRule="auto"/>
        <w:rPr>
          <w:sz w:val="20"/>
          <w:szCs w:val="20"/>
        </w:rPr>
      </w:pPr>
      <w:r w:rsidRPr="00071405">
        <w:rPr>
          <w:sz w:val="20"/>
          <w:szCs w:val="20"/>
        </w:rPr>
        <w:t>Česká republika – Ministerstvo zemědělství</w:t>
      </w:r>
      <w:r w:rsidRPr="00071405">
        <w:rPr>
          <w:sz w:val="20"/>
          <w:szCs w:val="20"/>
        </w:rPr>
        <w:tab/>
      </w:r>
      <w:r w:rsidRPr="0007140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233827">
        <w:rPr>
          <w:rStyle w:val="Zstupntext"/>
          <w:color w:val="auto"/>
          <w:sz w:val="20"/>
          <w:szCs w:val="20"/>
        </w:rPr>
        <w:t>ELEKTRO–FA. PAVELEK, s.r.o.</w:t>
      </w:r>
    </w:p>
    <w:p w:rsidR="000203A1" w:rsidRPr="00071405" w:rsidRDefault="000203A1" w:rsidP="000203A1">
      <w:pPr>
        <w:widowControl w:val="0"/>
        <w:spacing w:line="276" w:lineRule="auto"/>
        <w:ind w:left="539"/>
        <w:rPr>
          <w:b/>
          <w:sz w:val="20"/>
          <w:szCs w:val="20"/>
        </w:rPr>
      </w:pPr>
      <w:r w:rsidRPr="00071405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Mgr. Pavel Brokeš</w:t>
      </w:r>
      <w:r w:rsidRPr="00071405">
        <w:rPr>
          <w:b/>
          <w:sz w:val="20"/>
          <w:szCs w:val="20"/>
        </w:rPr>
        <w:t xml:space="preserve">                                               </w:t>
      </w:r>
      <w:r w:rsidR="006B7B09">
        <w:rPr>
          <w:b/>
          <w:sz w:val="20"/>
          <w:szCs w:val="20"/>
        </w:rPr>
        <w:t xml:space="preserve">        </w:t>
      </w:r>
      <w:r w:rsidRPr="00071405">
        <w:rPr>
          <w:b/>
          <w:sz w:val="20"/>
          <w:szCs w:val="20"/>
        </w:rPr>
        <w:t xml:space="preserve"> </w:t>
      </w:r>
      <w:r w:rsidR="006B7B09">
        <w:rPr>
          <w:b/>
          <w:sz w:val="20"/>
          <w:szCs w:val="20"/>
        </w:rPr>
        <w:t>xxxxxx</w:t>
      </w:r>
    </w:p>
    <w:p w:rsidR="000203A1" w:rsidRPr="00071405" w:rsidRDefault="000203A1" w:rsidP="000203A1">
      <w:pPr>
        <w:widowControl w:val="0"/>
        <w:spacing w:line="276" w:lineRule="auto"/>
        <w:rPr>
          <w:sz w:val="20"/>
          <w:szCs w:val="20"/>
        </w:rPr>
      </w:pPr>
      <w:r w:rsidRPr="00071405">
        <w:rPr>
          <w:sz w:val="20"/>
          <w:szCs w:val="20"/>
        </w:rPr>
        <w:t xml:space="preserve">   </w:t>
      </w:r>
      <w:r w:rsidRPr="00071405">
        <w:rPr>
          <w:sz w:val="20"/>
          <w:szCs w:val="20"/>
        </w:rPr>
        <w:tab/>
        <w:t>ředitel odboru vnitřní správy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jednatel</w:t>
      </w:r>
    </w:p>
    <w:p w:rsidR="00B27E33" w:rsidRDefault="00B27E33"/>
    <w:sectPr w:rsidR="00B27E33" w:rsidSect="009747AF">
      <w:footerReference w:type="default" r:id="rId7"/>
      <w:pgSz w:w="11907" w:h="16840" w:code="9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F9" w:rsidRDefault="00815BF9">
      <w:r>
        <w:separator/>
      </w:r>
    </w:p>
  </w:endnote>
  <w:endnote w:type="continuationSeparator" w:id="0">
    <w:p w:rsidR="00815BF9" w:rsidRDefault="0081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72" w:rsidRPr="000B632A" w:rsidRDefault="00233827">
    <w:pPr>
      <w:pStyle w:val="Zpat"/>
      <w:rPr>
        <w:sz w:val="20"/>
      </w:rPr>
    </w:pPr>
    <w:r w:rsidRPr="000B632A">
      <w:rPr>
        <w:sz w:val="20"/>
      </w:rPr>
      <w:tab/>
    </w:r>
    <w:r w:rsidRPr="000B632A">
      <w:rPr>
        <w:sz w:val="20"/>
      </w:rPr>
      <w:fldChar w:fldCharType="begin"/>
    </w:r>
    <w:r w:rsidRPr="000B632A">
      <w:rPr>
        <w:sz w:val="20"/>
      </w:rPr>
      <w:instrText>PAGE   \* MERGEFORMAT</w:instrText>
    </w:r>
    <w:r w:rsidRPr="000B632A">
      <w:rPr>
        <w:sz w:val="20"/>
      </w:rPr>
      <w:fldChar w:fldCharType="separate"/>
    </w:r>
    <w:r w:rsidR="001C279D">
      <w:rPr>
        <w:noProof/>
        <w:sz w:val="20"/>
      </w:rPr>
      <w:t>2</w:t>
    </w:r>
    <w:r w:rsidRPr="000B632A">
      <w:rPr>
        <w:sz w:val="20"/>
      </w:rPr>
      <w:fldChar w:fldCharType="end"/>
    </w:r>
  </w:p>
  <w:p w:rsidR="00F11A72" w:rsidRDefault="00815B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F9" w:rsidRDefault="00815BF9">
      <w:r>
        <w:separator/>
      </w:r>
    </w:p>
  </w:footnote>
  <w:footnote w:type="continuationSeparator" w:id="0">
    <w:p w:rsidR="00815BF9" w:rsidRDefault="0081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8A0"/>
    <w:multiLevelType w:val="multilevel"/>
    <w:tmpl w:val="3A5AEA60"/>
    <w:lvl w:ilvl="0">
      <w:start w:val="1"/>
      <w:numFmt w:val="upperRoman"/>
      <w:pStyle w:val="Nadpis1"/>
      <w:lvlText w:val="ODDÍL %1."/>
      <w:lvlJc w:val="center"/>
      <w:pPr>
        <w:ind w:left="0" w:firstLine="288"/>
      </w:pPr>
      <w:rPr>
        <w:rFonts w:ascii="Arial" w:hAnsi="Arial" w:hint="default"/>
        <w:b/>
        <w:i w:val="0"/>
        <w:sz w:val="24"/>
      </w:rPr>
    </w:lvl>
    <w:lvl w:ilvl="1">
      <w:start w:val="1"/>
      <w:numFmt w:val="decimalZero"/>
      <w:pStyle w:val="Nadpis2"/>
      <w:isLgl/>
      <w:lvlText w:val="%1 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0262253D"/>
    <w:multiLevelType w:val="hybridMultilevel"/>
    <w:tmpl w:val="81482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2F48"/>
    <w:multiLevelType w:val="multilevel"/>
    <w:tmpl w:val="37F89F06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6D4B172F"/>
    <w:multiLevelType w:val="hybridMultilevel"/>
    <w:tmpl w:val="0AA8369C"/>
    <w:lvl w:ilvl="0" w:tplc="7832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A1"/>
    <w:rsid w:val="000203A1"/>
    <w:rsid w:val="001C279D"/>
    <w:rsid w:val="00233827"/>
    <w:rsid w:val="00602217"/>
    <w:rsid w:val="006B7B09"/>
    <w:rsid w:val="00770E54"/>
    <w:rsid w:val="00815BF9"/>
    <w:rsid w:val="00B27E33"/>
    <w:rsid w:val="00C92A57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15910-6147-4F11-B4D6-B94A1D3B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0203A1"/>
    <w:pPr>
      <w:keepNext/>
      <w:numPr>
        <w:numId w:val="3"/>
      </w:numPr>
      <w:jc w:val="both"/>
      <w:outlineLvl w:val="0"/>
    </w:pPr>
    <w:rPr>
      <w:rFonts w:eastAsia="Arial" w:cs="Arial"/>
      <w:szCs w:val="24"/>
    </w:rPr>
  </w:style>
  <w:style w:type="paragraph" w:styleId="Nadpis2">
    <w:name w:val="heading 2"/>
    <w:basedOn w:val="Normln"/>
    <w:link w:val="Nadpis2Char"/>
    <w:qFormat/>
    <w:rsid w:val="000203A1"/>
    <w:pPr>
      <w:keepNext/>
      <w:numPr>
        <w:ilvl w:val="1"/>
        <w:numId w:val="3"/>
      </w:numPr>
      <w:jc w:val="both"/>
      <w:outlineLvl w:val="1"/>
    </w:pPr>
    <w:rPr>
      <w:rFonts w:eastAsia="Arial" w:cs="Arial"/>
      <w:i/>
      <w:szCs w:val="24"/>
    </w:rPr>
  </w:style>
  <w:style w:type="paragraph" w:styleId="Nadpis3">
    <w:name w:val="heading 3"/>
    <w:basedOn w:val="Normln"/>
    <w:link w:val="Nadpis3Char"/>
    <w:qFormat/>
    <w:rsid w:val="000203A1"/>
    <w:pPr>
      <w:keepNext/>
      <w:numPr>
        <w:ilvl w:val="2"/>
        <w:numId w:val="3"/>
      </w:numPr>
      <w:jc w:val="both"/>
      <w:outlineLvl w:val="2"/>
    </w:pPr>
    <w:rPr>
      <w:rFonts w:eastAsia="Arial" w:cs="Arial"/>
      <w:szCs w:val="24"/>
    </w:rPr>
  </w:style>
  <w:style w:type="paragraph" w:styleId="Nadpis4">
    <w:name w:val="heading 4"/>
    <w:basedOn w:val="Normln"/>
    <w:link w:val="Nadpis4Char"/>
    <w:qFormat/>
    <w:rsid w:val="000203A1"/>
    <w:pPr>
      <w:keepNext/>
      <w:numPr>
        <w:ilvl w:val="3"/>
        <w:numId w:val="3"/>
      </w:numPr>
      <w:jc w:val="both"/>
      <w:outlineLvl w:val="3"/>
    </w:pPr>
    <w:rPr>
      <w:rFonts w:eastAsia="Arial" w:cs="Arial"/>
      <w:szCs w:val="24"/>
      <w:u w:val="single"/>
    </w:rPr>
  </w:style>
  <w:style w:type="paragraph" w:styleId="Nadpis5">
    <w:name w:val="heading 5"/>
    <w:basedOn w:val="Normln"/>
    <w:link w:val="Nadpis5Char"/>
    <w:qFormat/>
    <w:rsid w:val="000203A1"/>
    <w:pPr>
      <w:keepNext/>
      <w:numPr>
        <w:ilvl w:val="4"/>
        <w:numId w:val="3"/>
      </w:numPr>
      <w:jc w:val="both"/>
      <w:outlineLvl w:val="4"/>
    </w:pPr>
    <w:rPr>
      <w:rFonts w:eastAsia="Arial" w:cs="Arial"/>
      <w:b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03A1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="Cambria" w:eastAsia="Times New Roman" w:hAnsi="Cambria"/>
      <w:i/>
      <w:iCs/>
      <w:color w:val="243F6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03A1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="Cambria" w:eastAsia="Times New Roman" w:hAnsi="Cambria"/>
      <w:i/>
      <w:iCs/>
      <w:color w:val="40404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03A1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03A1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03A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0203A1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203A1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203A1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sid w:val="000203A1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03A1"/>
    <w:rPr>
      <w:rFonts w:ascii="Cambria" w:eastAsia="Times New Roman" w:hAnsi="Cambria"/>
      <w:i/>
      <w:iCs/>
      <w:color w:val="243F60"/>
      <w:sz w:val="22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03A1"/>
    <w:rPr>
      <w:rFonts w:ascii="Cambria" w:eastAsia="Times New Roman" w:hAnsi="Cambria"/>
      <w:i/>
      <w:iCs/>
      <w:color w:val="404040"/>
      <w:sz w:val="22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03A1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03A1"/>
    <w:rPr>
      <w:rFonts w:ascii="Cambria" w:eastAsia="Times New Roman" w:hAnsi="Cambria"/>
      <w:i/>
      <w:iCs/>
      <w:color w:val="404040"/>
      <w:lang w:eastAsia="en-US"/>
    </w:rPr>
  </w:style>
  <w:style w:type="paragraph" w:customStyle="1" w:styleId="NoList1">
    <w:name w:val="No List1"/>
    <w:semiHidden/>
    <w:rsid w:val="000203A1"/>
    <w:rPr>
      <w:rFonts w:ascii="Times New Roman" w:eastAsia="Times New Roman" w:hAnsi="Times New Roman"/>
      <w:lang w:val="en-US" w:eastAsia="en-US"/>
    </w:rPr>
  </w:style>
  <w:style w:type="paragraph" w:styleId="Zpat">
    <w:name w:val="footer"/>
    <w:basedOn w:val="Normln"/>
    <w:link w:val="ZpatChar"/>
    <w:rsid w:val="000203A1"/>
    <w:pPr>
      <w:tabs>
        <w:tab w:val="center" w:pos="4536"/>
        <w:tab w:val="right" w:pos="9072"/>
      </w:tabs>
      <w:jc w:val="both"/>
    </w:pPr>
    <w:rPr>
      <w:rFonts w:eastAsia="Arial" w:cs="Arial"/>
      <w:szCs w:val="24"/>
    </w:rPr>
  </w:style>
  <w:style w:type="character" w:customStyle="1" w:styleId="ZpatChar">
    <w:name w:val="Zápatí Char"/>
    <w:basedOn w:val="Standardnpsmoodstavce"/>
    <w:link w:val="Zpat"/>
    <w:rsid w:val="000203A1"/>
    <w:rPr>
      <w:rFonts w:ascii="Arial" w:eastAsia="Arial" w:hAnsi="Arial" w:cs="Arial"/>
      <w:sz w:val="22"/>
      <w:szCs w:val="24"/>
      <w:lang w:eastAsia="en-US"/>
    </w:rPr>
  </w:style>
  <w:style w:type="paragraph" w:styleId="Zkladntext">
    <w:name w:val="Body Text"/>
    <w:basedOn w:val="Normln"/>
    <w:link w:val="ZkladntextChar"/>
    <w:rsid w:val="000203A1"/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03A1"/>
    <w:rPr>
      <w:rFonts w:ascii="Times New Roman" w:eastAsia="Times New Roman" w:hAnsi="Times New Roman"/>
      <w:snapToGrid w:val="0"/>
      <w:color w:val="000000"/>
      <w:sz w:val="24"/>
    </w:rPr>
  </w:style>
  <w:style w:type="paragraph" w:styleId="Prosttext">
    <w:name w:val="Plain Text"/>
    <w:basedOn w:val="Normln"/>
    <w:link w:val="ProsttextChar"/>
    <w:rsid w:val="000203A1"/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203A1"/>
    <w:rPr>
      <w:rFonts w:ascii="Courier New" w:eastAsia="Times New Roman" w:hAnsi="Courier New"/>
    </w:rPr>
  </w:style>
  <w:style w:type="paragraph" w:customStyle="1" w:styleId="Normln1">
    <w:name w:val="Normální1"/>
    <w:basedOn w:val="Normln"/>
    <w:rsid w:val="000203A1"/>
    <w:pPr>
      <w:suppressAutoHyphens/>
    </w:pPr>
    <w:rPr>
      <w:rFonts w:eastAsia="Arial" w:cs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020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3A1"/>
    <w:pPr>
      <w:jc w:val="both"/>
    </w:pPr>
    <w:rPr>
      <w:rFonts w:eastAsia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03A1"/>
    <w:rPr>
      <w:rFonts w:ascii="Arial" w:eastAsia="Arial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0203A1"/>
    <w:pPr>
      <w:ind w:left="720"/>
      <w:contextualSpacing/>
      <w:jc w:val="both"/>
    </w:pPr>
    <w:rPr>
      <w:rFonts w:eastAsia="Arial" w:cs="Arial"/>
      <w:szCs w:val="24"/>
    </w:rPr>
  </w:style>
  <w:style w:type="character" w:styleId="Zstupntext">
    <w:name w:val="Placeholder Text"/>
    <w:uiPriority w:val="99"/>
    <w:semiHidden/>
    <w:rsid w:val="000203A1"/>
    <w:rPr>
      <w:color w:val="808080"/>
    </w:rPr>
  </w:style>
  <w:style w:type="character" w:styleId="Zdraznn">
    <w:name w:val="Emphasis"/>
    <w:uiPriority w:val="20"/>
    <w:qFormat/>
    <w:rsid w:val="000203A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3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Švihálek Milan</dc:creator>
  <cp:lastModifiedBy>Procházková Božena</cp:lastModifiedBy>
  <cp:revision>2</cp:revision>
  <cp:lastPrinted>2018-12-04T09:53:00Z</cp:lastPrinted>
  <dcterms:created xsi:type="dcterms:W3CDTF">2018-12-04T09:53:00Z</dcterms:created>
  <dcterms:modified xsi:type="dcterms:W3CDTF">2018-12-04T09:53:00Z</dcterms:modified>
</cp:coreProperties>
</file>