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EE" w:rsidRDefault="00DD4FB3" w:rsidP="00DF13EE">
      <w:pPr>
        <w:pBdr>
          <w:bottom w:val="single" w:sz="4" w:space="1" w:color="auto"/>
        </w:pBdr>
        <w:tabs>
          <w:tab w:val="left" w:pos="3823"/>
          <w:tab w:val="right" w:pos="9638"/>
        </w:tabs>
        <w:spacing w:before="200"/>
        <w:jc w:val="right"/>
        <w:rPr>
          <w:rFonts w:asciiTheme="majorHAnsi" w:hAnsiTheme="majorHAnsi"/>
          <w:b/>
          <w:sz w:val="36"/>
        </w:rPr>
      </w:pPr>
      <w:r>
        <w:rPr>
          <w:rFonts w:asciiTheme="majorHAnsi" w:hAnsiTheme="majorHAnsi"/>
          <w:b/>
          <w:sz w:val="36"/>
        </w:rPr>
        <w:t xml:space="preserve"> </w:t>
      </w:r>
      <w:r w:rsidR="00DF13EE" w:rsidRPr="00434770">
        <w:rPr>
          <w:rFonts w:asciiTheme="majorHAnsi" w:hAnsiTheme="majorHAnsi"/>
          <w:b/>
          <w:sz w:val="36"/>
        </w:rPr>
        <w:t>KUPNÍ SMLOUVA</w:t>
      </w:r>
    </w:p>
    <w:p w:rsidR="00DF13EE" w:rsidRDefault="00DF13EE" w:rsidP="00DF13EE">
      <w:pPr>
        <w:spacing w:before="120" w:after="0"/>
        <w:jc w:val="center"/>
        <w:rPr>
          <w:rFonts w:asciiTheme="majorHAnsi" w:hAnsiTheme="majorHAnsi"/>
        </w:rPr>
      </w:pPr>
      <w:r w:rsidRPr="00434770">
        <w:rPr>
          <w:rFonts w:asciiTheme="majorHAnsi" w:hAnsiTheme="majorHAnsi"/>
        </w:rPr>
        <w:t>uzavřená dle § 2079 a následujících zák. č. 89/2012 Sb., občanského zákoníku</w:t>
      </w:r>
      <w:r w:rsidR="00202D5A">
        <w:rPr>
          <w:rFonts w:asciiTheme="majorHAnsi" w:hAnsiTheme="majorHAnsi"/>
        </w:rPr>
        <w:t>, ve znění pozdějších předpisů</w:t>
      </w:r>
    </w:p>
    <w:p w:rsidR="00DF13EE" w:rsidRDefault="00DF13EE" w:rsidP="00DF13EE">
      <w:pPr>
        <w:numPr>
          <w:ilvl w:val="0"/>
          <w:numId w:val="1"/>
        </w:numPr>
        <w:spacing w:before="360" w:after="0" w:line="480" w:lineRule="auto"/>
        <w:ind w:left="714" w:hanging="357"/>
        <w:contextualSpacing/>
        <w:jc w:val="center"/>
        <w:rPr>
          <w:b/>
          <w:sz w:val="24"/>
          <w:szCs w:val="24"/>
        </w:rPr>
      </w:pPr>
      <w:r>
        <w:rPr>
          <w:b/>
          <w:sz w:val="24"/>
          <w:szCs w:val="24"/>
        </w:rPr>
        <w:t>Smluvní strany</w:t>
      </w:r>
    </w:p>
    <w:p w:rsidR="00DF13EE" w:rsidRPr="00DF13EE" w:rsidRDefault="00DF13EE" w:rsidP="00DF13EE">
      <w:pPr>
        <w:spacing w:after="0" w:line="240" w:lineRule="auto"/>
        <w:jc w:val="both"/>
        <w:rPr>
          <w:b/>
          <w:color w:val="FF0000"/>
        </w:rPr>
      </w:pPr>
      <w:r w:rsidRPr="00DF13EE">
        <w:rPr>
          <w:b/>
        </w:rPr>
        <w:t>Obchodní jméno – Tomáš Pazderka</w:t>
      </w:r>
    </w:p>
    <w:p w:rsidR="00DF13EE" w:rsidRDefault="00DF13EE" w:rsidP="00DF13EE">
      <w:pPr>
        <w:spacing w:after="0"/>
      </w:pPr>
    </w:p>
    <w:tbl>
      <w:tblPr>
        <w:tblW w:w="9040" w:type="dxa"/>
        <w:tblInd w:w="100" w:type="dxa"/>
        <w:tblLayout w:type="fixed"/>
        <w:tblLook w:val="0600"/>
      </w:tblPr>
      <w:tblGrid>
        <w:gridCol w:w="2660"/>
        <w:gridCol w:w="2420"/>
        <w:gridCol w:w="1380"/>
        <w:gridCol w:w="2580"/>
      </w:tblGrid>
      <w:tr w:rsidR="00DF13EE" w:rsidTr="00F26065">
        <w:tc>
          <w:tcPr>
            <w:tcW w:w="2660" w:type="dxa"/>
            <w:tcMar>
              <w:top w:w="100" w:type="dxa"/>
              <w:left w:w="100" w:type="dxa"/>
              <w:bottom w:w="100" w:type="dxa"/>
              <w:right w:w="100" w:type="dxa"/>
            </w:tcMar>
          </w:tcPr>
          <w:p w:rsidR="00DF13EE" w:rsidRDefault="00DF13EE" w:rsidP="00F26065">
            <w:pPr>
              <w:spacing w:after="0" w:line="240" w:lineRule="auto"/>
              <w:ind w:left="100"/>
              <w:jc w:val="both"/>
            </w:pPr>
            <w:r w:rsidRPr="00434770">
              <w:t>Sídlo</w:t>
            </w:r>
            <w:r>
              <w:t>:</w:t>
            </w:r>
          </w:p>
        </w:tc>
        <w:tc>
          <w:tcPr>
            <w:tcW w:w="6380" w:type="dxa"/>
            <w:gridSpan w:val="3"/>
            <w:tcMar>
              <w:top w:w="100" w:type="dxa"/>
              <w:left w:w="100" w:type="dxa"/>
              <w:bottom w:w="100" w:type="dxa"/>
              <w:right w:w="100" w:type="dxa"/>
            </w:tcMar>
          </w:tcPr>
          <w:p w:rsidR="00DF13EE" w:rsidRPr="00DF13EE" w:rsidRDefault="00DF13EE" w:rsidP="00F26065">
            <w:pPr>
              <w:spacing w:after="0"/>
              <w:ind w:left="75"/>
            </w:pPr>
            <w:proofErr w:type="spellStart"/>
            <w:r w:rsidRPr="00DF13EE">
              <w:t>Hořátev</w:t>
            </w:r>
            <w:proofErr w:type="spellEnd"/>
            <w:r w:rsidRPr="00DF13EE">
              <w:t xml:space="preserve"> </w:t>
            </w:r>
            <w:proofErr w:type="gramStart"/>
            <w:r w:rsidRPr="00DF13EE">
              <w:t>87 , 289 13</w:t>
            </w:r>
            <w:proofErr w:type="gramEnd"/>
            <w:r w:rsidRPr="00DF13EE">
              <w:t xml:space="preserve"> </w:t>
            </w:r>
            <w:proofErr w:type="spellStart"/>
            <w:r w:rsidRPr="00DF13EE">
              <w:t>Zvěřínek</w:t>
            </w:r>
            <w:proofErr w:type="spellEnd"/>
          </w:p>
        </w:tc>
      </w:tr>
      <w:tr w:rsidR="00DF13EE" w:rsidTr="00F26065">
        <w:tc>
          <w:tcPr>
            <w:tcW w:w="2660" w:type="dxa"/>
            <w:tcMar>
              <w:top w:w="100" w:type="dxa"/>
              <w:left w:w="100" w:type="dxa"/>
              <w:bottom w:w="100" w:type="dxa"/>
              <w:right w:w="100" w:type="dxa"/>
            </w:tcMar>
          </w:tcPr>
          <w:p w:rsidR="00DF13EE" w:rsidRDefault="00DF13EE" w:rsidP="00F26065">
            <w:pPr>
              <w:spacing w:after="0" w:line="240" w:lineRule="auto"/>
              <w:ind w:left="100"/>
              <w:jc w:val="both"/>
            </w:pPr>
            <w:r>
              <w:t>Jednající:</w:t>
            </w:r>
          </w:p>
        </w:tc>
        <w:tc>
          <w:tcPr>
            <w:tcW w:w="6380" w:type="dxa"/>
            <w:gridSpan w:val="3"/>
            <w:tcMar>
              <w:top w:w="100" w:type="dxa"/>
              <w:left w:w="100" w:type="dxa"/>
              <w:bottom w:w="100" w:type="dxa"/>
              <w:right w:w="100" w:type="dxa"/>
            </w:tcMar>
          </w:tcPr>
          <w:p w:rsidR="00DF13EE" w:rsidRPr="00DF13EE" w:rsidRDefault="00DF13EE" w:rsidP="00F26065">
            <w:pPr>
              <w:spacing w:after="0" w:line="240" w:lineRule="auto"/>
              <w:ind w:left="100"/>
              <w:jc w:val="both"/>
            </w:pPr>
            <w:r w:rsidRPr="00DF13EE">
              <w:t>Tomáš Pazderka</w:t>
            </w:r>
          </w:p>
        </w:tc>
      </w:tr>
      <w:tr w:rsidR="00DF13EE" w:rsidTr="00F26065">
        <w:tc>
          <w:tcPr>
            <w:tcW w:w="2660" w:type="dxa"/>
            <w:tcMar>
              <w:top w:w="100" w:type="dxa"/>
              <w:left w:w="100" w:type="dxa"/>
              <w:bottom w:w="100" w:type="dxa"/>
              <w:right w:w="100" w:type="dxa"/>
            </w:tcMar>
          </w:tcPr>
          <w:p w:rsidR="00DF13EE" w:rsidRDefault="00DF13EE" w:rsidP="00F26065">
            <w:pPr>
              <w:spacing w:after="0" w:line="240" w:lineRule="auto"/>
              <w:ind w:left="100"/>
              <w:jc w:val="both"/>
            </w:pPr>
            <w:r>
              <w:t>Bankovní spojení:</w:t>
            </w:r>
          </w:p>
        </w:tc>
        <w:tc>
          <w:tcPr>
            <w:tcW w:w="2420" w:type="dxa"/>
            <w:tcMar>
              <w:top w:w="100" w:type="dxa"/>
              <w:left w:w="100" w:type="dxa"/>
              <w:bottom w:w="100" w:type="dxa"/>
              <w:right w:w="100" w:type="dxa"/>
            </w:tcMar>
          </w:tcPr>
          <w:p w:rsidR="00DF13EE" w:rsidRPr="00DF13EE" w:rsidRDefault="00DF13EE" w:rsidP="00F26065">
            <w:pPr>
              <w:spacing w:after="0" w:line="240" w:lineRule="auto"/>
              <w:ind w:left="100"/>
              <w:jc w:val="both"/>
            </w:pPr>
            <w:proofErr w:type="spellStart"/>
            <w:r w:rsidRPr="00DF13EE">
              <w:t>Fio</w:t>
            </w:r>
            <w:proofErr w:type="spellEnd"/>
            <w:r w:rsidRPr="00DF13EE">
              <w:t xml:space="preserve"> Banka a.s.</w:t>
            </w:r>
          </w:p>
        </w:tc>
        <w:tc>
          <w:tcPr>
            <w:tcW w:w="1380" w:type="dxa"/>
            <w:tcMar>
              <w:top w:w="100" w:type="dxa"/>
              <w:left w:w="100" w:type="dxa"/>
              <w:bottom w:w="100" w:type="dxa"/>
              <w:right w:w="100" w:type="dxa"/>
            </w:tcMar>
          </w:tcPr>
          <w:p w:rsidR="00DF13EE" w:rsidRDefault="00DF13EE" w:rsidP="00F26065">
            <w:pPr>
              <w:spacing w:after="0" w:line="240" w:lineRule="auto"/>
              <w:ind w:left="100"/>
              <w:jc w:val="both"/>
            </w:pPr>
            <w:r>
              <w:t>číslo účtu:</w:t>
            </w:r>
          </w:p>
        </w:tc>
        <w:tc>
          <w:tcPr>
            <w:tcW w:w="2580" w:type="dxa"/>
            <w:tcMar>
              <w:top w:w="100" w:type="dxa"/>
              <w:left w:w="100" w:type="dxa"/>
              <w:bottom w:w="100" w:type="dxa"/>
              <w:right w:w="100" w:type="dxa"/>
            </w:tcMar>
          </w:tcPr>
          <w:p w:rsidR="00DF13EE" w:rsidRDefault="00DF13EE" w:rsidP="00F26065">
            <w:pPr>
              <w:spacing w:after="0" w:line="240" w:lineRule="auto"/>
              <w:ind w:left="100"/>
              <w:jc w:val="both"/>
            </w:pPr>
            <w:r>
              <w:t>2700420670 / 2010</w:t>
            </w:r>
          </w:p>
        </w:tc>
      </w:tr>
      <w:tr w:rsidR="00DF13EE" w:rsidTr="00F26065">
        <w:tc>
          <w:tcPr>
            <w:tcW w:w="2660" w:type="dxa"/>
            <w:tcMar>
              <w:top w:w="100" w:type="dxa"/>
              <w:left w:w="100" w:type="dxa"/>
              <w:bottom w:w="100" w:type="dxa"/>
              <w:right w:w="100" w:type="dxa"/>
            </w:tcMar>
          </w:tcPr>
          <w:p w:rsidR="00DF13EE" w:rsidRDefault="00DF13EE" w:rsidP="00F26065">
            <w:pPr>
              <w:spacing w:after="0" w:line="240" w:lineRule="auto"/>
              <w:ind w:left="100"/>
              <w:jc w:val="both"/>
            </w:pPr>
            <w:r>
              <w:t>IČO:</w:t>
            </w:r>
          </w:p>
        </w:tc>
        <w:tc>
          <w:tcPr>
            <w:tcW w:w="2420" w:type="dxa"/>
            <w:tcMar>
              <w:top w:w="100" w:type="dxa"/>
              <w:left w:w="100" w:type="dxa"/>
              <w:bottom w:w="100" w:type="dxa"/>
              <w:right w:w="100" w:type="dxa"/>
            </w:tcMar>
          </w:tcPr>
          <w:p w:rsidR="00DF13EE" w:rsidRDefault="00DF13EE" w:rsidP="00F26065">
            <w:pPr>
              <w:spacing w:after="0" w:line="240" w:lineRule="auto"/>
              <w:ind w:left="100"/>
              <w:jc w:val="both"/>
            </w:pPr>
            <w:r>
              <w:t>65240707</w:t>
            </w:r>
          </w:p>
        </w:tc>
        <w:tc>
          <w:tcPr>
            <w:tcW w:w="1380" w:type="dxa"/>
            <w:tcMar>
              <w:top w:w="100" w:type="dxa"/>
              <w:left w:w="100" w:type="dxa"/>
              <w:bottom w:w="100" w:type="dxa"/>
              <w:right w:w="100" w:type="dxa"/>
            </w:tcMar>
          </w:tcPr>
          <w:p w:rsidR="00DF13EE" w:rsidRDefault="00DF13EE" w:rsidP="00F26065">
            <w:pPr>
              <w:spacing w:after="0" w:line="240" w:lineRule="auto"/>
              <w:ind w:left="100"/>
              <w:jc w:val="both"/>
            </w:pPr>
            <w:r>
              <w:t>DIČ:</w:t>
            </w:r>
          </w:p>
        </w:tc>
        <w:tc>
          <w:tcPr>
            <w:tcW w:w="2580" w:type="dxa"/>
            <w:tcMar>
              <w:top w:w="100" w:type="dxa"/>
              <w:left w:w="100" w:type="dxa"/>
              <w:bottom w:w="100" w:type="dxa"/>
              <w:right w:w="100" w:type="dxa"/>
            </w:tcMar>
          </w:tcPr>
          <w:p w:rsidR="00DF13EE" w:rsidRDefault="00DF13EE" w:rsidP="00F26065">
            <w:pPr>
              <w:spacing w:after="0" w:line="240" w:lineRule="auto"/>
              <w:ind w:left="100"/>
              <w:jc w:val="both"/>
            </w:pPr>
            <w:r>
              <w:t xml:space="preserve">CZ7902220810 </w:t>
            </w:r>
          </w:p>
        </w:tc>
      </w:tr>
      <w:tr w:rsidR="00DF13EE" w:rsidTr="00F26065">
        <w:trPr>
          <w:trHeight w:val="420"/>
        </w:trPr>
        <w:tc>
          <w:tcPr>
            <w:tcW w:w="2660" w:type="dxa"/>
            <w:tcMar>
              <w:top w:w="100" w:type="dxa"/>
              <w:left w:w="100" w:type="dxa"/>
              <w:bottom w:w="100" w:type="dxa"/>
              <w:right w:w="100" w:type="dxa"/>
            </w:tcMar>
          </w:tcPr>
          <w:p w:rsidR="00DF13EE" w:rsidRDefault="00DF13EE" w:rsidP="00F26065">
            <w:pPr>
              <w:spacing w:after="0" w:line="240" w:lineRule="auto"/>
              <w:ind w:left="100"/>
              <w:jc w:val="both"/>
            </w:pPr>
            <w:r>
              <w:t>Zapsán v OR:</w:t>
            </w:r>
          </w:p>
        </w:tc>
        <w:tc>
          <w:tcPr>
            <w:tcW w:w="3800" w:type="dxa"/>
            <w:gridSpan w:val="2"/>
            <w:tcMar>
              <w:top w:w="100" w:type="dxa"/>
              <w:left w:w="100" w:type="dxa"/>
              <w:bottom w:w="100" w:type="dxa"/>
              <w:right w:w="100" w:type="dxa"/>
            </w:tcMar>
          </w:tcPr>
          <w:p w:rsidR="00DF13EE" w:rsidRDefault="00DF13EE" w:rsidP="00F26065">
            <w:pPr>
              <w:spacing w:after="0" w:line="240" w:lineRule="auto"/>
              <w:ind w:left="100"/>
              <w:jc w:val="both"/>
            </w:pPr>
            <w:r>
              <w:t xml:space="preserve"> </w:t>
            </w:r>
          </w:p>
        </w:tc>
        <w:tc>
          <w:tcPr>
            <w:tcW w:w="2580" w:type="dxa"/>
            <w:tcMar>
              <w:top w:w="100" w:type="dxa"/>
              <w:left w:w="100" w:type="dxa"/>
              <w:bottom w:w="100" w:type="dxa"/>
              <w:right w:w="100" w:type="dxa"/>
            </w:tcMar>
          </w:tcPr>
          <w:p w:rsidR="00DF13EE" w:rsidRDefault="00DF13EE" w:rsidP="00F26065">
            <w:pPr>
              <w:spacing w:after="0" w:line="240" w:lineRule="auto"/>
              <w:ind w:left="100"/>
              <w:jc w:val="both"/>
            </w:pPr>
            <w:r>
              <w:t xml:space="preserve"> </w:t>
            </w:r>
          </w:p>
        </w:tc>
      </w:tr>
    </w:tbl>
    <w:p w:rsidR="00DF13EE" w:rsidRDefault="00DF13EE" w:rsidP="00DF13EE">
      <w:pPr>
        <w:spacing w:after="0" w:line="240" w:lineRule="auto"/>
        <w:jc w:val="both"/>
      </w:pPr>
      <w:r>
        <w:t xml:space="preserve">dále jen </w:t>
      </w:r>
      <w:r>
        <w:rPr>
          <w:b/>
        </w:rPr>
        <w:t xml:space="preserve">Prodávající </w:t>
      </w:r>
      <w:r>
        <w:t>na straně jedné</w:t>
      </w:r>
    </w:p>
    <w:p w:rsidR="00DF13EE" w:rsidRDefault="00DF13EE" w:rsidP="00DF13EE">
      <w:pPr>
        <w:spacing w:after="0" w:line="240" w:lineRule="auto"/>
        <w:jc w:val="both"/>
      </w:pPr>
    </w:p>
    <w:p w:rsidR="00C174FC" w:rsidRDefault="00C174FC" w:rsidP="00DF13EE">
      <w:pPr>
        <w:spacing w:after="0" w:line="240" w:lineRule="auto"/>
        <w:jc w:val="both"/>
      </w:pPr>
      <w:r>
        <w:t>a</w:t>
      </w:r>
    </w:p>
    <w:p w:rsidR="00DF13EE" w:rsidRDefault="00DF13EE" w:rsidP="00DF13EE">
      <w:pPr>
        <w:spacing w:after="0" w:line="240" w:lineRule="auto"/>
        <w:jc w:val="both"/>
      </w:pPr>
    </w:p>
    <w:p w:rsidR="00DF13EE" w:rsidRDefault="00DF13EE" w:rsidP="00DF13EE">
      <w:pPr>
        <w:spacing w:after="0" w:line="240" w:lineRule="auto"/>
        <w:jc w:val="both"/>
      </w:pPr>
      <w:r w:rsidRPr="00DF13EE">
        <w:rPr>
          <w:b/>
        </w:rPr>
        <w:t>Psychiatrická nemocnice Bohnice</w:t>
      </w:r>
      <w:r>
        <w:rPr>
          <w:b/>
        </w:rPr>
        <w:t xml:space="preserve"> (dále také jako PNB)</w:t>
      </w:r>
    </w:p>
    <w:p w:rsidR="00DF13EE" w:rsidRDefault="00DF13EE" w:rsidP="00DF13EE">
      <w:pPr>
        <w:spacing w:after="0" w:line="240" w:lineRule="auto"/>
        <w:jc w:val="both"/>
      </w:pPr>
      <w:r>
        <w:t xml:space="preserve"> </w:t>
      </w:r>
    </w:p>
    <w:tbl>
      <w:tblPr>
        <w:tblW w:w="9040" w:type="dxa"/>
        <w:tblInd w:w="100" w:type="dxa"/>
        <w:tblLayout w:type="fixed"/>
        <w:tblLook w:val="0600"/>
      </w:tblPr>
      <w:tblGrid>
        <w:gridCol w:w="2660"/>
        <w:gridCol w:w="2420"/>
        <w:gridCol w:w="1380"/>
        <w:gridCol w:w="2580"/>
      </w:tblGrid>
      <w:tr w:rsidR="00DF13EE" w:rsidTr="00F26065">
        <w:tc>
          <w:tcPr>
            <w:tcW w:w="2660" w:type="dxa"/>
            <w:tcMar>
              <w:top w:w="100" w:type="dxa"/>
              <w:left w:w="100" w:type="dxa"/>
              <w:bottom w:w="100" w:type="dxa"/>
              <w:right w:w="100" w:type="dxa"/>
            </w:tcMar>
          </w:tcPr>
          <w:p w:rsidR="00DF13EE" w:rsidRDefault="00DF13EE" w:rsidP="00F26065">
            <w:pPr>
              <w:spacing w:after="0" w:line="240" w:lineRule="auto"/>
              <w:ind w:left="100"/>
              <w:jc w:val="both"/>
            </w:pPr>
            <w:r>
              <w:t>Sídlo:</w:t>
            </w:r>
          </w:p>
        </w:tc>
        <w:tc>
          <w:tcPr>
            <w:tcW w:w="6380" w:type="dxa"/>
            <w:gridSpan w:val="3"/>
            <w:tcMar>
              <w:top w:w="100" w:type="dxa"/>
              <w:left w:w="100" w:type="dxa"/>
              <w:bottom w:w="100" w:type="dxa"/>
              <w:right w:w="100" w:type="dxa"/>
            </w:tcMar>
          </w:tcPr>
          <w:p w:rsidR="00DF13EE" w:rsidRDefault="00537BF8" w:rsidP="00F26065">
            <w:pPr>
              <w:spacing w:after="0" w:line="240" w:lineRule="auto"/>
              <w:ind w:left="100"/>
              <w:jc w:val="both"/>
            </w:pPr>
            <w:r>
              <w:t>Ústavní</w:t>
            </w:r>
            <w:r w:rsidR="00DF13EE">
              <w:t xml:space="preserve"> </w:t>
            </w:r>
            <w:proofErr w:type="gramStart"/>
            <w:r>
              <w:t>91 , 181 02</w:t>
            </w:r>
            <w:proofErr w:type="gramEnd"/>
            <w:r>
              <w:t xml:space="preserve"> Praha 8 - Bohnice</w:t>
            </w:r>
          </w:p>
        </w:tc>
      </w:tr>
      <w:tr w:rsidR="00DF13EE" w:rsidTr="00F26065">
        <w:tc>
          <w:tcPr>
            <w:tcW w:w="2660" w:type="dxa"/>
            <w:tcMar>
              <w:top w:w="100" w:type="dxa"/>
              <w:left w:w="100" w:type="dxa"/>
              <w:bottom w:w="100" w:type="dxa"/>
              <w:right w:w="100" w:type="dxa"/>
            </w:tcMar>
          </w:tcPr>
          <w:p w:rsidR="00DF13EE" w:rsidRDefault="00DF13EE" w:rsidP="00F26065">
            <w:pPr>
              <w:spacing w:after="0" w:line="240" w:lineRule="auto"/>
              <w:ind w:left="100"/>
              <w:jc w:val="both"/>
            </w:pPr>
            <w:r>
              <w:t>Za kterou jedná:</w:t>
            </w:r>
          </w:p>
        </w:tc>
        <w:tc>
          <w:tcPr>
            <w:tcW w:w="6380" w:type="dxa"/>
            <w:gridSpan w:val="3"/>
            <w:tcMar>
              <w:top w:w="100" w:type="dxa"/>
              <w:left w:w="100" w:type="dxa"/>
              <w:bottom w:w="100" w:type="dxa"/>
              <w:right w:w="100" w:type="dxa"/>
            </w:tcMar>
          </w:tcPr>
          <w:p w:rsidR="00DF13EE" w:rsidRDefault="00537BF8" w:rsidP="00F26065">
            <w:pPr>
              <w:spacing w:after="0" w:line="240" w:lineRule="auto"/>
              <w:ind w:left="100"/>
              <w:jc w:val="both"/>
            </w:pPr>
            <w:r>
              <w:t>MUDr.</w:t>
            </w:r>
            <w:r w:rsidR="00DF13EE">
              <w:t xml:space="preserve"> </w:t>
            </w:r>
            <w:r>
              <w:t>Martin</w:t>
            </w:r>
            <w:r w:rsidR="00DF13EE">
              <w:t xml:space="preserve"> </w:t>
            </w:r>
            <w:proofErr w:type="spellStart"/>
            <w:r>
              <w:t>Hollý</w:t>
            </w:r>
            <w:proofErr w:type="spellEnd"/>
            <w:r w:rsidR="00DF13EE">
              <w:t xml:space="preserve">, </w:t>
            </w:r>
            <w:r w:rsidR="009F7C69">
              <w:t xml:space="preserve">MBA. - </w:t>
            </w:r>
            <w:r w:rsidR="00DF13EE">
              <w:t xml:space="preserve">ředitel </w:t>
            </w:r>
          </w:p>
        </w:tc>
      </w:tr>
      <w:tr w:rsidR="00DF13EE" w:rsidTr="00F26065">
        <w:tc>
          <w:tcPr>
            <w:tcW w:w="2660" w:type="dxa"/>
            <w:tcMar>
              <w:top w:w="100" w:type="dxa"/>
              <w:left w:w="100" w:type="dxa"/>
              <w:bottom w:w="100" w:type="dxa"/>
              <w:right w:w="100" w:type="dxa"/>
            </w:tcMar>
          </w:tcPr>
          <w:p w:rsidR="00DF13EE" w:rsidRDefault="00DF13EE" w:rsidP="00F26065">
            <w:pPr>
              <w:spacing w:after="0" w:line="240" w:lineRule="auto"/>
              <w:ind w:left="100"/>
              <w:jc w:val="both"/>
            </w:pPr>
            <w:r>
              <w:t>Bankovní spojení:</w:t>
            </w:r>
          </w:p>
        </w:tc>
        <w:tc>
          <w:tcPr>
            <w:tcW w:w="2420" w:type="dxa"/>
            <w:tcMar>
              <w:top w:w="100" w:type="dxa"/>
              <w:left w:w="100" w:type="dxa"/>
              <w:bottom w:w="100" w:type="dxa"/>
              <w:right w:w="100" w:type="dxa"/>
            </w:tcMar>
          </w:tcPr>
          <w:p w:rsidR="00DF13EE" w:rsidRDefault="009F7C69" w:rsidP="00F26065">
            <w:pPr>
              <w:spacing w:after="0" w:line="240" w:lineRule="auto"/>
              <w:ind w:left="100"/>
              <w:jc w:val="both"/>
            </w:pPr>
            <w:r>
              <w:t>Česká národní banka</w:t>
            </w:r>
          </w:p>
        </w:tc>
        <w:tc>
          <w:tcPr>
            <w:tcW w:w="1380" w:type="dxa"/>
            <w:tcMar>
              <w:top w:w="100" w:type="dxa"/>
              <w:left w:w="100" w:type="dxa"/>
              <w:bottom w:w="100" w:type="dxa"/>
              <w:right w:w="100" w:type="dxa"/>
            </w:tcMar>
          </w:tcPr>
          <w:p w:rsidR="00DF13EE" w:rsidRDefault="00DF13EE" w:rsidP="00F26065">
            <w:pPr>
              <w:spacing w:after="0" w:line="240" w:lineRule="auto"/>
              <w:ind w:left="100"/>
              <w:jc w:val="both"/>
            </w:pPr>
            <w:r>
              <w:t>číslo účtu:</w:t>
            </w:r>
          </w:p>
        </w:tc>
        <w:tc>
          <w:tcPr>
            <w:tcW w:w="2580" w:type="dxa"/>
            <w:tcMar>
              <w:top w:w="100" w:type="dxa"/>
              <w:left w:w="100" w:type="dxa"/>
              <w:bottom w:w="100" w:type="dxa"/>
              <w:right w:w="100" w:type="dxa"/>
            </w:tcMar>
          </w:tcPr>
          <w:p w:rsidR="00DF13EE" w:rsidRDefault="00DF13EE" w:rsidP="009F7C69">
            <w:pPr>
              <w:spacing w:after="0" w:line="240" w:lineRule="auto"/>
              <w:ind w:left="100"/>
              <w:jc w:val="both"/>
            </w:pPr>
            <w:r>
              <w:t xml:space="preserve"> </w:t>
            </w:r>
            <w:r w:rsidR="00537BF8">
              <w:t>16434081</w:t>
            </w:r>
            <w:r>
              <w:t>/</w:t>
            </w:r>
            <w:r w:rsidR="009F7C69">
              <w:t>0710</w:t>
            </w:r>
          </w:p>
        </w:tc>
      </w:tr>
      <w:tr w:rsidR="00537BF8" w:rsidTr="00F26065">
        <w:tc>
          <w:tcPr>
            <w:tcW w:w="2660" w:type="dxa"/>
            <w:tcMar>
              <w:top w:w="100" w:type="dxa"/>
              <w:left w:w="100" w:type="dxa"/>
              <w:bottom w:w="100" w:type="dxa"/>
              <w:right w:w="100" w:type="dxa"/>
            </w:tcMar>
          </w:tcPr>
          <w:p w:rsidR="00537BF8" w:rsidRDefault="00537BF8" w:rsidP="00537BF8">
            <w:pPr>
              <w:spacing w:after="0" w:line="240" w:lineRule="auto"/>
              <w:ind w:left="100"/>
              <w:jc w:val="both"/>
            </w:pPr>
            <w:r>
              <w:t>IČO:</w:t>
            </w:r>
          </w:p>
        </w:tc>
        <w:tc>
          <w:tcPr>
            <w:tcW w:w="2420" w:type="dxa"/>
            <w:tcMar>
              <w:top w:w="100" w:type="dxa"/>
              <w:left w:w="100" w:type="dxa"/>
              <w:bottom w:w="100" w:type="dxa"/>
              <w:right w:w="100" w:type="dxa"/>
            </w:tcMar>
          </w:tcPr>
          <w:p w:rsidR="00537BF8" w:rsidRDefault="00537BF8" w:rsidP="00537BF8">
            <w:pPr>
              <w:spacing w:after="0" w:line="240" w:lineRule="auto"/>
              <w:ind w:left="100"/>
              <w:jc w:val="both"/>
            </w:pPr>
            <w:r>
              <w:t>00064220</w:t>
            </w:r>
          </w:p>
        </w:tc>
        <w:tc>
          <w:tcPr>
            <w:tcW w:w="1380" w:type="dxa"/>
            <w:tcMar>
              <w:top w:w="100" w:type="dxa"/>
              <w:left w:w="100" w:type="dxa"/>
              <w:bottom w:w="100" w:type="dxa"/>
              <w:right w:w="100" w:type="dxa"/>
            </w:tcMar>
          </w:tcPr>
          <w:p w:rsidR="00537BF8" w:rsidRDefault="00537BF8" w:rsidP="00537BF8">
            <w:pPr>
              <w:spacing w:after="0" w:line="240" w:lineRule="auto"/>
              <w:ind w:left="100"/>
              <w:jc w:val="both"/>
            </w:pPr>
            <w:r>
              <w:t>DIČ:</w:t>
            </w:r>
          </w:p>
        </w:tc>
        <w:tc>
          <w:tcPr>
            <w:tcW w:w="2580" w:type="dxa"/>
            <w:tcMar>
              <w:top w:w="100" w:type="dxa"/>
              <w:left w:w="100" w:type="dxa"/>
              <w:bottom w:w="100" w:type="dxa"/>
              <w:right w:w="100" w:type="dxa"/>
            </w:tcMar>
          </w:tcPr>
          <w:p w:rsidR="00537BF8" w:rsidRDefault="00537BF8" w:rsidP="00537BF8">
            <w:pPr>
              <w:spacing w:after="0" w:line="240" w:lineRule="auto"/>
              <w:ind w:left="100"/>
              <w:jc w:val="both"/>
            </w:pPr>
            <w:r>
              <w:t xml:space="preserve">CZ00064220 </w:t>
            </w:r>
          </w:p>
        </w:tc>
      </w:tr>
      <w:tr w:rsidR="00537BF8" w:rsidTr="00F26065">
        <w:trPr>
          <w:trHeight w:val="420"/>
        </w:trPr>
        <w:tc>
          <w:tcPr>
            <w:tcW w:w="2660" w:type="dxa"/>
            <w:tcMar>
              <w:top w:w="100" w:type="dxa"/>
              <w:left w:w="100" w:type="dxa"/>
              <w:bottom w:w="100" w:type="dxa"/>
              <w:right w:w="100" w:type="dxa"/>
            </w:tcMar>
          </w:tcPr>
          <w:p w:rsidR="00537BF8" w:rsidRDefault="00537BF8" w:rsidP="00537BF8">
            <w:pPr>
              <w:spacing w:after="0" w:line="240" w:lineRule="auto"/>
              <w:ind w:left="100"/>
              <w:jc w:val="both"/>
            </w:pPr>
            <w:r>
              <w:t>Kontaktní osoba:</w:t>
            </w:r>
          </w:p>
        </w:tc>
        <w:tc>
          <w:tcPr>
            <w:tcW w:w="3800" w:type="dxa"/>
            <w:gridSpan w:val="2"/>
            <w:tcMar>
              <w:top w:w="100" w:type="dxa"/>
              <w:left w:w="100" w:type="dxa"/>
              <w:bottom w:w="100" w:type="dxa"/>
              <w:right w:w="100" w:type="dxa"/>
            </w:tcMar>
          </w:tcPr>
          <w:p w:rsidR="00537BF8" w:rsidRDefault="00537BF8" w:rsidP="00537BF8">
            <w:pPr>
              <w:spacing w:after="0" w:line="240" w:lineRule="auto"/>
              <w:ind w:left="100"/>
              <w:jc w:val="both"/>
            </w:pPr>
            <w:r>
              <w:t xml:space="preserve">Ing. Josef Lukeš, </w:t>
            </w:r>
            <w:proofErr w:type="spellStart"/>
            <w:r>
              <w:t>Ph.D</w:t>
            </w:r>
            <w:proofErr w:type="spellEnd"/>
            <w:r>
              <w:t xml:space="preserve">.  </w:t>
            </w:r>
            <w:r>
              <w:tab/>
            </w:r>
          </w:p>
          <w:p w:rsidR="00537BF8" w:rsidRDefault="00537BF8" w:rsidP="00537BF8">
            <w:pPr>
              <w:spacing w:after="0" w:line="240" w:lineRule="auto"/>
              <w:ind w:left="100"/>
              <w:jc w:val="both"/>
            </w:pPr>
            <w:r>
              <w:t xml:space="preserve">tel: </w:t>
            </w:r>
            <w:r w:rsidR="007B5D6B">
              <w:t xml:space="preserve"> +420 284 016 784</w:t>
            </w:r>
          </w:p>
          <w:p w:rsidR="00537BF8" w:rsidRDefault="00537BF8" w:rsidP="00537BF8">
            <w:pPr>
              <w:spacing w:after="0" w:line="240" w:lineRule="auto"/>
              <w:ind w:left="100"/>
              <w:jc w:val="both"/>
            </w:pPr>
            <w:r>
              <w:t>e-mail: Josef.lukes@bohnice.cz</w:t>
            </w:r>
          </w:p>
          <w:p w:rsidR="00537BF8" w:rsidRDefault="00537BF8" w:rsidP="00537BF8">
            <w:pPr>
              <w:spacing w:after="0" w:line="240" w:lineRule="auto"/>
              <w:ind w:left="100"/>
              <w:jc w:val="both"/>
            </w:pPr>
            <w:r>
              <w:t xml:space="preserve"> </w:t>
            </w:r>
          </w:p>
        </w:tc>
        <w:tc>
          <w:tcPr>
            <w:tcW w:w="2580" w:type="dxa"/>
            <w:tcMar>
              <w:top w:w="100" w:type="dxa"/>
              <w:left w:w="100" w:type="dxa"/>
              <w:bottom w:w="100" w:type="dxa"/>
              <w:right w:w="100" w:type="dxa"/>
            </w:tcMar>
          </w:tcPr>
          <w:p w:rsidR="00537BF8" w:rsidRDefault="00537BF8" w:rsidP="00537BF8">
            <w:pPr>
              <w:spacing w:after="0" w:line="240" w:lineRule="auto"/>
              <w:ind w:left="100"/>
              <w:jc w:val="both"/>
            </w:pPr>
            <w:r>
              <w:t xml:space="preserve"> </w:t>
            </w:r>
          </w:p>
        </w:tc>
      </w:tr>
    </w:tbl>
    <w:p w:rsidR="00DF13EE" w:rsidRDefault="00DF13EE" w:rsidP="00DF13EE">
      <w:pPr>
        <w:spacing w:after="0" w:line="240" w:lineRule="auto"/>
        <w:jc w:val="both"/>
      </w:pPr>
      <w:r>
        <w:t xml:space="preserve">dále jen </w:t>
      </w:r>
      <w:r>
        <w:rPr>
          <w:b/>
        </w:rPr>
        <w:t>Kupující</w:t>
      </w:r>
      <w:r>
        <w:t xml:space="preserve"> na straně druhé,</w:t>
      </w:r>
    </w:p>
    <w:p w:rsidR="00DF13EE" w:rsidRDefault="009F7C69" w:rsidP="00DF13EE">
      <w:pPr>
        <w:spacing w:after="0" w:line="240" w:lineRule="auto"/>
        <w:jc w:val="both"/>
      </w:pPr>
      <w:r>
        <w:t>(Prodávající a Kupující</w:t>
      </w:r>
      <w:r w:rsidR="00C174FC">
        <w:t xml:space="preserve"> společně též jako „smluvní strany“ a/nebo jednotlivě jako „smluvní strana“)</w:t>
      </w:r>
      <w:r w:rsidR="00DF13EE">
        <w:t xml:space="preserve"> </w:t>
      </w:r>
    </w:p>
    <w:p w:rsidR="00DF13EE" w:rsidRDefault="00DF13EE" w:rsidP="00DF13EE">
      <w:pPr>
        <w:spacing w:after="0" w:line="240" w:lineRule="auto"/>
        <w:jc w:val="both"/>
      </w:pPr>
    </w:p>
    <w:p w:rsidR="00DF13EE" w:rsidRDefault="00DF13EE" w:rsidP="00DF13EE">
      <w:pPr>
        <w:spacing w:after="0" w:line="240" w:lineRule="auto"/>
        <w:jc w:val="both"/>
      </w:pPr>
      <w:r>
        <w:t>uzavírají níže uvedeného dne, měsíce a roku tuto kupní smlouvu (dále jen Smlouva).</w:t>
      </w:r>
    </w:p>
    <w:p w:rsidR="00C174FC" w:rsidRDefault="00C174FC" w:rsidP="00DF13EE">
      <w:pPr>
        <w:spacing w:after="0" w:line="240" w:lineRule="auto"/>
        <w:jc w:val="both"/>
      </w:pPr>
    </w:p>
    <w:p w:rsidR="00DF13EE" w:rsidRDefault="00DF13EE" w:rsidP="00DF13EE">
      <w:pPr>
        <w:numPr>
          <w:ilvl w:val="0"/>
          <w:numId w:val="1"/>
        </w:numPr>
        <w:spacing w:before="360" w:after="0" w:line="240" w:lineRule="auto"/>
        <w:contextualSpacing/>
        <w:jc w:val="center"/>
        <w:rPr>
          <w:b/>
          <w:sz w:val="24"/>
          <w:szCs w:val="24"/>
        </w:rPr>
      </w:pPr>
      <w:r>
        <w:rPr>
          <w:b/>
          <w:sz w:val="24"/>
          <w:szCs w:val="24"/>
        </w:rPr>
        <w:t>Předmět Smlouvy</w:t>
      </w:r>
    </w:p>
    <w:p w:rsidR="00DF13EE" w:rsidRDefault="00DF13EE" w:rsidP="00DF13EE">
      <w:pPr>
        <w:numPr>
          <w:ilvl w:val="1"/>
          <w:numId w:val="1"/>
        </w:numPr>
        <w:spacing w:before="360" w:after="0" w:line="240" w:lineRule="auto"/>
        <w:contextualSpacing/>
        <w:jc w:val="both"/>
        <w:rPr>
          <w:b/>
          <w:sz w:val="24"/>
          <w:szCs w:val="24"/>
        </w:rPr>
      </w:pPr>
      <w:r w:rsidRPr="00D74F18">
        <w:t>Prodávající tímto prodává Kupujícímu dále specifikované zboží</w:t>
      </w:r>
      <w:r w:rsidR="008059EE">
        <w:t xml:space="preserve"> a služby</w:t>
      </w:r>
      <w:r w:rsidRPr="00D74F18">
        <w:t xml:space="preserve">, </w:t>
      </w:r>
      <w:r w:rsidR="008059EE">
        <w:t>které jsou</w:t>
      </w:r>
      <w:r w:rsidRPr="00D74F18">
        <w:t xml:space="preserve"> ve výlučném vlastnictví Prodávajícího (</w:t>
      </w:r>
      <w:r w:rsidR="008059EE">
        <w:t xml:space="preserve">server, </w:t>
      </w:r>
      <w:proofErr w:type="gramStart"/>
      <w:r w:rsidR="008059EE">
        <w:t>kabeláž</w:t>
      </w:r>
      <w:r w:rsidRPr="00D74F18">
        <w:t xml:space="preserve">) </w:t>
      </w:r>
      <w:r w:rsidR="008059EE">
        <w:t>(dále</w:t>
      </w:r>
      <w:proofErr w:type="gramEnd"/>
      <w:r w:rsidR="008059EE">
        <w:t xml:space="preserve"> též „</w:t>
      </w:r>
      <w:r w:rsidR="00006B72">
        <w:t>předmět koupě</w:t>
      </w:r>
      <w:r w:rsidR="008059EE">
        <w:t xml:space="preserve">“) </w:t>
      </w:r>
      <w:r w:rsidRPr="00D74F18">
        <w:t>dle technické specifikace uvedené v Příloze č. 1 této Smlouvy</w:t>
      </w:r>
      <w:r w:rsidR="00667E5F">
        <w:t>, které je nové a nepoužité, prosté faktických i právních vad,</w:t>
      </w:r>
      <w:r w:rsidRPr="00D74F18">
        <w:t xml:space="preserve"> za kupní cenu uvedenou v článku 4 této Smlouvy a </w:t>
      </w:r>
      <w:r w:rsidRPr="00D74F18">
        <w:rPr>
          <w:highlight w:val="white"/>
        </w:rPr>
        <w:t xml:space="preserve">Kupující </w:t>
      </w:r>
      <w:r w:rsidR="00006B72">
        <w:rPr>
          <w:highlight w:val="white"/>
        </w:rPr>
        <w:t>předmět koupě</w:t>
      </w:r>
      <w:r w:rsidRPr="00D74F18">
        <w:rPr>
          <w:highlight w:val="white"/>
        </w:rPr>
        <w:t xml:space="preserve"> za tuto kupní cenu do svého výlučného vlastnictví přijímá a kupuje</w:t>
      </w:r>
      <w:r>
        <w:t>.</w:t>
      </w:r>
    </w:p>
    <w:p w:rsidR="00DF13EE" w:rsidRDefault="00DF13EE" w:rsidP="00DF13EE">
      <w:pPr>
        <w:numPr>
          <w:ilvl w:val="0"/>
          <w:numId w:val="1"/>
        </w:numPr>
        <w:spacing w:before="360" w:after="0" w:line="240" w:lineRule="auto"/>
        <w:ind w:left="357" w:hanging="357"/>
        <w:jc w:val="center"/>
        <w:rPr>
          <w:b/>
          <w:sz w:val="24"/>
          <w:szCs w:val="24"/>
        </w:rPr>
      </w:pPr>
      <w:r>
        <w:rPr>
          <w:b/>
          <w:sz w:val="24"/>
          <w:szCs w:val="24"/>
        </w:rPr>
        <w:t>Termín a místo dodání</w:t>
      </w:r>
    </w:p>
    <w:p w:rsidR="00DF13EE" w:rsidRDefault="00DF13EE" w:rsidP="00DF13EE">
      <w:pPr>
        <w:numPr>
          <w:ilvl w:val="1"/>
          <w:numId w:val="1"/>
        </w:numPr>
        <w:spacing w:before="360" w:after="0" w:line="240" w:lineRule="auto"/>
        <w:ind w:left="431" w:hanging="431"/>
        <w:contextualSpacing/>
        <w:jc w:val="both"/>
      </w:pPr>
      <w:r>
        <w:t xml:space="preserve">Prodávající se zavazuje dodat Kupujícímu </w:t>
      </w:r>
      <w:r w:rsidR="00006B72">
        <w:t>předmět koupě</w:t>
      </w:r>
      <w:r w:rsidR="00C174FC">
        <w:t xml:space="preserve"> </w:t>
      </w:r>
      <w:r>
        <w:t>dle Přílohy č. 1 této Smlouvy nejpozději do</w:t>
      </w:r>
      <w:r w:rsidR="00DD4FB3">
        <w:t> </w:t>
      </w:r>
      <w:r w:rsidR="007B5D6B">
        <w:t>30 d</w:t>
      </w:r>
      <w:r>
        <w:t>nů ode dne podpisu Smlouvy oběma smluvními stranami.</w:t>
      </w:r>
    </w:p>
    <w:p w:rsidR="00DF13EE" w:rsidRDefault="00DF13EE" w:rsidP="00DF13EE">
      <w:pPr>
        <w:numPr>
          <w:ilvl w:val="1"/>
          <w:numId w:val="1"/>
        </w:numPr>
        <w:spacing w:before="360" w:after="0" w:line="240" w:lineRule="auto"/>
        <w:contextualSpacing/>
        <w:jc w:val="both"/>
      </w:pPr>
      <w:r>
        <w:lastRenderedPageBreak/>
        <w:t xml:space="preserve">O předání a převzetí </w:t>
      </w:r>
      <w:r w:rsidR="00006B72">
        <w:t xml:space="preserve">předmětu koupě </w:t>
      </w:r>
      <w:r>
        <w:t>Kupujícím bude pořízen předávací protokol podepsaný oprávněnými zástupci obou</w:t>
      </w:r>
      <w:r w:rsidR="00C174FC">
        <w:t xml:space="preserve"> smluvních</w:t>
      </w:r>
      <w:r>
        <w:t xml:space="preserve"> stran nebo jimi pověřenými osobami.</w:t>
      </w:r>
    </w:p>
    <w:p w:rsidR="00DF13EE" w:rsidRDefault="00DF13EE" w:rsidP="00DF13EE">
      <w:pPr>
        <w:numPr>
          <w:ilvl w:val="1"/>
          <w:numId w:val="1"/>
        </w:numPr>
        <w:spacing w:before="360" w:after="0" w:line="240" w:lineRule="auto"/>
        <w:ind w:left="431" w:hanging="431"/>
        <w:contextualSpacing/>
        <w:jc w:val="both"/>
      </w:pPr>
      <w:r>
        <w:t xml:space="preserve">Místem dodání je sídlo </w:t>
      </w:r>
      <w:r w:rsidR="001131EC">
        <w:t>Psychiatrické nemocnice Bohnice</w:t>
      </w:r>
      <w:r>
        <w:t>.</w:t>
      </w:r>
    </w:p>
    <w:p w:rsidR="00DF13EE" w:rsidRDefault="00DF13EE" w:rsidP="00DF13EE">
      <w:pPr>
        <w:numPr>
          <w:ilvl w:val="1"/>
          <w:numId w:val="1"/>
        </w:numPr>
        <w:spacing w:before="360" w:after="0" w:line="240" w:lineRule="auto"/>
        <w:contextualSpacing/>
        <w:jc w:val="both"/>
      </w:pPr>
      <w:r>
        <w:t>Dopravu zajišťuje Prodávající na své vlastní náklady.</w:t>
      </w:r>
    </w:p>
    <w:p w:rsidR="00DF13EE" w:rsidRDefault="00DF13EE" w:rsidP="00DF13EE">
      <w:pPr>
        <w:spacing w:before="360" w:after="0" w:line="240" w:lineRule="auto"/>
        <w:ind w:left="432"/>
        <w:contextualSpacing/>
        <w:jc w:val="both"/>
      </w:pPr>
    </w:p>
    <w:p w:rsidR="00DF13EE" w:rsidRDefault="00DF13EE" w:rsidP="00DF13EE">
      <w:pPr>
        <w:numPr>
          <w:ilvl w:val="0"/>
          <w:numId w:val="1"/>
        </w:numPr>
        <w:spacing w:before="360" w:after="0" w:line="240" w:lineRule="auto"/>
        <w:ind w:left="357" w:hanging="357"/>
        <w:jc w:val="center"/>
        <w:rPr>
          <w:b/>
          <w:sz w:val="24"/>
          <w:szCs w:val="24"/>
        </w:rPr>
      </w:pPr>
      <w:r>
        <w:rPr>
          <w:b/>
          <w:sz w:val="24"/>
          <w:szCs w:val="24"/>
        </w:rPr>
        <w:t>Kupní cena</w:t>
      </w:r>
    </w:p>
    <w:p w:rsidR="00DF13EE" w:rsidRPr="00D74F18" w:rsidRDefault="00DF13EE" w:rsidP="00DF13EE">
      <w:pPr>
        <w:numPr>
          <w:ilvl w:val="1"/>
          <w:numId w:val="1"/>
        </w:numPr>
        <w:spacing w:after="0" w:line="240" w:lineRule="auto"/>
        <w:rPr>
          <w:b/>
          <w:sz w:val="24"/>
          <w:szCs w:val="24"/>
        </w:rPr>
      </w:pPr>
      <w:r>
        <w:t>Kupní cena je následující (částky jsou uvedeny v Kč):</w:t>
      </w:r>
    </w:p>
    <w:p w:rsidR="001131EC" w:rsidRDefault="001131EC" w:rsidP="001131EC">
      <w:pPr>
        <w:spacing w:after="0" w:line="240" w:lineRule="auto"/>
        <w:ind w:left="426"/>
        <w:jc w:val="both"/>
      </w:pPr>
    </w:p>
    <w:p w:rsidR="00DF13EE" w:rsidRPr="008830CC" w:rsidRDefault="008059EE" w:rsidP="001131EC">
      <w:pPr>
        <w:spacing w:after="0" w:line="240" w:lineRule="auto"/>
        <w:ind w:left="426"/>
        <w:jc w:val="both"/>
        <w:rPr>
          <w:b/>
        </w:rPr>
      </w:pPr>
      <w:r>
        <w:rPr>
          <w:b/>
        </w:rPr>
        <w:t>108.064,-</w:t>
      </w:r>
      <w:r w:rsidR="001131EC" w:rsidRPr="008830CC">
        <w:rPr>
          <w:b/>
        </w:rPr>
        <w:t xml:space="preserve"> bez DPH.</w:t>
      </w:r>
    </w:p>
    <w:p w:rsidR="001131EC" w:rsidRPr="008830CC" w:rsidRDefault="008059EE" w:rsidP="001131EC">
      <w:pPr>
        <w:spacing w:after="0" w:line="240" w:lineRule="auto"/>
        <w:ind w:left="426"/>
        <w:jc w:val="both"/>
        <w:rPr>
          <w:b/>
        </w:rPr>
      </w:pPr>
      <w:r>
        <w:rPr>
          <w:b/>
        </w:rPr>
        <w:t xml:space="preserve">130.757,- </w:t>
      </w:r>
      <w:r w:rsidR="001131EC" w:rsidRPr="008830CC">
        <w:rPr>
          <w:b/>
        </w:rPr>
        <w:t xml:space="preserve"> s DPH.</w:t>
      </w:r>
    </w:p>
    <w:p w:rsidR="001131EC" w:rsidRDefault="001131EC" w:rsidP="001131EC">
      <w:pPr>
        <w:spacing w:after="0" w:line="240" w:lineRule="auto"/>
        <w:ind w:left="426"/>
        <w:jc w:val="both"/>
      </w:pPr>
      <w:r w:rsidRPr="008830CC">
        <w:rPr>
          <w:b/>
        </w:rPr>
        <w:t>Výše DPH je 21%</w:t>
      </w:r>
    </w:p>
    <w:p w:rsidR="001131EC" w:rsidRDefault="001131EC" w:rsidP="00DF13EE">
      <w:pPr>
        <w:spacing w:after="0" w:line="240" w:lineRule="auto"/>
        <w:ind w:left="426"/>
        <w:jc w:val="both"/>
      </w:pPr>
    </w:p>
    <w:p w:rsidR="00DF13EE" w:rsidRDefault="00DF13EE" w:rsidP="00DF13EE">
      <w:pPr>
        <w:spacing w:after="0" w:line="240" w:lineRule="auto"/>
        <w:ind w:left="426"/>
        <w:jc w:val="both"/>
      </w:pPr>
      <w:r>
        <w:t xml:space="preserve">Takto dohodnutá kupní cena je konečná a nejvýše přípustná a zahrnuje v sobě veškeré náklady související s plněním dle této Smlouvy tak, aby předmět </w:t>
      </w:r>
      <w:r w:rsidR="0014094B">
        <w:t xml:space="preserve">koupě </w:t>
      </w:r>
      <w:r>
        <w:t>byl zcela funkční a plnil svůj účel.</w:t>
      </w:r>
    </w:p>
    <w:p w:rsidR="00DF13EE" w:rsidRDefault="00DF13EE" w:rsidP="00DF13EE">
      <w:pPr>
        <w:spacing w:after="0" w:line="240" w:lineRule="auto"/>
        <w:ind w:left="426"/>
        <w:jc w:val="both"/>
      </w:pPr>
    </w:p>
    <w:p w:rsidR="00DF13EE" w:rsidRDefault="00DF13EE" w:rsidP="00DF13EE">
      <w:pPr>
        <w:numPr>
          <w:ilvl w:val="0"/>
          <w:numId w:val="1"/>
        </w:numPr>
        <w:spacing w:before="360" w:after="0" w:line="240" w:lineRule="auto"/>
        <w:ind w:left="357" w:hanging="357"/>
        <w:jc w:val="center"/>
        <w:rPr>
          <w:b/>
          <w:sz w:val="24"/>
          <w:szCs w:val="24"/>
        </w:rPr>
      </w:pPr>
      <w:r>
        <w:rPr>
          <w:b/>
          <w:sz w:val="24"/>
          <w:szCs w:val="24"/>
        </w:rPr>
        <w:t>Platební podmínky</w:t>
      </w:r>
    </w:p>
    <w:p w:rsidR="00DF13EE" w:rsidRPr="00B37876" w:rsidRDefault="00DF13EE" w:rsidP="00DF13EE">
      <w:pPr>
        <w:numPr>
          <w:ilvl w:val="1"/>
          <w:numId w:val="1"/>
        </w:numPr>
        <w:spacing w:before="360" w:after="0" w:line="240" w:lineRule="auto"/>
        <w:contextualSpacing/>
        <w:jc w:val="both"/>
        <w:rPr>
          <w:b/>
          <w:sz w:val="24"/>
          <w:szCs w:val="24"/>
        </w:rPr>
      </w:pPr>
      <w:r>
        <w:t xml:space="preserve">Kupující je povinen zaplatit za </w:t>
      </w:r>
      <w:r w:rsidR="00C174FC">
        <w:t xml:space="preserve">řádně a včas </w:t>
      </w:r>
      <w:r>
        <w:t xml:space="preserve">dodaný předmět koupě kupní cenu uvedenou v čl. 4 </w:t>
      </w:r>
      <w:r w:rsidR="00006B72">
        <w:t>S</w:t>
      </w:r>
      <w:r>
        <w:t>mlouvy</w:t>
      </w:r>
      <w:r w:rsidRPr="00B37876">
        <w:rPr>
          <w:color w:val="FF0000"/>
        </w:rPr>
        <w:t xml:space="preserve"> </w:t>
      </w:r>
      <w:r>
        <w:t xml:space="preserve">na základě </w:t>
      </w:r>
      <w:r w:rsidR="00AD6FC7">
        <w:t>příslušných daňových dokladů</w:t>
      </w:r>
      <w:r>
        <w:t xml:space="preserve">, </w:t>
      </w:r>
      <w:r w:rsidR="00AD6FC7">
        <w:t>vystavených</w:t>
      </w:r>
      <w:r>
        <w:t xml:space="preserve"> Prodávajícím do </w:t>
      </w:r>
      <w:r w:rsidR="001131EC">
        <w:t>2</w:t>
      </w:r>
      <w:r>
        <w:t xml:space="preserve"> dnů po převzetí předmětu </w:t>
      </w:r>
      <w:r w:rsidR="0014094B">
        <w:t xml:space="preserve">koupě </w:t>
      </w:r>
      <w:r>
        <w:t>Kupujícím. Faktury budou zaslané Prodávajícím na adresu Kupujícího, splatnost faktur je 30 dnů. Peněžité závazky vyplývající z</w:t>
      </w:r>
      <w:r w:rsidR="00006B72">
        <w:t>e</w:t>
      </w:r>
      <w:r>
        <w:t xml:space="preserve"> </w:t>
      </w:r>
      <w:r w:rsidR="00006B72">
        <w:t>S</w:t>
      </w:r>
      <w:r>
        <w:t>mlouvy jsou hrazeny bezhotovostně na účet oprávněné smluvní strany. Zálohy Kupující neposkytuje.</w:t>
      </w:r>
    </w:p>
    <w:p w:rsidR="00DF13EE" w:rsidRPr="00B37876" w:rsidRDefault="00DF13EE" w:rsidP="00DF13EE">
      <w:pPr>
        <w:numPr>
          <w:ilvl w:val="1"/>
          <w:numId w:val="1"/>
        </w:numPr>
        <w:spacing w:before="360" w:after="0" w:line="240" w:lineRule="auto"/>
        <w:contextualSpacing/>
        <w:jc w:val="both"/>
        <w:rPr>
          <w:b/>
          <w:sz w:val="24"/>
          <w:szCs w:val="24"/>
        </w:rPr>
      </w:pPr>
      <w:r>
        <w:t>Faktury musí obsahovat všechny náležitosti řádného daňového a účetního dokladu ve smyslu příslušných právních předpisů a dále specifikaci předmětu</w:t>
      </w:r>
      <w:r w:rsidR="002419A4">
        <w:t xml:space="preserve"> koupě</w:t>
      </w:r>
      <w:r>
        <w:t xml:space="preserve">, </w:t>
      </w:r>
      <w:r w:rsidR="002419A4">
        <w:t xml:space="preserve">jeho </w:t>
      </w:r>
      <w:r>
        <w:t>počtu a ceny.</w:t>
      </w:r>
    </w:p>
    <w:p w:rsidR="00DF13EE" w:rsidRPr="00B37876" w:rsidRDefault="00DF13EE" w:rsidP="00DF13EE">
      <w:pPr>
        <w:numPr>
          <w:ilvl w:val="1"/>
          <w:numId w:val="1"/>
        </w:numPr>
        <w:spacing w:before="360" w:after="0" w:line="240" w:lineRule="auto"/>
        <w:contextualSpacing/>
        <w:jc w:val="both"/>
        <w:rPr>
          <w:b/>
          <w:sz w:val="24"/>
          <w:szCs w:val="24"/>
        </w:rPr>
      </w:pPr>
      <w:r w:rsidRPr="00545C6F">
        <w:t>V případě, že faktura nebude mít odpovídající náležitosti, je Kupující oprávněn zaslat ji ve lhůtě splatnosti</w:t>
      </w:r>
      <w:r>
        <w:t xml:space="preserve"> zpět Prodávajícímu k doplnění či úpravě, aniž se dostane do prodlení se splatností – lhůta splatnosti počíná běžet znovu od opětovného doručení doplněného nebo opraveného dokladu Kupujícímu.</w:t>
      </w:r>
    </w:p>
    <w:p w:rsidR="00DF13EE" w:rsidRDefault="00DF13EE" w:rsidP="00DF13EE">
      <w:pPr>
        <w:spacing w:after="0" w:line="240" w:lineRule="auto"/>
        <w:jc w:val="both"/>
      </w:pPr>
    </w:p>
    <w:p w:rsidR="00DF13EE" w:rsidRDefault="00DF13EE" w:rsidP="00DF13EE">
      <w:pPr>
        <w:numPr>
          <w:ilvl w:val="0"/>
          <w:numId w:val="1"/>
        </w:numPr>
        <w:spacing w:before="360" w:after="0" w:line="240" w:lineRule="auto"/>
        <w:ind w:left="357" w:hanging="357"/>
        <w:jc w:val="center"/>
        <w:rPr>
          <w:b/>
          <w:sz w:val="24"/>
          <w:szCs w:val="24"/>
        </w:rPr>
      </w:pPr>
      <w:r>
        <w:rPr>
          <w:b/>
          <w:sz w:val="24"/>
          <w:szCs w:val="24"/>
        </w:rPr>
        <w:t>Sankce</w:t>
      </w:r>
      <w:bookmarkStart w:id="0" w:name="_GoBack"/>
      <w:bookmarkEnd w:id="0"/>
    </w:p>
    <w:p w:rsidR="00DF13EE" w:rsidRPr="00B37876" w:rsidRDefault="00DF13EE" w:rsidP="00DF13EE">
      <w:pPr>
        <w:numPr>
          <w:ilvl w:val="1"/>
          <w:numId w:val="1"/>
        </w:numPr>
        <w:spacing w:before="360" w:after="0" w:line="240" w:lineRule="auto"/>
        <w:contextualSpacing/>
        <w:jc w:val="both"/>
        <w:rPr>
          <w:b/>
          <w:sz w:val="24"/>
          <w:szCs w:val="24"/>
        </w:rPr>
      </w:pPr>
      <w:r>
        <w:t xml:space="preserve">V případě nedodržení lhůty pro </w:t>
      </w:r>
      <w:r w:rsidRPr="00545C6F">
        <w:t xml:space="preserve">dodání předmětu koupě dle </w:t>
      </w:r>
      <w:r>
        <w:t xml:space="preserve">článku 2.1 této smlouvy, je Prodávající povinen zaplatit Kupujícímu smluvní pokutu ve výši 0,1 % z kupní ceny odpovídající pozdě dodanému </w:t>
      </w:r>
      <w:r w:rsidR="002419A4">
        <w:t>předmětu koupě</w:t>
      </w:r>
      <w:r>
        <w:t>, a to za každý byť započatý den prodlení. Zaplacením smluvní pokuty není dotčeno právo Kupujícího na náhradu škody.</w:t>
      </w:r>
    </w:p>
    <w:p w:rsidR="00DF13EE" w:rsidRPr="00B37876" w:rsidRDefault="00DF13EE" w:rsidP="00DF13EE">
      <w:pPr>
        <w:numPr>
          <w:ilvl w:val="1"/>
          <w:numId w:val="1"/>
        </w:numPr>
        <w:spacing w:before="360" w:after="0" w:line="240" w:lineRule="auto"/>
        <w:contextualSpacing/>
        <w:jc w:val="both"/>
        <w:rPr>
          <w:b/>
          <w:sz w:val="24"/>
          <w:szCs w:val="24"/>
        </w:rPr>
      </w:pPr>
      <w:r>
        <w:t xml:space="preserve">V případě, že je Prodávající v prodlení s dodáním předmětu koupě dle </w:t>
      </w:r>
      <w:r w:rsidR="00006B72">
        <w:t>S</w:t>
      </w:r>
      <w:r>
        <w:t xml:space="preserve">mlouvy déle než 30 dní, je Kupující oprávněn od </w:t>
      </w:r>
      <w:r w:rsidR="00006B72">
        <w:t>S</w:t>
      </w:r>
      <w:r>
        <w:t>mlouvy odstoupit. Odstoupením se smlouva ruší dnem doručení písemného oznámení o odstoupení Prodávajícímu.</w:t>
      </w:r>
    </w:p>
    <w:p w:rsidR="00DF13EE" w:rsidRPr="004C7960" w:rsidRDefault="00DF13EE" w:rsidP="00DF13EE">
      <w:pPr>
        <w:numPr>
          <w:ilvl w:val="1"/>
          <w:numId w:val="1"/>
        </w:numPr>
        <w:spacing w:before="360" w:after="0" w:line="240" w:lineRule="auto"/>
        <w:contextualSpacing/>
        <w:jc w:val="both"/>
      </w:pPr>
      <w:r>
        <w:t xml:space="preserve">V případě prodlení se zaplacením kupní ceny dle čl. 4.1 této Smlouvy, je Kupující povinen zaplatit Prodávajícímu úrok z prodlení stanovený na základě nařízení vlády č. 351/2013 </w:t>
      </w:r>
      <w:r w:rsidRPr="00C174FC">
        <w:t xml:space="preserve">Sb., </w:t>
      </w:r>
      <w:r w:rsidR="00C174FC" w:rsidRPr="004C7960">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C174FC">
        <w:rPr>
          <w:iCs/>
        </w:rPr>
        <w:t>.</w:t>
      </w:r>
    </w:p>
    <w:p w:rsidR="00DF13EE" w:rsidRDefault="00DF13EE" w:rsidP="00DF13EE">
      <w:pPr>
        <w:spacing w:before="60" w:after="0" w:line="240" w:lineRule="auto"/>
        <w:ind w:left="720"/>
        <w:jc w:val="both"/>
      </w:pPr>
    </w:p>
    <w:p w:rsidR="00DF13EE" w:rsidRDefault="00DF13EE" w:rsidP="00DF13EE">
      <w:pPr>
        <w:numPr>
          <w:ilvl w:val="0"/>
          <w:numId w:val="1"/>
        </w:numPr>
        <w:spacing w:before="360" w:after="0" w:line="240" w:lineRule="auto"/>
        <w:ind w:left="357" w:hanging="357"/>
        <w:jc w:val="center"/>
        <w:rPr>
          <w:b/>
          <w:sz w:val="24"/>
          <w:szCs w:val="24"/>
        </w:rPr>
      </w:pPr>
      <w:r>
        <w:rPr>
          <w:b/>
          <w:sz w:val="24"/>
          <w:szCs w:val="24"/>
        </w:rPr>
        <w:t>Odpovědnost za škodu</w:t>
      </w:r>
    </w:p>
    <w:p w:rsidR="00DF13EE" w:rsidRPr="00B37876" w:rsidRDefault="00DF13EE" w:rsidP="00DF13EE">
      <w:pPr>
        <w:numPr>
          <w:ilvl w:val="1"/>
          <w:numId w:val="1"/>
        </w:numPr>
        <w:spacing w:before="360" w:after="0" w:line="240" w:lineRule="auto"/>
        <w:contextualSpacing/>
        <w:jc w:val="both"/>
        <w:rPr>
          <w:b/>
          <w:sz w:val="24"/>
          <w:szCs w:val="24"/>
        </w:rPr>
      </w:pPr>
      <w:r>
        <w:t>Prodávající odpovídá Kupujícímu za škodu způsobenou zaviněným porušením povinností vyplývajících z této Smlouvy nebo z obecně závazného právního předpisu.</w:t>
      </w:r>
    </w:p>
    <w:p w:rsidR="00DF13EE" w:rsidRPr="00B37876" w:rsidRDefault="00DF13EE" w:rsidP="00DF13EE">
      <w:pPr>
        <w:numPr>
          <w:ilvl w:val="1"/>
          <w:numId w:val="1"/>
        </w:numPr>
        <w:spacing w:before="360" w:after="0" w:line="240" w:lineRule="auto"/>
        <w:contextualSpacing/>
        <w:jc w:val="both"/>
        <w:rPr>
          <w:b/>
          <w:sz w:val="24"/>
          <w:szCs w:val="24"/>
        </w:rPr>
      </w:pPr>
      <w:r>
        <w:lastRenderedPageBreak/>
        <w:t>Prodávající neodpovídá za škodu, která byla způsobena jinou osobou než Prodávajícím, či jím pověřeným subjektem, nesprávným nebo neadekvátním přístupem Kupujícího a v důsledku událostí vyšší moci.</w:t>
      </w:r>
    </w:p>
    <w:p w:rsidR="00DF13EE" w:rsidRPr="00B37876" w:rsidRDefault="00DF13EE" w:rsidP="00DF13EE">
      <w:pPr>
        <w:numPr>
          <w:ilvl w:val="1"/>
          <w:numId w:val="1"/>
        </w:numPr>
        <w:spacing w:before="360" w:after="0" w:line="240" w:lineRule="auto"/>
        <w:contextualSpacing/>
        <w:jc w:val="both"/>
        <w:rPr>
          <w:b/>
          <w:sz w:val="24"/>
          <w:szCs w:val="24"/>
        </w:rPr>
      </w:pPr>
      <w:r>
        <w:t>Prodávající odpovídá Kupujícímu za škodu způsobenou Kupujícímu zaviněným porušením povinností stanovených touto Smlouvou.</w:t>
      </w:r>
    </w:p>
    <w:p w:rsidR="00DF13EE" w:rsidRDefault="00DF13EE" w:rsidP="00DF13EE">
      <w:pPr>
        <w:spacing w:before="60" w:after="0" w:line="240" w:lineRule="auto"/>
        <w:ind w:left="480"/>
        <w:jc w:val="both"/>
      </w:pPr>
    </w:p>
    <w:p w:rsidR="00DF13EE" w:rsidRDefault="00DF13EE" w:rsidP="00DF13EE">
      <w:pPr>
        <w:keepNext/>
        <w:numPr>
          <w:ilvl w:val="0"/>
          <w:numId w:val="1"/>
        </w:numPr>
        <w:spacing w:before="360" w:after="0" w:line="240" w:lineRule="auto"/>
        <w:ind w:left="357" w:hanging="357"/>
        <w:jc w:val="center"/>
        <w:rPr>
          <w:b/>
          <w:sz w:val="24"/>
          <w:szCs w:val="24"/>
        </w:rPr>
      </w:pPr>
      <w:r>
        <w:rPr>
          <w:b/>
          <w:sz w:val="24"/>
          <w:szCs w:val="24"/>
        </w:rPr>
        <w:t>Záruka</w:t>
      </w:r>
    </w:p>
    <w:p w:rsidR="00DF13EE" w:rsidRPr="00B37876" w:rsidRDefault="00DF13EE" w:rsidP="00DF13EE">
      <w:pPr>
        <w:numPr>
          <w:ilvl w:val="1"/>
          <w:numId w:val="1"/>
        </w:numPr>
        <w:spacing w:before="360" w:after="0" w:line="240" w:lineRule="auto"/>
        <w:contextualSpacing/>
        <w:jc w:val="both"/>
        <w:rPr>
          <w:b/>
          <w:sz w:val="24"/>
          <w:szCs w:val="24"/>
        </w:rPr>
      </w:pPr>
      <w:r>
        <w:t>Prodávající poskytuje Kupujícímu záruku za jakost předmětu koupě spočívající v tom, že předmět koupě bude po záruční dobu způsobilý pro použití k jeho obvyklým účelům a zachová si obvyklé vlastnosti.</w:t>
      </w:r>
    </w:p>
    <w:p w:rsidR="00DF13EE" w:rsidRPr="00B37876" w:rsidRDefault="00DF13EE" w:rsidP="00DF13EE">
      <w:pPr>
        <w:numPr>
          <w:ilvl w:val="1"/>
          <w:numId w:val="1"/>
        </w:numPr>
        <w:spacing w:before="360" w:after="0" w:line="240" w:lineRule="auto"/>
        <w:contextualSpacing/>
        <w:jc w:val="both"/>
        <w:rPr>
          <w:b/>
          <w:sz w:val="24"/>
          <w:szCs w:val="24"/>
        </w:rPr>
      </w:pPr>
      <w:r>
        <w:t xml:space="preserve">Záruční doba </w:t>
      </w:r>
      <w:r w:rsidR="00545C6F">
        <w:t>36</w:t>
      </w:r>
      <w:r w:rsidR="00C174FC">
        <w:t xml:space="preserve"> měsíců </w:t>
      </w:r>
      <w:r>
        <w:t xml:space="preserve">a servisní podpora na </w:t>
      </w:r>
      <w:r w:rsidR="002419A4">
        <w:t>předmět koupě</w:t>
      </w:r>
      <w:r>
        <w:t>, jsou blíže specifikovány v Příloze č. 1 této Smlouvy</w:t>
      </w:r>
      <w:r w:rsidRPr="00B37876">
        <w:rPr>
          <w:color w:val="1A171B"/>
          <w:highlight w:val="white"/>
        </w:rPr>
        <w:t xml:space="preserve"> </w:t>
      </w:r>
      <w:r>
        <w:t>a počínají běžet dnem předání předmětu koupě bez vad Kupujícímu.</w:t>
      </w:r>
    </w:p>
    <w:p w:rsidR="00DF13EE" w:rsidRPr="00AC289C" w:rsidRDefault="00DF13EE" w:rsidP="00DF13EE">
      <w:pPr>
        <w:numPr>
          <w:ilvl w:val="1"/>
          <w:numId w:val="1"/>
        </w:numPr>
        <w:spacing w:before="360" w:after="0" w:line="240" w:lineRule="auto"/>
        <w:contextualSpacing/>
        <w:jc w:val="both"/>
        <w:rPr>
          <w:b/>
          <w:sz w:val="24"/>
          <w:szCs w:val="24"/>
        </w:rPr>
      </w:pPr>
      <w:r>
        <w:t xml:space="preserve">Prodávající se zavazuje zajistit servisní služby na </w:t>
      </w:r>
      <w:r w:rsidR="002419A4">
        <w:t>předmět koupě</w:t>
      </w:r>
      <w:r>
        <w:t xml:space="preserve"> u kupujícího. Prodávající ručí za kvalitu a termínový průběh servisních služeb.</w:t>
      </w:r>
    </w:p>
    <w:p w:rsidR="00DF13EE" w:rsidRPr="00AC79CB" w:rsidRDefault="00DF13EE" w:rsidP="00DF13EE">
      <w:pPr>
        <w:numPr>
          <w:ilvl w:val="1"/>
          <w:numId w:val="1"/>
        </w:numPr>
        <w:spacing w:before="360" w:after="0" w:line="240" w:lineRule="auto"/>
        <w:contextualSpacing/>
        <w:jc w:val="both"/>
        <w:rPr>
          <w:b/>
          <w:sz w:val="24"/>
          <w:szCs w:val="24"/>
        </w:rPr>
      </w:pPr>
      <w:r>
        <w:t>Kontaktní údaje pro servisní a záruční podporu:</w:t>
      </w:r>
    </w:p>
    <w:p w:rsidR="00DF13EE" w:rsidRPr="001131EC" w:rsidRDefault="00DF13EE" w:rsidP="00DF13EE">
      <w:pPr>
        <w:spacing w:before="360" w:after="0" w:line="240" w:lineRule="auto"/>
        <w:ind w:left="720"/>
        <w:contextualSpacing/>
        <w:jc w:val="both"/>
      </w:pPr>
      <w:r w:rsidRPr="00AC79CB">
        <w:t xml:space="preserve">Jméno: </w:t>
      </w:r>
      <w:r w:rsidR="001131EC">
        <w:rPr>
          <w:i/>
        </w:rPr>
        <w:t>Tomáš Pazderka</w:t>
      </w:r>
    </w:p>
    <w:p w:rsidR="00DF13EE" w:rsidRPr="001131EC" w:rsidRDefault="00DF13EE" w:rsidP="00DF13EE">
      <w:pPr>
        <w:spacing w:before="360" w:after="0" w:line="240" w:lineRule="auto"/>
        <w:ind w:left="720"/>
        <w:contextualSpacing/>
        <w:jc w:val="both"/>
      </w:pPr>
      <w:r w:rsidRPr="00AC79CB">
        <w:t xml:space="preserve">E-mail: </w:t>
      </w:r>
      <w:r w:rsidR="001131EC">
        <w:rPr>
          <w:i/>
        </w:rPr>
        <w:t>pazderka@tpcomputer.cz</w:t>
      </w:r>
    </w:p>
    <w:p w:rsidR="00DF13EE" w:rsidRPr="001131EC" w:rsidRDefault="00DF13EE" w:rsidP="00DF13EE">
      <w:pPr>
        <w:spacing w:before="360" w:after="0" w:line="240" w:lineRule="auto"/>
        <w:ind w:left="720"/>
        <w:contextualSpacing/>
        <w:jc w:val="both"/>
      </w:pPr>
      <w:r w:rsidRPr="00AC79CB">
        <w:t xml:space="preserve">Telefon: </w:t>
      </w:r>
      <w:r w:rsidR="001131EC">
        <w:rPr>
          <w:i/>
        </w:rPr>
        <w:t>777 235 530</w:t>
      </w:r>
    </w:p>
    <w:p w:rsidR="00DF13EE" w:rsidRDefault="00DF13EE" w:rsidP="00DF13EE">
      <w:pPr>
        <w:spacing w:after="0" w:line="240" w:lineRule="auto"/>
        <w:jc w:val="both"/>
      </w:pPr>
    </w:p>
    <w:p w:rsidR="00DF13EE" w:rsidRDefault="00DF13EE" w:rsidP="00DF13EE">
      <w:pPr>
        <w:numPr>
          <w:ilvl w:val="0"/>
          <w:numId w:val="1"/>
        </w:numPr>
        <w:spacing w:before="360" w:after="0" w:line="240" w:lineRule="auto"/>
        <w:ind w:left="357" w:hanging="357"/>
        <w:jc w:val="center"/>
        <w:rPr>
          <w:b/>
          <w:sz w:val="24"/>
          <w:szCs w:val="24"/>
        </w:rPr>
      </w:pPr>
      <w:r>
        <w:rPr>
          <w:b/>
          <w:sz w:val="24"/>
          <w:szCs w:val="24"/>
        </w:rPr>
        <w:t>Závěrečná ustanovení</w:t>
      </w:r>
    </w:p>
    <w:p w:rsidR="00DF13EE" w:rsidRPr="00B37876" w:rsidRDefault="00DF13EE" w:rsidP="00DF13EE">
      <w:pPr>
        <w:numPr>
          <w:ilvl w:val="1"/>
          <w:numId w:val="1"/>
        </w:numPr>
        <w:spacing w:before="360" w:after="0" w:line="240" w:lineRule="auto"/>
        <w:contextualSpacing/>
        <w:jc w:val="both"/>
        <w:rPr>
          <w:b/>
          <w:sz w:val="24"/>
          <w:szCs w:val="24"/>
        </w:rPr>
      </w:pPr>
      <w:r>
        <w:t xml:space="preserve">Smlouva nabývá platnosti a účinnosti okamžikem podpisu </w:t>
      </w:r>
      <w:r w:rsidR="00C174FC">
        <w:t xml:space="preserve">poslední ze smluvních stran s tím, že tyto berou na vědomí povinnosti Kupujícího, které mu vyplývají z předpisů o registru smluv, resp. </w:t>
      </w:r>
      <w:r w:rsidR="00006B72">
        <w:t>o</w:t>
      </w:r>
      <w:r w:rsidR="00C174FC">
        <w:t xml:space="preserve"> svobodném přístupu k informacím</w:t>
      </w:r>
      <w:r>
        <w:t>.</w:t>
      </w:r>
    </w:p>
    <w:p w:rsidR="00DF13EE" w:rsidRPr="00B37876" w:rsidRDefault="00DF13EE" w:rsidP="00DF13EE">
      <w:pPr>
        <w:numPr>
          <w:ilvl w:val="1"/>
          <w:numId w:val="1"/>
        </w:numPr>
        <w:spacing w:before="360" w:after="0" w:line="240" w:lineRule="auto"/>
        <w:contextualSpacing/>
        <w:jc w:val="both"/>
        <w:rPr>
          <w:b/>
          <w:sz w:val="24"/>
          <w:szCs w:val="24"/>
        </w:rPr>
      </w:pPr>
      <w:r>
        <w:t>Jakékoliv změny a doplňky této Smlouvy je možné provádět pouze formou písemných, vzestupně číslovaných a náležitě podepsaných dodatků, uzavřených mezi oběma smluvními stranami této Smlouvy.</w:t>
      </w:r>
    </w:p>
    <w:p w:rsidR="00DF13EE" w:rsidRPr="00B37876" w:rsidRDefault="00DF13EE" w:rsidP="00DF13EE">
      <w:pPr>
        <w:numPr>
          <w:ilvl w:val="1"/>
          <w:numId w:val="1"/>
        </w:numPr>
        <w:spacing w:before="360" w:after="0" w:line="240" w:lineRule="auto"/>
        <w:contextualSpacing/>
        <w:jc w:val="both"/>
        <w:rPr>
          <w:b/>
          <w:sz w:val="24"/>
          <w:szCs w:val="24"/>
        </w:rPr>
      </w:pPr>
      <w:r>
        <w:t xml:space="preserve">Tato Smlouva je vyhotovena dvojmo, každé </w:t>
      </w:r>
      <w:proofErr w:type="spellStart"/>
      <w:r>
        <w:t>paré</w:t>
      </w:r>
      <w:proofErr w:type="spellEnd"/>
      <w:r>
        <w:t xml:space="preserve"> má hodnotu originálu a každá ze smluvních stran obdrží po jednom.</w:t>
      </w:r>
    </w:p>
    <w:p w:rsidR="00DF13EE" w:rsidRPr="00B37876" w:rsidRDefault="00DF13EE" w:rsidP="00DF13EE">
      <w:pPr>
        <w:numPr>
          <w:ilvl w:val="1"/>
          <w:numId w:val="1"/>
        </w:numPr>
        <w:spacing w:before="360" w:after="0" w:line="240" w:lineRule="auto"/>
        <w:contextualSpacing/>
        <w:jc w:val="both"/>
        <w:rPr>
          <w:b/>
          <w:sz w:val="24"/>
          <w:szCs w:val="24"/>
        </w:rPr>
      </w:pPr>
      <w:r>
        <w:t>Smluvní strany se zavazují řešit spory vzniklé v souvislosti s touto Smlouvou především smírnou cestou. Spory, jež nebude možné ve lhůtě do 30 dnů ode dne oznámení sporné otázky druhé smluvní straně vyřešit smírem, budou řešeny, pokud nebude předem písemně dohodnuto jinak, místně příslušným soudem.</w:t>
      </w:r>
    </w:p>
    <w:p w:rsidR="00656092" w:rsidRPr="00B37876" w:rsidRDefault="00656092" w:rsidP="00656092">
      <w:pPr>
        <w:numPr>
          <w:ilvl w:val="1"/>
          <w:numId w:val="1"/>
        </w:numPr>
        <w:spacing w:before="360" w:after="0" w:line="240" w:lineRule="auto"/>
        <w:contextualSpacing/>
        <w:jc w:val="both"/>
        <w:rPr>
          <w:b/>
          <w:sz w:val="24"/>
          <w:szCs w:val="24"/>
        </w:rPr>
      </w:pPr>
      <w:r>
        <w:t>Nedílnou součástí Smlouvy jsou přílohy:</w:t>
      </w:r>
    </w:p>
    <w:p w:rsidR="00656092" w:rsidRDefault="00656092" w:rsidP="00656092">
      <w:pPr>
        <w:spacing w:after="0" w:line="240" w:lineRule="auto"/>
        <w:ind w:left="900"/>
        <w:jc w:val="both"/>
      </w:pPr>
      <w:r>
        <w:t xml:space="preserve">Příloha č. 1 – Technická specifikace předmětu </w:t>
      </w:r>
      <w:r w:rsidR="0014094B">
        <w:t>koupě</w:t>
      </w:r>
    </w:p>
    <w:p w:rsidR="00DF13EE" w:rsidRPr="00B37876" w:rsidRDefault="00DF13EE" w:rsidP="00DF13EE">
      <w:pPr>
        <w:numPr>
          <w:ilvl w:val="1"/>
          <w:numId w:val="1"/>
        </w:numPr>
        <w:spacing w:before="360" w:after="0" w:line="240" w:lineRule="auto"/>
        <w:contextualSpacing/>
        <w:jc w:val="both"/>
        <w:rPr>
          <w:b/>
          <w:sz w:val="24"/>
          <w:szCs w:val="24"/>
        </w:rPr>
      </w:pPr>
    </w:p>
    <w:p w:rsidR="006D630A" w:rsidRDefault="00656092" w:rsidP="00DF13EE">
      <w:pPr>
        <w:spacing w:after="0" w:line="240" w:lineRule="auto"/>
        <w:jc w:val="both"/>
      </w:pPr>
      <w:r>
        <w:t xml:space="preserve">Smluvní strany výslovně prohlašují, že si </w:t>
      </w:r>
      <w:r w:rsidR="00006B72">
        <w:t>S</w:t>
      </w:r>
      <w:r>
        <w:t xml:space="preserve">mlouvu přečetly, seznámily se s jejím obsahem a souhlasí s ní. Na důkaz </w:t>
      </w:r>
      <w:r w:rsidR="00006B72">
        <w:t xml:space="preserve">její </w:t>
      </w:r>
      <w:r>
        <w:t xml:space="preserve">správnosti a úplnosti připojují </w:t>
      </w:r>
      <w:r w:rsidR="00006B72">
        <w:t xml:space="preserve">smluvní </w:t>
      </w:r>
      <w:r>
        <w:t xml:space="preserve">strany své vlastnoruční podpisy. Svými podpisy rovněž vyjadřují, že </w:t>
      </w:r>
      <w:r w:rsidR="00006B72">
        <w:t>tato</w:t>
      </w:r>
      <w:r>
        <w:t xml:space="preserve"> nebyla ujednána v tísni a ani za jinak jednostranně nevýhodných podmínek.</w:t>
      </w:r>
    </w:p>
    <w:p w:rsidR="00DF13EE" w:rsidRDefault="00DF13EE" w:rsidP="00DF13EE">
      <w:pPr>
        <w:spacing w:after="0" w:line="240" w:lineRule="auto"/>
        <w:jc w:val="both"/>
      </w:pPr>
    </w:p>
    <w:tbl>
      <w:tblPr>
        <w:tblStyle w:val="TableNormal"/>
        <w:tblW w:w="0" w:type="auto"/>
        <w:tblInd w:w="-108" w:type="dxa"/>
        <w:tblLook w:val="04A0"/>
      </w:tblPr>
      <w:tblGrid>
        <w:gridCol w:w="3207"/>
        <w:gridCol w:w="2779"/>
        <w:gridCol w:w="3151"/>
      </w:tblGrid>
      <w:tr w:rsidR="00DF13EE" w:rsidRPr="00292E15" w:rsidTr="00F26065">
        <w:tc>
          <w:tcPr>
            <w:tcW w:w="3207" w:type="dxa"/>
          </w:tcPr>
          <w:p w:rsidR="00DF13EE" w:rsidRPr="00292E15" w:rsidRDefault="00DF13EE" w:rsidP="00F26065">
            <w:pPr>
              <w:spacing w:line="240" w:lineRule="auto"/>
              <w:jc w:val="both"/>
              <w:rPr>
                <w:rFonts w:asciiTheme="minorHAnsi" w:hAnsiTheme="minorHAnsi"/>
              </w:rPr>
            </w:pPr>
            <w:r w:rsidRPr="00292E15">
              <w:rPr>
                <w:rFonts w:asciiTheme="minorHAnsi" w:hAnsiTheme="minorHAnsi"/>
              </w:rPr>
              <w:t>V</w:t>
            </w:r>
            <w:r w:rsidR="001131EC">
              <w:rPr>
                <w:rFonts w:asciiTheme="minorHAnsi" w:hAnsiTheme="minorHAnsi"/>
              </w:rPr>
              <w:t> </w:t>
            </w:r>
            <w:proofErr w:type="spellStart"/>
            <w:r w:rsidR="001131EC">
              <w:rPr>
                <w:rFonts w:asciiTheme="minorHAnsi" w:hAnsiTheme="minorHAnsi"/>
              </w:rPr>
              <w:t>Hořátvi</w:t>
            </w:r>
            <w:proofErr w:type="spellEnd"/>
            <w:r w:rsidR="001131EC">
              <w:rPr>
                <w:rFonts w:asciiTheme="minorHAnsi" w:hAnsiTheme="minorHAnsi"/>
              </w:rPr>
              <w:t xml:space="preserve"> </w:t>
            </w:r>
            <w:r w:rsidRPr="00292E15">
              <w:rPr>
                <w:rFonts w:asciiTheme="minorHAnsi" w:hAnsiTheme="minorHAnsi"/>
              </w:rPr>
              <w:t>dne …………</w:t>
            </w:r>
            <w:r>
              <w:rPr>
                <w:rFonts w:asciiTheme="minorHAnsi" w:hAnsiTheme="minorHAnsi"/>
              </w:rPr>
              <w:t>…</w:t>
            </w:r>
            <w:proofErr w:type="gramStart"/>
            <w:r>
              <w:rPr>
                <w:rFonts w:asciiTheme="minorHAnsi" w:hAnsiTheme="minorHAnsi"/>
              </w:rPr>
              <w:t>…..</w:t>
            </w:r>
            <w:proofErr w:type="gramEnd"/>
          </w:p>
        </w:tc>
        <w:tc>
          <w:tcPr>
            <w:tcW w:w="2779" w:type="dxa"/>
          </w:tcPr>
          <w:p w:rsidR="00DF13EE" w:rsidRPr="00292E15" w:rsidRDefault="00DF13EE" w:rsidP="00F26065">
            <w:pPr>
              <w:spacing w:line="240" w:lineRule="auto"/>
              <w:jc w:val="both"/>
              <w:rPr>
                <w:rFonts w:asciiTheme="minorHAnsi" w:hAnsiTheme="minorHAnsi"/>
              </w:rPr>
            </w:pPr>
          </w:p>
        </w:tc>
        <w:tc>
          <w:tcPr>
            <w:tcW w:w="3151" w:type="dxa"/>
          </w:tcPr>
          <w:p w:rsidR="00DF13EE" w:rsidRPr="00292E15" w:rsidRDefault="00DF13EE" w:rsidP="00F26065">
            <w:pPr>
              <w:spacing w:line="240" w:lineRule="auto"/>
              <w:jc w:val="both"/>
              <w:rPr>
                <w:rFonts w:asciiTheme="minorHAnsi" w:hAnsiTheme="minorHAnsi"/>
              </w:rPr>
            </w:pPr>
            <w:r w:rsidRPr="00292E15">
              <w:rPr>
                <w:rFonts w:asciiTheme="minorHAnsi" w:hAnsiTheme="minorHAnsi"/>
              </w:rPr>
              <w:t>V Praze dne …………</w:t>
            </w:r>
            <w:r>
              <w:rPr>
                <w:rFonts w:asciiTheme="minorHAnsi" w:hAnsiTheme="minorHAnsi"/>
              </w:rPr>
              <w:t>…</w:t>
            </w:r>
            <w:proofErr w:type="gramStart"/>
            <w:r>
              <w:rPr>
                <w:rFonts w:asciiTheme="minorHAnsi" w:hAnsiTheme="minorHAnsi"/>
              </w:rPr>
              <w:t>…..</w:t>
            </w:r>
            <w:proofErr w:type="gramEnd"/>
          </w:p>
        </w:tc>
      </w:tr>
      <w:tr w:rsidR="00DF13EE" w:rsidRPr="00292E15" w:rsidTr="00F26065">
        <w:tc>
          <w:tcPr>
            <w:tcW w:w="3207" w:type="dxa"/>
            <w:tcBorders>
              <w:bottom w:val="single" w:sz="4" w:space="0" w:color="auto"/>
            </w:tcBorders>
          </w:tcPr>
          <w:p w:rsidR="00DF13EE" w:rsidRDefault="00DF13EE" w:rsidP="00F26065">
            <w:pPr>
              <w:spacing w:line="240" w:lineRule="auto"/>
              <w:jc w:val="both"/>
              <w:rPr>
                <w:rFonts w:asciiTheme="minorHAnsi" w:hAnsiTheme="minorHAnsi"/>
              </w:rPr>
            </w:pPr>
          </w:p>
          <w:p w:rsidR="0019044B" w:rsidRDefault="0019044B" w:rsidP="00F26065">
            <w:pPr>
              <w:spacing w:line="240" w:lineRule="auto"/>
              <w:jc w:val="both"/>
              <w:rPr>
                <w:rFonts w:asciiTheme="minorHAnsi" w:hAnsiTheme="minorHAnsi"/>
              </w:rPr>
            </w:pPr>
          </w:p>
          <w:p w:rsidR="0019044B" w:rsidRPr="00292E15" w:rsidRDefault="0019044B" w:rsidP="00F26065">
            <w:pPr>
              <w:spacing w:line="240" w:lineRule="auto"/>
              <w:jc w:val="both"/>
              <w:rPr>
                <w:rFonts w:asciiTheme="minorHAnsi" w:hAnsiTheme="minorHAnsi"/>
              </w:rPr>
            </w:pPr>
          </w:p>
          <w:p w:rsidR="00DF13EE" w:rsidRPr="00292E15" w:rsidRDefault="00DF13EE" w:rsidP="00F26065">
            <w:pPr>
              <w:spacing w:line="240" w:lineRule="auto"/>
              <w:jc w:val="both"/>
              <w:rPr>
                <w:rFonts w:asciiTheme="minorHAnsi" w:hAnsiTheme="minorHAnsi"/>
              </w:rPr>
            </w:pPr>
          </w:p>
        </w:tc>
        <w:tc>
          <w:tcPr>
            <w:tcW w:w="2779" w:type="dxa"/>
          </w:tcPr>
          <w:p w:rsidR="00DF13EE" w:rsidRPr="00292E15" w:rsidRDefault="00DF13EE" w:rsidP="00F26065">
            <w:pPr>
              <w:spacing w:line="240" w:lineRule="auto"/>
              <w:jc w:val="both"/>
              <w:rPr>
                <w:rFonts w:asciiTheme="minorHAnsi" w:hAnsiTheme="minorHAnsi"/>
              </w:rPr>
            </w:pPr>
          </w:p>
        </w:tc>
        <w:tc>
          <w:tcPr>
            <w:tcW w:w="3151" w:type="dxa"/>
            <w:tcBorders>
              <w:bottom w:val="single" w:sz="4" w:space="0" w:color="auto"/>
            </w:tcBorders>
          </w:tcPr>
          <w:p w:rsidR="00DF13EE" w:rsidRPr="00292E15" w:rsidRDefault="00DF13EE" w:rsidP="00F26065">
            <w:pPr>
              <w:spacing w:line="240" w:lineRule="auto"/>
              <w:jc w:val="both"/>
              <w:rPr>
                <w:rFonts w:asciiTheme="minorHAnsi" w:hAnsiTheme="minorHAnsi"/>
              </w:rPr>
            </w:pPr>
          </w:p>
        </w:tc>
      </w:tr>
      <w:tr w:rsidR="00DF13EE" w:rsidRPr="00292E15" w:rsidTr="00F26065">
        <w:tc>
          <w:tcPr>
            <w:tcW w:w="3207" w:type="dxa"/>
            <w:tcBorders>
              <w:top w:val="single" w:sz="4" w:space="0" w:color="auto"/>
            </w:tcBorders>
          </w:tcPr>
          <w:p w:rsidR="00DF13EE" w:rsidRPr="00292E15" w:rsidRDefault="00DF13EE" w:rsidP="00F26065">
            <w:pPr>
              <w:spacing w:line="240" w:lineRule="auto"/>
              <w:jc w:val="center"/>
              <w:rPr>
                <w:rFonts w:asciiTheme="minorHAnsi" w:hAnsiTheme="minorHAnsi"/>
              </w:rPr>
            </w:pPr>
          </w:p>
          <w:p w:rsidR="00DF13EE" w:rsidRDefault="00DF13EE" w:rsidP="00F26065">
            <w:pPr>
              <w:spacing w:line="240" w:lineRule="auto"/>
              <w:jc w:val="center"/>
              <w:rPr>
                <w:rFonts w:asciiTheme="minorHAnsi" w:hAnsiTheme="minorHAnsi"/>
              </w:rPr>
            </w:pPr>
            <w:r w:rsidRPr="00292E15">
              <w:rPr>
                <w:rFonts w:asciiTheme="minorHAnsi" w:hAnsiTheme="minorHAnsi"/>
              </w:rPr>
              <w:lastRenderedPageBreak/>
              <w:t>Prodávající</w:t>
            </w:r>
          </w:p>
          <w:p w:rsidR="006D630A" w:rsidRPr="00292E15" w:rsidRDefault="006D630A" w:rsidP="00F26065">
            <w:pPr>
              <w:spacing w:line="240" w:lineRule="auto"/>
              <w:jc w:val="center"/>
              <w:rPr>
                <w:rFonts w:asciiTheme="minorHAnsi" w:hAnsiTheme="minorHAnsi"/>
              </w:rPr>
            </w:pPr>
            <w:r>
              <w:rPr>
                <w:rFonts w:asciiTheme="minorHAnsi" w:hAnsiTheme="minorHAnsi"/>
              </w:rPr>
              <w:t>Tomáš Pazderka</w:t>
            </w:r>
          </w:p>
        </w:tc>
        <w:tc>
          <w:tcPr>
            <w:tcW w:w="2779" w:type="dxa"/>
          </w:tcPr>
          <w:p w:rsidR="00DF13EE" w:rsidRPr="00292E15" w:rsidRDefault="00DF13EE" w:rsidP="00F26065">
            <w:pPr>
              <w:jc w:val="center"/>
              <w:rPr>
                <w:rFonts w:asciiTheme="minorHAnsi" w:hAnsiTheme="minorHAnsi"/>
              </w:rPr>
            </w:pPr>
          </w:p>
        </w:tc>
        <w:tc>
          <w:tcPr>
            <w:tcW w:w="3151" w:type="dxa"/>
            <w:tcBorders>
              <w:top w:val="single" w:sz="4" w:space="0" w:color="auto"/>
            </w:tcBorders>
          </w:tcPr>
          <w:p w:rsidR="00DF13EE" w:rsidRPr="00292E15" w:rsidRDefault="00DF13EE" w:rsidP="00F26065">
            <w:pPr>
              <w:jc w:val="center"/>
              <w:rPr>
                <w:rFonts w:asciiTheme="minorHAnsi" w:hAnsiTheme="minorHAnsi"/>
              </w:rPr>
            </w:pPr>
          </w:p>
          <w:p w:rsidR="00DF13EE" w:rsidRPr="00292E15" w:rsidRDefault="00DF13EE" w:rsidP="00F26065">
            <w:pPr>
              <w:jc w:val="center"/>
              <w:rPr>
                <w:rFonts w:asciiTheme="minorHAnsi" w:hAnsiTheme="minorHAnsi"/>
              </w:rPr>
            </w:pPr>
            <w:r w:rsidRPr="00292E15">
              <w:rPr>
                <w:rFonts w:asciiTheme="minorHAnsi" w:hAnsiTheme="minorHAnsi"/>
              </w:rPr>
              <w:lastRenderedPageBreak/>
              <w:t>Kupující</w:t>
            </w:r>
          </w:p>
          <w:p w:rsidR="00DF13EE" w:rsidRPr="00292E15" w:rsidRDefault="006D630A" w:rsidP="00F26065">
            <w:pPr>
              <w:jc w:val="center"/>
              <w:rPr>
                <w:rFonts w:asciiTheme="minorHAnsi" w:hAnsiTheme="minorHAnsi"/>
              </w:rPr>
            </w:pPr>
            <w:r>
              <w:rPr>
                <w:rFonts w:asciiTheme="minorHAnsi" w:hAnsiTheme="minorHAnsi"/>
              </w:rPr>
              <w:t xml:space="preserve">MUDr. Martin </w:t>
            </w:r>
            <w:proofErr w:type="spellStart"/>
            <w:r>
              <w:rPr>
                <w:rFonts w:asciiTheme="minorHAnsi" w:hAnsiTheme="minorHAnsi"/>
              </w:rPr>
              <w:t>Hollý</w:t>
            </w:r>
            <w:proofErr w:type="spellEnd"/>
            <w:r w:rsidR="00656092">
              <w:rPr>
                <w:rFonts w:asciiTheme="minorHAnsi" w:hAnsiTheme="minorHAnsi"/>
              </w:rPr>
              <w:t>, MBA. - ředitel</w:t>
            </w:r>
          </w:p>
        </w:tc>
      </w:tr>
    </w:tbl>
    <w:p w:rsidR="0019044B" w:rsidRDefault="0019044B" w:rsidP="008830CC">
      <w:pPr>
        <w:spacing w:after="0" w:line="240" w:lineRule="auto"/>
        <w:ind w:left="900"/>
        <w:jc w:val="both"/>
        <w:rPr>
          <w:b/>
          <w:sz w:val="20"/>
          <w:szCs w:val="20"/>
        </w:rPr>
      </w:pPr>
    </w:p>
    <w:p w:rsidR="0019044B" w:rsidRDefault="0019044B" w:rsidP="008830CC">
      <w:pPr>
        <w:spacing w:after="0" w:line="240" w:lineRule="auto"/>
        <w:ind w:left="900"/>
        <w:jc w:val="both"/>
        <w:rPr>
          <w:b/>
          <w:sz w:val="20"/>
          <w:szCs w:val="20"/>
        </w:rPr>
      </w:pPr>
    </w:p>
    <w:p w:rsidR="00E01C11" w:rsidRPr="005754D7" w:rsidRDefault="00E01C11" w:rsidP="00E01C11">
      <w:pPr>
        <w:spacing w:after="0" w:line="240" w:lineRule="auto"/>
        <w:ind w:left="900"/>
        <w:jc w:val="both"/>
        <w:rPr>
          <w:b/>
          <w:sz w:val="20"/>
          <w:szCs w:val="20"/>
        </w:rPr>
      </w:pPr>
      <w:r w:rsidRPr="005754D7">
        <w:rPr>
          <w:b/>
          <w:sz w:val="20"/>
          <w:szCs w:val="20"/>
        </w:rPr>
        <w:t>Příloha č. 1 – Technická specifikace předmětu plnění</w:t>
      </w:r>
    </w:p>
    <w:p w:rsidR="00E01C11" w:rsidRDefault="00E01C11" w:rsidP="00E01C11">
      <w:pPr>
        <w:spacing w:after="0" w:line="240" w:lineRule="auto"/>
        <w:jc w:val="both"/>
      </w:pPr>
    </w:p>
    <w:p w:rsidR="00E01C11" w:rsidRDefault="00E01C11" w:rsidP="00E01C11">
      <w:pPr>
        <w:spacing w:after="0" w:line="240" w:lineRule="auto"/>
        <w:jc w:val="both"/>
      </w:pPr>
    </w:p>
    <w:p w:rsidR="00E01C11" w:rsidRDefault="00E01C11" w:rsidP="00E01C11">
      <w:pPr>
        <w:spacing w:after="0" w:line="240" w:lineRule="auto"/>
        <w:jc w:val="both"/>
      </w:pPr>
    </w:p>
    <w:p w:rsidR="00E01C11" w:rsidRDefault="00E01C11" w:rsidP="00E01C11">
      <w:pPr>
        <w:spacing w:after="0" w:line="240" w:lineRule="auto"/>
        <w:jc w:val="both"/>
      </w:pPr>
    </w:p>
    <w:p w:rsidR="00E01C11" w:rsidRDefault="00E01C11" w:rsidP="00E01C11">
      <w:pPr>
        <w:spacing w:after="0" w:line="240" w:lineRule="auto"/>
        <w:jc w:val="both"/>
      </w:pPr>
    </w:p>
    <w:p w:rsidR="00E01C11" w:rsidRPr="00F6645C" w:rsidRDefault="00E01C11" w:rsidP="00E01C11">
      <w:pPr>
        <w:spacing w:after="0" w:line="240" w:lineRule="auto"/>
        <w:jc w:val="both"/>
        <w:rPr>
          <w:b/>
        </w:rPr>
      </w:pPr>
      <w:r w:rsidRPr="00F6645C">
        <w:rPr>
          <w:b/>
        </w:rPr>
        <w:t xml:space="preserve">Server Super </w:t>
      </w:r>
      <w:proofErr w:type="spellStart"/>
      <w:r w:rsidRPr="00F6645C">
        <w:rPr>
          <w:b/>
        </w:rPr>
        <w:t>Micro</w:t>
      </w:r>
      <w:proofErr w:type="spellEnd"/>
      <w:r w:rsidRPr="00F6645C">
        <w:rPr>
          <w:b/>
        </w:rPr>
        <w:t xml:space="preserve"> 1U</w:t>
      </w:r>
    </w:p>
    <w:p w:rsidR="00E01C11" w:rsidRDefault="00E01C11" w:rsidP="00E01C11">
      <w:pPr>
        <w:spacing w:after="0" w:line="240" w:lineRule="auto"/>
        <w:jc w:val="both"/>
      </w:pPr>
    </w:p>
    <w:tbl>
      <w:tblPr>
        <w:tblStyle w:val="Mkatabulky"/>
        <w:tblW w:w="0" w:type="auto"/>
        <w:tblLook w:val="04A0"/>
      </w:tblPr>
      <w:tblGrid>
        <w:gridCol w:w="484"/>
        <w:gridCol w:w="8271"/>
        <w:gridCol w:w="873"/>
      </w:tblGrid>
      <w:tr w:rsidR="00E01C11" w:rsidRPr="00F76147" w:rsidTr="00704C74">
        <w:trPr>
          <w:trHeight w:val="300"/>
        </w:trPr>
        <w:tc>
          <w:tcPr>
            <w:tcW w:w="484" w:type="dxa"/>
            <w:noWrap/>
            <w:hideMark/>
          </w:tcPr>
          <w:p w:rsidR="00E01C11" w:rsidRPr="00F76147" w:rsidRDefault="00E01C11" w:rsidP="00704C74">
            <w:pPr>
              <w:spacing w:after="0" w:line="240" w:lineRule="auto"/>
              <w:jc w:val="both"/>
            </w:pPr>
          </w:p>
        </w:tc>
        <w:tc>
          <w:tcPr>
            <w:tcW w:w="8271" w:type="dxa"/>
            <w:noWrap/>
            <w:hideMark/>
          </w:tcPr>
          <w:p w:rsidR="00E01C11" w:rsidRPr="00F76147" w:rsidRDefault="00E01C11" w:rsidP="00704C74">
            <w:pPr>
              <w:spacing w:after="0" w:line="240" w:lineRule="auto"/>
              <w:jc w:val="both"/>
            </w:pPr>
            <w:r w:rsidRPr="00F76147">
              <w:t xml:space="preserve">SUPERMICRO 1U chassis 4x 3,5" HS SAS/SATA, 2x500W (80PLUS </w:t>
            </w:r>
            <w:proofErr w:type="spellStart"/>
            <w:r w:rsidRPr="00F76147">
              <w:t>Platinum</w:t>
            </w:r>
            <w:proofErr w:type="spellEnd"/>
            <w:r w:rsidRPr="00F76147">
              <w:t>), WIO</w:t>
            </w:r>
          </w:p>
        </w:tc>
        <w:tc>
          <w:tcPr>
            <w:tcW w:w="873" w:type="dxa"/>
            <w:noWrap/>
            <w:hideMark/>
          </w:tcPr>
          <w:p w:rsidR="00E01C11" w:rsidRPr="00F76147" w:rsidRDefault="00E01C11" w:rsidP="00704C74">
            <w:pPr>
              <w:spacing w:after="0" w:line="240" w:lineRule="auto"/>
              <w:jc w:val="both"/>
            </w:pPr>
          </w:p>
        </w:tc>
      </w:tr>
      <w:tr w:rsidR="00E01C11" w:rsidRPr="00F76147" w:rsidTr="00704C74">
        <w:trPr>
          <w:trHeight w:val="300"/>
        </w:trPr>
        <w:tc>
          <w:tcPr>
            <w:tcW w:w="484" w:type="dxa"/>
            <w:noWrap/>
            <w:hideMark/>
          </w:tcPr>
          <w:p w:rsidR="00E01C11" w:rsidRPr="00F76147" w:rsidRDefault="00E01C11" w:rsidP="00704C74">
            <w:pPr>
              <w:spacing w:after="0" w:line="240" w:lineRule="auto"/>
              <w:jc w:val="both"/>
            </w:pPr>
          </w:p>
        </w:tc>
        <w:tc>
          <w:tcPr>
            <w:tcW w:w="9144" w:type="dxa"/>
            <w:gridSpan w:val="2"/>
            <w:noWrap/>
            <w:hideMark/>
          </w:tcPr>
          <w:p w:rsidR="00E01C11" w:rsidRPr="00F76147" w:rsidRDefault="00E01C11" w:rsidP="00704C74">
            <w:pPr>
              <w:spacing w:after="0" w:line="240" w:lineRule="auto"/>
              <w:jc w:val="both"/>
            </w:pPr>
            <w:r w:rsidRPr="00F76147">
              <w:t>SUPERMICRO MB 1xLGA3647, iC622, 6x DDR4 ECC, 10xSATA3, 1xM.2, PCI-E 3.0/1,1(x32,x8),2x 10Gb LAN,IPMI, WIO</w:t>
            </w:r>
          </w:p>
        </w:tc>
      </w:tr>
      <w:tr w:rsidR="00E01C11" w:rsidRPr="00F76147" w:rsidTr="00704C74">
        <w:trPr>
          <w:trHeight w:val="300"/>
        </w:trPr>
        <w:tc>
          <w:tcPr>
            <w:tcW w:w="484" w:type="dxa"/>
            <w:noWrap/>
            <w:hideMark/>
          </w:tcPr>
          <w:p w:rsidR="00E01C11" w:rsidRPr="00F76147" w:rsidRDefault="00E01C11" w:rsidP="00704C74">
            <w:pPr>
              <w:spacing w:after="0" w:line="240" w:lineRule="auto"/>
              <w:jc w:val="both"/>
            </w:pPr>
          </w:p>
        </w:tc>
        <w:tc>
          <w:tcPr>
            <w:tcW w:w="8271" w:type="dxa"/>
            <w:hideMark/>
          </w:tcPr>
          <w:p w:rsidR="00E01C11" w:rsidRPr="00F76147" w:rsidRDefault="00E01C11" w:rsidP="00704C74">
            <w:pPr>
              <w:spacing w:after="0" w:line="240" w:lineRule="auto"/>
              <w:jc w:val="both"/>
            </w:pPr>
            <w:r w:rsidRPr="00F76147">
              <w:t xml:space="preserve">INTEL </w:t>
            </w:r>
            <w:proofErr w:type="spellStart"/>
            <w:r w:rsidRPr="00F76147">
              <w:t>Xeon</w:t>
            </w:r>
            <w:proofErr w:type="spellEnd"/>
            <w:r w:rsidRPr="00F76147">
              <w:t xml:space="preserve"> Bronze </w:t>
            </w:r>
            <w:proofErr w:type="gramStart"/>
            <w:r w:rsidRPr="00F76147">
              <w:t>3106 (8-</w:t>
            </w:r>
            <w:proofErr w:type="spellStart"/>
            <w:r w:rsidRPr="00F76147">
              <w:t>core</w:t>
            </w:r>
            <w:proofErr w:type="spellEnd"/>
            <w:proofErr w:type="gramEnd"/>
            <w:r w:rsidRPr="00F76147">
              <w:t>) 1,7GHZ/11MB/FC-LGA14</w:t>
            </w:r>
          </w:p>
        </w:tc>
        <w:tc>
          <w:tcPr>
            <w:tcW w:w="873" w:type="dxa"/>
            <w:noWrap/>
            <w:hideMark/>
          </w:tcPr>
          <w:p w:rsidR="00E01C11" w:rsidRPr="00F76147" w:rsidRDefault="00E01C11" w:rsidP="00704C74">
            <w:pPr>
              <w:spacing w:after="0" w:line="240" w:lineRule="auto"/>
              <w:jc w:val="both"/>
            </w:pPr>
          </w:p>
        </w:tc>
      </w:tr>
      <w:tr w:rsidR="00E01C11" w:rsidRPr="00F76147" w:rsidTr="00704C74">
        <w:trPr>
          <w:trHeight w:val="300"/>
        </w:trPr>
        <w:tc>
          <w:tcPr>
            <w:tcW w:w="484" w:type="dxa"/>
            <w:noWrap/>
            <w:hideMark/>
          </w:tcPr>
          <w:p w:rsidR="00E01C11" w:rsidRPr="00F76147" w:rsidRDefault="00E01C11" w:rsidP="00704C74">
            <w:pPr>
              <w:spacing w:after="0" w:line="240" w:lineRule="auto"/>
              <w:jc w:val="both"/>
            </w:pPr>
            <w:r w:rsidRPr="00F76147">
              <w:t>4x</w:t>
            </w:r>
          </w:p>
        </w:tc>
        <w:tc>
          <w:tcPr>
            <w:tcW w:w="8271" w:type="dxa"/>
            <w:noWrap/>
            <w:hideMark/>
          </w:tcPr>
          <w:p w:rsidR="00E01C11" w:rsidRPr="00F76147" w:rsidRDefault="00E01C11" w:rsidP="00704C74">
            <w:pPr>
              <w:spacing w:after="0" w:line="240" w:lineRule="auto"/>
              <w:jc w:val="both"/>
            </w:pPr>
            <w:r w:rsidRPr="00F76147">
              <w:t xml:space="preserve">Kingston DDR4 16GB DIMM 2400MHz CL17 ECC </w:t>
            </w:r>
            <w:proofErr w:type="spellStart"/>
            <w:r w:rsidRPr="00F76147">
              <w:t>Reg</w:t>
            </w:r>
            <w:proofErr w:type="spellEnd"/>
            <w:r w:rsidRPr="00F76147">
              <w:t xml:space="preserve"> SR x4 </w:t>
            </w:r>
            <w:proofErr w:type="spellStart"/>
            <w:r w:rsidRPr="00F76147">
              <w:t>Micron</w:t>
            </w:r>
            <w:proofErr w:type="spellEnd"/>
            <w:r w:rsidRPr="00F76147">
              <w:t xml:space="preserve"> A</w:t>
            </w:r>
          </w:p>
        </w:tc>
        <w:tc>
          <w:tcPr>
            <w:tcW w:w="873" w:type="dxa"/>
            <w:noWrap/>
            <w:hideMark/>
          </w:tcPr>
          <w:p w:rsidR="00E01C11" w:rsidRPr="00F76147" w:rsidRDefault="00E01C11" w:rsidP="00704C74">
            <w:pPr>
              <w:spacing w:after="0" w:line="240" w:lineRule="auto"/>
              <w:jc w:val="both"/>
            </w:pPr>
          </w:p>
        </w:tc>
      </w:tr>
      <w:tr w:rsidR="00E01C11" w:rsidRPr="00F76147" w:rsidTr="00704C74">
        <w:trPr>
          <w:trHeight w:val="300"/>
        </w:trPr>
        <w:tc>
          <w:tcPr>
            <w:tcW w:w="484" w:type="dxa"/>
            <w:noWrap/>
            <w:hideMark/>
          </w:tcPr>
          <w:p w:rsidR="00E01C11" w:rsidRPr="00F76147" w:rsidRDefault="00E01C11" w:rsidP="00704C74">
            <w:pPr>
              <w:spacing w:after="0" w:line="240" w:lineRule="auto"/>
              <w:jc w:val="both"/>
            </w:pPr>
            <w:r w:rsidRPr="00F76147">
              <w:t>2x</w:t>
            </w:r>
          </w:p>
        </w:tc>
        <w:tc>
          <w:tcPr>
            <w:tcW w:w="8271" w:type="dxa"/>
            <w:noWrap/>
            <w:hideMark/>
          </w:tcPr>
          <w:p w:rsidR="00E01C11" w:rsidRPr="00F76147" w:rsidRDefault="00E01C11" w:rsidP="00704C74">
            <w:pPr>
              <w:spacing w:after="0" w:line="240" w:lineRule="auto"/>
              <w:jc w:val="both"/>
            </w:pPr>
            <w:r w:rsidRPr="00F76147">
              <w:t xml:space="preserve">Seagate </w:t>
            </w:r>
            <w:proofErr w:type="spellStart"/>
            <w:r w:rsidRPr="00F76147">
              <w:t>Enterprise</w:t>
            </w:r>
            <w:proofErr w:type="spellEnd"/>
            <w:r w:rsidRPr="00F76147">
              <w:t xml:space="preserve"> </w:t>
            </w:r>
            <w:proofErr w:type="spellStart"/>
            <w:r w:rsidRPr="00F76147">
              <w:t>Capacity</w:t>
            </w:r>
            <w:proofErr w:type="spellEnd"/>
            <w:r w:rsidRPr="00F76147">
              <w:t xml:space="preserve"> 3,5" - 8TB (server) 7200rpm/SATA-III/256MB</w:t>
            </w:r>
          </w:p>
        </w:tc>
        <w:tc>
          <w:tcPr>
            <w:tcW w:w="873" w:type="dxa"/>
            <w:noWrap/>
            <w:hideMark/>
          </w:tcPr>
          <w:p w:rsidR="00E01C11" w:rsidRPr="00F76147" w:rsidRDefault="00E01C11" w:rsidP="00704C74">
            <w:pPr>
              <w:spacing w:after="0" w:line="240" w:lineRule="auto"/>
              <w:jc w:val="both"/>
            </w:pPr>
          </w:p>
        </w:tc>
      </w:tr>
      <w:tr w:rsidR="00E01C11" w:rsidRPr="00F76147" w:rsidTr="00704C74">
        <w:trPr>
          <w:trHeight w:val="300"/>
        </w:trPr>
        <w:tc>
          <w:tcPr>
            <w:tcW w:w="484" w:type="dxa"/>
            <w:noWrap/>
            <w:hideMark/>
          </w:tcPr>
          <w:p w:rsidR="00E01C11" w:rsidRPr="00F76147" w:rsidRDefault="00E01C11" w:rsidP="00704C74">
            <w:pPr>
              <w:spacing w:after="0" w:line="240" w:lineRule="auto"/>
              <w:jc w:val="both"/>
            </w:pPr>
          </w:p>
        </w:tc>
        <w:tc>
          <w:tcPr>
            <w:tcW w:w="8271" w:type="dxa"/>
            <w:noWrap/>
            <w:hideMark/>
          </w:tcPr>
          <w:p w:rsidR="00E01C11" w:rsidRPr="00F76147" w:rsidRDefault="00E01C11" w:rsidP="00704C74">
            <w:pPr>
              <w:spacing w:after="0" w:line="240" w:lineRule="auto"/>
              <w:jc w:val="both"/>
            </w:pPr>
            <w:r w:rsidRPr="00F76147">
              <w:t xml:space="preserve">SUPERMICRO X11 </w:t>
            </w:r>
            <w:proofErr w:type="spellStart"/>
            <w:r w:rsidRPr="00F76147">
              <w:t>Purley</w:t>
            </w:r>
            <w:proofErr w:type="spellEnd"/>
            <w:r w:rsidRPr="00F76147">
              <w:t xml:space="preserve"> </w:t>
            </w:r>
            <w:proofErr w:type="spellStart"/>
            <w:r w:rsidRPr="00F76147">
              <w:t>Platform</w:t>
            </w:r>
            <w:proofErr w:type="spellEnd"/>
            <w:r w:rsidRPr="00F76147">
              <w:t xml:space="preserve"> CPU </w:t>
            </w:r>
            <w:proofErr w:type="spellStart"/>
            <w:r w:rsidRPr="00F76147">
              <w:t>Heat</w:t>
            </w:r>
            <w:proofErr w:type="spellEnd"/>
            <w:r w:rsidRPr="00F76147">
              <w:t xml:space="preserve"> </w:t>
            </w:r>
            <w:proofErr w:type="spellStart"/>
            <w:r w:rsidRPr="00F76147">
              <w:t>Sink</w:t>
            </w:r>
            <w:proofErr w:type="spellEnd"/>
            <w:r w:rsidRPr="00F76147">
              <w:t xml:space="preserve"> </w:t>
            </w:r>
            <w:proofErr w:type="spellStart"/>
            <w:r w:rsidRPr="00F76147">
              <w:t>for</w:t>
            </w:r>
            <w:proofErr w:type="spellEnd"/>
            <w:r w:rsidRPr="00F76147">
              <w:t xml:space="preserve"> 1U </w:t>
            </w:r>
            <w:proofErr w:type="spellStart"/>
            <w:r w:rsidRPr="00F76147">
              <w:t>systems</w:t>
            </w:r>
            <w:proofErr w:type="spellEnd"/>
          </w:p>
        </w:tc>
        <w:tc>
          <w:tcPr>
            <w:tcW w:w="873" w:type="dxa"/>
            <w:noWrap/>
            <w:hideMark/>
          </w:tcPr>
          <w:p w:rsidR="00E01C11" w:rsidRPr="00F76147" w:rsidRDefault="00E01C11" w:rsidP="00704C74">
            <w:pPr>
              <w:spacing w:after="0" w:line="240" w:lineRule="auto"/>
              <w:jc w:val="both"/>
            </w:pPr>
          </w:p>
        </w:tc>
      </w:tr>
      <w:tr w:rsidR="00E01C11" w:rsidRPr="00F76147" w:rsidTr="00704C74">
        <w:trPr>
          <w:trHeight w:val="300"/>
        </w:trPr>
        <w:tc>
          <w:tcPr>
            <w:tcW w:w="484" w:type="dxa"/>
            <w:noWrap/>
            <w:hideMark/>
          </w:tcPr>
          <w:p w:rsidR="00E01C11" w:rsidRPr="00F76147" w:rsidRDefault="00E01C11" w:rsidP="00704C74">
            <w:pPr>
              <w:spacing w:after="0" w:line="240" w:lineRule="auto"/>
              <w:jc w:val="both"/>
            </w:pPr>
          </w:p>
        </w:tc>
        <w:tc>
          <w:tcPr>
            <w:tcW w:w="8271" w:type="dxa"/>
            <w:noWrap/>
            <w:hideMark/>
          </w:tcPr>
          <w:p w:rsidR="00E01C11" w:rsidRPr="00F76147" w:rsidRDefault="00E01C11" w:rsidP="00704C74">
            <w:pPr>
              <w:spacing w:after="0" w:line="240" w:lineRule="auto"/>
              <w:jc w:val="both"/>
            </w:pPr>
            <w:r w:rsidRPr="00F76147">
              <w:t xml:space="preserve">SUPERMICRO </w:t>
            </w:r>
            <w:proofErr w:type="spellStart"/>
            <w:r w:rsidRPr="00F76147">
              <w:t>Riser</w:t>
            </w:r>
            <w:proofErr w:type="spellEnd"/>
            <w:r w:rsidRPr="00F76147">
              <w:t xml:space="preserve"> </w:t>
            </w:r>
            <w:proofErr w:type="spellStart"/>
            <w:r w:rsidRPr="00F76147">
              <w:t>card</w:t>
            </w:r>
            <w:proofErr w:type="spellEnd"/>
            <w:r w:rsidRPr="00F76147">
              <w:t xml:space="preserve"> 1U (pro WIO) 2x PCI-E(x16) Slot</w:t>
            </w:r>
          </w:p>
        </w:tc>
        <w:tc>
          <w:tcPr>
            <w:tcW w:w="873" w:type="dxa"/>
            <w:noWrap/>
            <w:hideMark/>
          </w:tcPr>
          <w:p w:rsidR="00E01C11" w:rsidRPr="00F76147" w:rsidRDefault="00E01C11" w:rsidP="00704C74">
            <w:pPr>
              <w:spacing w:after="0" w:line="240" w:lineRule="auto"/>
              <w:jc w:val="both"/>
            </w:pPr>
          </w:p>
        </w:tc>
      </w:tr>
      <w:tr w:rsidR="00E01C11" w:rsidRPr="00F76147" w:rsidTr="00704C74">
        <w:trPr>
          <w:trHeight w:val="300"/>
        </w:trPr>
        <w:tc>
          <w:tcPr>
            <w:tcW w:w="484" w:type="dxa"/>
            <w:noWrap/>
            <w:hideMark/>
          </w:tcPr>
          <w:p w:rsidR="00E01C11" w:rsidRPr="00F76147" w:rsidRDefault="00E01C11" w:rsidP="00704C74">
            <w:pPr>
              <w:spacing w:after="0" w:line="240" w:lineRule="auto"/>
              <w:jc w:val="both"/>
            </w:pPr>
          </w:p>
        </w:tc>
        <w:tc>
          <w:tcPr>
            <w:tcW w:w="8271" w:type="dxa"/>
            <w:noWrap/>
            <w:hideMark/>
          </w:tcPr>
          <w:p w:rsidR="00E01C11" w:rsidRPr="00F76147" w:rsidRDefault="00E01C11" w:rsidP="00704C74">
            <w:pPr>
              <w:spacing w:after="0" w:line="240" w:lineRule="auto"/>
              <w:jc w:val="both"/>
            </w:pPr>
            <w:r w:rsidRPr="00F76147">
              <w:t>Montáž serveru a zahoření</w:t>
            </w:r>
          </w:p>
        </w:tc>
        <w:tc>
          <w:tcPr>
            <w:tcW w:w="873" w:type="dxa"/>
            <w:noWrap/>
            <w:hideMark/>
          </w:tcPr>
          <w:p w:rsidR="00E01C11" w:rsidRPr="00F76147" w:rsidRDefault="00E01C11" w:rsidP="00704C74">
            <w:pPr>
              <w:spacing w:after="0" w:line="240" w:lineRule="auto"/>
              <w:jc w:val="both"/>
            </w:pPr>
          </w:p>
        </w:tc>
      </w:tr>
    </w:tbl>
    <w:p w:rsidR="00E01C11" w:rsidRDefault="00E01C11" w:rsidP="00E01C11">
      <w:pPr>
        <w:spacing w:after="0" w:line="240" w:lineRule="auto"/>
        <w:jc w:val="both"/>
      </w:pPr>
    </w:p>
    <w:p w:rsidR="00E01C11" w:rsidRDefault="00E01C11" w:rsidP="00E01C11">
      <w:pPr>
        <w:spacing w:after="0" w:line="240" w:lineRule="auto"/>
        <w:jc w:val="both"/>
      </w:pPr>
    </w:p>
    <w:p w:rsidR="00E01C11" w:rsidRPr="00F6645C" w:rsidRDefault="00E01C11" w:rsidP="00E01C11">
      <w:pPr>
        <w:spacing w:after="0" w:line="240" w:lineRule="auto"/>
        <w:jc w:val="both"/>
        <w:rPr>
          <w:b/>
        </w:rPr>
      </w:pPr>
      <w:r w:rsidRPr="00F6645C">
        <w:rPr>
          <w:b/>
        </w:rPr>
        <w:t>Instalace strukturované kabeláže</w:t>
      </w:r>
    </w:p>
    <w:p w:rsidR="00E01C11" w:rsidRDefault="00E01C11" w:rsidP="00E01C11">
      <w:pPr>
        <w:spacing w:after="0" w:line="240" w:lineRule="auto"/>
        <w:jc w:val="both"/>
      </w:pPr>
    </w:p>
    <w:tbl>
      <w:tblPr>
        <w:tblStyle w:val="Mkatabulky"/>
        <w:tblW w:w="0" w:type="auto"/>
        <w:tblLook w:val="04A0"/>
      </w:tblPr>
      <w:tblGrid>
        <w:gridCol w:w="1799"/>
        <w:gridCol w:w="1836"/>
        <w:gridCol w:w="5993"/>
      </w:tblGrid>
      <w:tr w:rsidR="00E01C11" w:rsidRPr="00F6645C" w:rsidTr="00704C74">
        <w:trPr>
          <w:trHeight w:val="300"/>
        </w:trPr>
        <w:tc>
          <w:tcPr>
            <w:tcW w:w="3635" w:type="dxa"/>
            <w:gridSpan w:val="2"/>
            <w:noWrap/>
            <w:hideMark/>
          </w:tcPr>
          <w:p w:rsidR="00E01C11" w:rsidRPr="00F6645C" w:rsidRDefault="00E01C11" w:rsidP="00704C74">
            <w:pPr>
              <w:spacing w:after="0" w:line="240" w:lineRule="auto"/>
              <w:jc w:val="both"/>
              <w:rPr>
                <w:b/>
                <w:bCs/>
              </w:rPr>
            </w:pPr>
            <w:r w:rsidRPr="00F6645C">
              <w:rPr>
                <w:b/>
                <w:bCs/>
              </w:rPr>
              <w:t>Umístění přípojných bodů pro kiosky</w:t>
            </w:r>
          </w:p>
        </w:tc>
        <w:tc>
          <w:tcPr>
            <w:tcW w:w="5993" w:type="dxa"/>
            <w:noWrap/>
            <w:hideMark/>
          </w:tcPr>
          <w:p w:rsidR="00E01C11" w:rsidRPr="00F6645C" w:rsidRDefault="00E01C11" w:rsidP="00704C74">
            <w:pPr>
              <w:spacing w:after="0" w:line="240" w:lineRule="auto"/>
              <w:jc w:val="both"/>
              <w:rPr>
                <w:b/>
                <w:bCs/>
              </w:rPr>
            </w:pPr>
          </w:p>
        </w:tc>
      </w:tr>
      <w:tr w:rsidR="00E01C11" w:rsidRPr="00F6645C" w:rsidTr="00704C74">
        <w:trPr>
          <w:trHeight w:val="315"/>
        </w:trPr>
        <w:tc>
          <w:tcPr>
            <w:tcW w:w="1799" w:type="dxa"/>
            <w:noWrap/>
            <w:hideMark/>
          </w:tcPr>
          <w:p w:rsidR="00E01C11" w:rsidRPr="00F6645C" w:rsidRDefault="00E01C11" w:rsidP="00704C74">
            <w:pPr>
              <w:spacing w:after="0" w:line="240" w:lineRule="auto"/>
              <w:jc w:val="both"/>
            </w:pPr>
          </w:p>
        </w:tc>
        <w:tc>
          <w:tcPr>
            <w:tcW w:w="1836" w:type="dxa"/>
            <w:noWrap/>
            <w:hideMark/>
          </w:tcPr>
          <w:p w:rsidR="00E01C11" w:rsidRPr="00F6645C" w:rsidRDefault="00E01C11" w:rsidP="00704C74">
            <w:pPr>
              <w:spacing w:after="0" w:line="240" w:lineRule="auto"/>
              <w:jc w:val="both"/>
            </w:pPr>
          </w:p>
        </w:tc>
        <w:tc>
          <w:tcPr>
            <w:tcW w:w="5993" w:type="dxa"/>
            <w:noWrap/>
            <w:hideMark/>
          </w:tcPr>
          <w:p w:rsidR="00E01C11" w:rsidRPr="00F6645C" w:rsidRDefault="00E01C11" w:rsidP="00704C74">
            <w:pPr>
              <w:spacing w:after="0" w:line="240" w:lineRule="auto"/>
              <w:jc w:val="both"/>
            </w:pPr>
            <w:r w:rsidRPr="00F6645C">
              <w:t> </w:t>
            </w:r>
          </w:p>
        </w:tc>
      </w:tr>
      <w:tr w:rsidR="00E01C11" w:rsidRPr="00F6645C" w:rsidTr="00704C74">
        <w:trPr>
          <w:trHeight w:val="315"/>
        </w:trPr>
        <w:tc>
          <w:tcPr>
            <w:tcW w:w="1799" w:type="dxa"/>
            <w:noWrap/>
            <w:hideMark/>
          </w:tcPr>
          <w:p w:rsidR="00E01C11" w:rsidRPr="00F6645C" w:rsidRDefault="00E01C11" w:rsidP="00704C74">
            <w:pPr>
              <w:spacing w:after="0" w:line="240" w:lineRule="auto"/>
              <w:jc w:val="both"/>
              <w:rPr>
                <w:b/>
                <w:bCs/>
              </w:rPr>
            </w:pPr>
            <w:r w:rsidRPr="00F6645C">
              <w:rPr>
                <w:b/>
                <w:bCs/>
              </w:rPr>
              <w:t>Budova</w:t>
            </w:r>
          </w:p>
        </w:tc>
        <w:tc>
          <w:tcPr>
            <w:tcW w:w="1836" w:type="dxa"/>
            <w:noWrap/>
            <w:hideMark/>
          </w:tcPr>
          <w:p w:rsidR="00E01C11" w:rsidRPr="00F6645C" w:rsidRDefault="00E01C11" w:rsidP="00704C74">
            <w:pPr>
              <w:spacing w:after="0" w:line="240" w:lineRule="auto"/>
              <w:jc w:val="both"/>
              <w:rPr>
                <w:b/>
                <w:bCs/>
              </w:rPr>
            </w:pPr>
            <w:r w:rsidRPr="00F6645C">
              <w:rPr>
                <w:b/>
                <w:bCs/>
              </w:rPr>
              <w:t>Počet UTP portů</w:t>
            </w:r>
          </w:p>
        </w:tc>
        <w:tc>
          <w:tcPr>
            <w:tcW w:w="5993" w:type="dxa"/>
            <w:noWrap/>
            <w:hideMark/>
          </w:tcPr>
          <w:p w:rsidR="00E01C11" w:rsidRPr="00F6645C" w:rsidRDefault="00E01C11" w:rsidP="00704C74">
            <w:pPr>
              <w:spacing w:after="0" w:line="240" w:lineRule="auto"/>
              <w:jc w:val="both"/>
              <w:rPr>
                <w:b/>
              </w:rPr>
            </w:pPr>
            <w:r w:rsidRPr="00F6645C">
              <w:rPr>
                <w:b/>
              </w:rPr>
              <w:t>Materiál</w:t>
            </w:r>
          </w:p>
        </w:tc>
      </w:tr>
      <w:tr w:rsidR="00E01C11" w:rsidRPr="00F6645C" w:rsidTr="00704C74">
        <w:trPr>
          <w:trHeight w:val="315"/>
        </w:trPr>
        <w:tc>
          <w:tcPr>
            <w:tcW w:w="1799" w:type="dxa"/>
            <w:hideMark/>
          </w:tcPr>
          <w:p w:rsidR="00E01C11" w:rsidRPr="00F6645C" w:rsidRDefault="00E01C11" w:rsidP="00704C74">
            <w:pPr>
              <w:spacing w:after="0" w:line="240" w:lineRule="auto"/>
              <w:jc w:val="both"/>
            </w:pPr>
            <w:r w:rsidRPr="00F6645C">
              <w:t>P29</w:t>
            </w:r>
          </w:p>
        </w:tc>
        <w:tc>
          <w:tcPr>
            <w:tcW w:w="1836" w:type="dxa"/>
            <w:noWrap/>
            <w:hideMark/>
          </w:tcPr>
          <w:p w:rsidR="00E01C11" w:rsidRPr="00F6645C" w:rsidRDefault="00E01C11" w:rsidP="00704C74">
            <w:pPr>
              <w:spacing w:after="0" w:line="240" w:lineRule="auto"/>
              <w:jc w:val="both"/>
            </w:pPr>
            <w:r w:rsidRPr="00F6645C">
              <w:t>1x</w:t>
            </w:r>
          </w:p>
        </w:tc>
        <w:tc>
          <w:tcPr>
            <w:tcW w:w="5993" w:type="dxa"/>
            <w:noWrap/>
            <w:hideMark/>
          </w:tcPr>
          <w:p w:rsidR="00E01C11" w:rsidRPr="00F6645C" w:rsidRDefault="00E01C11" w:rsidP="00704C74">
            <w:pPr>
              <w:spacing w:after="0" w:line="240" w:lineRule="auto"/>
              <w:jc w:val="both"/>
            </w:pPr>
            <w:r w:rsidRPr="00F6645C">
              <w:t xml:space="preserve">Kabel </w:t>
            </w:r>
            <w:proofErr w:type="spellStart"/>
            <w:r w:rsidRPr="00F6645C">
              <w:t>Belden</w:t>
            </w:r>
            <w:proofErr w:type="spellEnd"/>
            <w:r w:rsidRPr="00F6645C">
              <w:t xml:space="preserve"> 60m UTP 5E , Zásuvka</w:t>
            </w:r>
          </w:p>
        </w:tc>
      </w:tr>
      <w:tr w:rsidR="00E01C11" w:rsidRPr="00F6645C" w:rsidTr="00704C74">
        <w:trPr>
          <w:trHeight w:val="315"/>
        </w:trPr>
        <w:tc>
          <w:tcPr>
            <w:tcW w:w="1799" w:type="dxa"/>
            <w:hideMark/>
          </w:tcPr>
          <w:p w:rsidR="00E01C11" w:rsidRPr="00F6645C" w:rsidRDefault="00E01C11" w:rsidP="00704C74">
            <w:pPr>
              <w:spacing w:after="0" w:line="240" w:lineRule="auto"/>
              <w:jc w:val="both"/>
            </w:pPr>
            <w:r w:rsidRPr="00F6645C">
              <w:t>P1</w:t>
            </w:r>
          </w:p>
        </w:tc>
        <w:tc>
          <w:tcPr>
            <w:tcW w:w="1836" w:type="dxa"/>
            <w:noWrap/>
            <w:hideMark/>
          </w:tcPr>
          <w:p w:rsidR="00E01C11" w:rsidRPr="00F6645C" w:rsidRDefault="00E01C11" w:rsidP="00704C74">
            <w:pPr>
              <w:spacing w:after="0" w:line="240" w:lineRule="auto"/>
              <w:jc w:val="both"/>
            </w:pPr>
            <w:r w:rsidRPr="00F6645C">
              <w:t>1x</w:t>
            </w:r>
          </w:p>
        </w:tc>
        <w:tc>
          <w:tcPr>
            <w:tcW w:w="5993" w:type="dxa"/>
            <w:noWrap/>
            <w:hideMark/>
          </w:tcPr>
          <w:p w:rsidR="00E01C11" w:rsidRPr="00F6645C" w:rsidRDefault="00E01C11" w:rsidP="00704C74">
            <w:pPr>
              <w:spacing w:after="0" w:line="240" w:lineRule="auto"/>
              <w:jc w:val="both"/>
            </w:pPr>
            <w:r w:rsidRPr="00F6645C">
              <w:t xml:space="preserve">Kabel </w:t>
            </w:r>
            <w:proofErr w:type="spellStart"/>
            <w:r w:rsidRPr="00F6645C">
              <w:t>Belden</w:t>
            </w:r>
            <w:proofErr w:type="spellEnd"/>
            <w:r w:rsidRPr="00F6645C">
              <w:t xml:space="preserve"> 22m UTP 5E , Konektory, Lišty</w:t>
            </w:r>
          </w:p>
        </w:tc>
      </w:tr>
      <w:tr w:rsidR="00E01C11" w:rsidRPr="00F6645C" w:rsidTr="00704C74">
        <w:trPr>
          <w:trHeight w:val="315"/>
        </w:trPr>
        <w:tc>
          <w:tcPr>
            <w:tcW w:w="1799" w:type="dxa"/>
            <w:hideMark/>
          </w:tcPr>
          <w:p w:rsidR="00E01C11" w:rsidRPr="00F6645C" w:rsidRDefault="00E01C11" w:rsidP="00704C74">
            <w:pPr>
              <w:spacing w:after="0" w:line="240" w:lineRule="auto"/>
              <w:jc w:val="both"/>
            </w:pPr>
            <w:r w:rsidRPr="00F6645C">
              <w:t>P21</w:t>
            </w:r>
          </w:p>
        </w:tc>
        <w:tc>
          <w:tcPr>
            <w:tcW w:w="1836" w:type="dxa"/>
            <w:noWrap/>
            <w:hideMark/>
          </w:tcPr>
          <w:p w:rsidR="00E01C11" w:rsidRPr="00F6645C" w:rsidRDefault="00E01C11" w:rsidP="00704C74">
            <w:pPr>
              <w:spacing w:after="0" w:line="240" w:lineRule="auto"/>
              <w:jc w:val="both"/>
            </w:pPr>
            <w:r w:rsidRPr="00F6645C">
              <w:t>1x</w:t>
            </w:r>
          </w:p>
        </w:tc>
        <w:tc>
          <w:tcPr>
            <w:tcW w:w="5993" w:type="dxa"/>
            <w:noWrap/>
            <w:hideMark/>
          </w:tcPr>
          <w:p w:rsidR="00E01C11" w:rsidRPr="00F6645C" w:rsidRDefault="00E01C11" w:rsidP="00704C74">
            <w:pPr>
              <w:spacing w:after="0" w:line="240" w:lineRule="auto"/>
              <w:jc w:val="both"/>
            </w:pPr>
            <w:r w:rsidRPr="00F6645C">
              <w:t xml:space="preserve">Kabel </w:t>
            </w:r>
            <w:proofErr w:type="spellStart"/>
            <w:r w:rsidRPr="00F6645C">
              <w:t>Belden</w:t>
            </w:r>
            <w:proofErr w:type="spellEnd"/>
            <w:r w:rsidRPr="00F6645C">
              <w:t xml:space="preserve"> 50m UTP 5E, Zásuvka, Ohebné trubky</w:t>
            </w:r>
          </w:p>
        </w:tc>
      </w:tr>
      <w:tr w:rsidR="00E01C11" w:rsidRPr="00F6645C" w:rsidTr="00704C74">
        <w:trPr>
          <w:trHeight w:val="315"/>
        </w:trPr>
        <w:tc>
          <w:tcPr>
            <w:tcW w:w="1799" w:type="dxa"/>
            <w:hideMark/>
          </w:tcPr>
          <w:p w:rsidR="00E01C11" w:rsidRPr="00F6645C" w:rsidRDefault="00E01C11" w:rsidP="00704C74">
            <w:pPr>
              <w:spacing w:after="0" w:line="240" w:lineRule="auto"/>
              <w:jc w:val="both"/>
            </w:pPr>
            <w:r w:rsidRPr="00F6645C">
              <w:t>P17</w:t>
            </w:r>
          </w:p>
        </w:tc>
        <w:tc>
          <w:tcPr>
            <w:tcW w:w="1836" w:type="dxa"/>
            <w:noWrap/>
            <w:hideMark/>
          </w:tcPr>
          <w:p w:rsidR="00E01C11" w:rsidRPr="00F6645C" w:rsidRDefault="00E01C11" w:rsidP="00704C74">
            <w:pPr>
              <w:spacing w:after="0" w:line="240" w:lineRule="auto"/>
              <w:jc w:val="both"/>
            </w:pPr>
            <w:r w:rsidRPr="00F6645C">
              <w:t>1x</w:t>
            </w:r>
          </w:p>
        </w:tc>
        <w:tc>
          <w:tcPr>
            <w:tcW w:w="5993" w:type="dxa"/>
            <w:noWrap/>
            <w:hideMark/>
          </w:tcPr>
          <w:p w:rsidR="00E01C11" w:rsidRPr="00F6645C" w:rsidRDefault="00E01C11" w:rsidP="00704C74">
            <w:pPr>
              <w:spacing w:after="0" w:line="240" w:lineRule="auto"/>
              <w:jc w:val="both"/>
            </w:pPr>
            <w:r w:rsidRPr="00F6645C">
              <w:t xml:space="preserve">Kabel </w:t>
            </w:r>
            <w:proofErr w:type="spellStart"/>
            <w:r w:rsidRPr="00F6645C">
              <w:t>Belden</w:t>
            </w:r>
            <w:proofErr w:type="spellEnd"/>
            <w:r w:rsidRPr="00F6645C">
              <w:t xml:space="preserve"> 50m UTP 5E, Zásuvka, Lišty</w:t>
            </w:r>
          </w:p>
        </w:tc>
      </w:tr>
      <w:tr w:rsidR="00E01C11" w:rsidRPr="00F6645C" w:rsidTr="00704C74">
        <w:trPr>
          <w:trHeight w:val="315"/>
        </w:trPr>
        <w:tc>
          <w:tcPr>
            <w:tcW w:w="1799" w:type="dxa"/>
            <w:hideMark/>
          </w:tcPr>
          <w:p w:rsidR="00E01C11" w:rsidRPr="00F6645C" w:rsidRDefault="00E01C11" w:rsidP="00704C74">
            <w:pPr>
              <w:spacing w:after="0" w:line="240" w:lineRule="auto"/>
              <w:jc w:val="both"/>
            </w:pPr>
            <w:r w:rsidRPr="00F6645C">
              <w:t>P12</w:t>
            </w:r>
          </w:p>
        </w:tc>
        <w:tc>
          <w:tcPr>
            <w:tcW w:w="1836" w:type="dxa"/>
            <w:noWrap/>
            <w:hideMark/>
          </w:tcPr>
          <w:p w:rsidR="00E01C11" w:rsidRPr="00F6645C" w:rsidRDefault="00E01C11" w:rsidP="00704C74">
            <w:pPr>
              <w:spacing w:after="0" w:line="240" w:lineRule="auto"/>
              <w:jc w:val="both"/>
            </w:pPr>
            <w:r w:rsidRPr="00F6645C">
              <w:t>1x</w:t>
            </w:r>
          </w:p>
        </w:tc>
        <w:tc>
          <w:tcPr>
            <w:tcW w:w="5993" w:type="dxa"/>
            <w:noWrap/>
            <w:hideMark/>
          </w:tcPr>
          <w:p w:rsidR="00E01C11" w:rsidRPr="00F6645C" w:rsidRDefault="00E01C11" w:rsidP="00704C74">
            <w:pPr>
              <w:spacing w:after="0" w:line="240" w:lineRule="auto"/>
              <w:jc w:val="both"/>
            </w:pPr>
            <w:r w:rsidRPr="00F6645C">
              <w:t xml:space="preserve">Kabel </w:t>
            </w:r>
            <w:proofErr w:type="spellStart"/>
            <w:r w:rsidRPr="00F6645C">
              <w:t>Belden</w:t>
            </w:r>
            <w:proofErr w:type="spellEnd"/>
            <w:r w:rsidRPr="00F6645C">
              <w:t xml:space="preserve"> 45m UTP 5E, Zásuvka, Ohebné trubky, Lišty</w:t>
            </w:r>
          </w:p>
        </w:tc>
      </w:tr>
      <w:tr w:rsidR="00E01C11" w:rsidRPr="00F6645C" w:rsidTr="00704C74">
        <w:trPr>
          <w:trHeight w:val="315"/>
        </w:trPr>
        <w:tc>
          <w:tcPr>
            <w:tcW w:w="1799" w:type="dxa"/>
            <w:hideMark/>
          </w:tcPr>
          <w:p w:rsidR="00E01C11" w:rsidRPr="00F6645C" w:rsidRDefault="00E01C11" w:rsidP="00704C74">
            <w:pPr>
              <w:spacing w:after="0" w:line="240" w:lineRule="auto"/>
              <w:jc w:val="both"/>
            </w:pPr>
            <w:r w:rsidRPr="00F6645C">
              <w:t>P14</w:t>
            </w:r>
          </w:p>
        </w:tc>
        <w:tc>
          <w:tcPr>
            <w:tcW w:w="1836" w:type="dxa"/>
            <w:noWrap/>
            <w:hideMark/>
          </w:tcPr>
          <w:p w:rsidR="00E01C11" w:rsidRPr="00F6645C" w:rsidRDefault="00E01C11" w:rsidP="00704C74">
            <w:pPr>
              <w:spacing w:after="0" w:line="240" w:lineRule="auto"/>
              <w:jc w:val="both"/>
            </w:pPr>
            <w:r w:rsidRPr="00F6645C">
              <w:t>1x</w:t>
            </w:r>
          </w:p>
        </w:tc>
        <w:tc>
          <w:tcPr>
            <w:tcW w:w="5993" w:type="dxa"/>
            <w:noWrap/>
            <w:hideMark/>
          </w:tcPr>
          <w:p w:rsidR="00E01C11" w:rsidRPr="00F6645C" w:rsidRDefault="00E01C11" w:rsidP="00704C74">
            <w:pPr>
              <w:spacing w:after="0" w:line="240" w:lineRule="auto"/>
              <w:jc w:val="both"/>
            </w:pPr>
            <w:r w:rsidRPr="00F6645C">
              <w:t xml:space="preserve">Kabel </w:t>
            </w:r>
            <w:proofErr w:type="spellStart"/>
            <w:r w:rsidRPr="00F6645C">
              <w:t>Belden</w:t>
            </w:r>
            <w:proofErr w:type="spellEnd"/>
            <w:r w:rsidRPr="00F6645C">
              <w:t xml:space="preserve"> 45m UTP 5E, Zásuvka, Ohebné trubky, Lišty</w:t>
            </w:r>
          </w:p>
        </w:tc>
      </w:tr>
      <w:tr w:rsidR="00E01C11" w:rsidRPr="00F6645C" w:rsidTr="00704C74">
        <w:trPr>
          <w:trHeight w:val="315"/>
        </w:trPr>
        <w:tc>
          <w:tcPr>
            <w:tcW w:w="1799" w:type="dxa"/>
            <w:hideMark/>
          </w:tcPr>
          <w:p w:rsidR="00E01C11" w:rsidRPr="00F6645C" w:rsidRDefault="00E01C11" w:rsidP="00704C74">
            <w:pPr>
              <w:spacing w:after="0" w:line="240" w:lineRule="auto"/>
              <w:jc w:val="both"/>
            </w:pPr>
            <w:r w:rsidRPr="00F6645C">
              <w:t>P22</w:t>
            </w:r>
          </w:p>
        </w:tc>
        <w:tc>
          <w:tcPr>
            <w:tcW w:w="1836" w:type="dxa"/>
            <w:noWrap/>
            <w:hideMark/>
          </w:tcPr>
          <w:p w:rsidR="00E01C11" w:rsidRPr="00F6645C" w:rsidRDefault="00E01C11" w:rsidP="00704C74">
            <w:pPr>
              <w:spacing w:after="0" w:line="240" w:lineRule="auto"/>
              <w:jc w:val="both"/>
            </w:pPr>
            <w:r w:rsidRPr="00F6645C">
              <w:t>1x</w:t>
            </w:r>
          </w:p>
        </w:tc>
        <w:tc>
          <w:tcPr>
            <w:tcW w:w="5993" w:type="dxa"/>
            <w:noWrap/>
            <w:hideMark/>
          </w:tcPr>
          <w:p w:rsidR="00E01C11" w:rsidRPr="00F6645C" w:rsidRDefault="00E01C11" w:rsidP="00704C74">
            <w:pPr>
              <w:spacing w:after="0" w:line="240" w:lineRule="auto"/>
              <w:jc w:val="both"/>
            </w:pPr>
            <w:r w:rsidRPr="00F6645C">
              <w:t xml:space="preserve">Kabel </w:t>
            </w:r>
            <w:proofErr w:type="spellStart"/>
            <w:r w:rsidRPr="00F6645C">
              <w:t>Belden</w:t>
            </w:r>
            <w:proofErr w:type="spellEnd"/>
            <w:r w:rsidRPr="00F6645C">
              <w:t xml:space="preserve"> 80m UTP 5E, Zásuvka, Ohebné trubky, Lišty</w:t>
            </w:r>
          </w:p>
        </w:tc>
      </w:tr>
      <w:tr w:rsidR="00E01C11" w:rsidRPr="00F6645C" w:rsidTr="00704C74">
        <w:trPr>
          <w:trHeight w:val="315"/>
        </w:trPr>
        <w:tc>
          <w:tcPr>
            <w:tcW w:w="1799" w:type="dxa"/>
            <w:hideMark/>
          </w:tcPr>
          <w:p w:rsidR="00E01C11" w:rsidRPr="00F6645C" w:rsidRDefault="00E01C11" w:rsidP="00704C74">
            <w:pPr>
              <w:spacing w:after="0" w:line="240" w:lineRule="auto"/>
              <w:jc w:val="both"/>
            </w:pPr>
            <w:r w:rsidRPr="00F6645C">
              <w:t>P20</w:t>
            </w:r>
          </w:p>
        </w:tc>
        <w:tc>
          <w:tcPr>
            <w:tcW w:w="1836" w:type="dxa"/>
            <w:noWrap/>
            <w:hideMark/>
          </w:tcPr>
          <w:p w:rsidR="00E01C11" w:rsidRPr="00F6645C" w:rsidRDefault="00E01C11" w:rsidP="00704C74">
            <w:pPr>
              <w:spacing w:after="0" w:line="240" w:lineRule="auto"/>
              <w:jc w:val="both"/>
            </w:pPr>
            <w:r w:rsidRPr="00F6645C">
              <w:t>2x</w:t>
            </w:r>
          </w:p>
        </w:tc>
        <w:tc>
          <w:tcPr>
            <w:tcW w:w="5993" w:type="dxa"/>
            <w:noWrap/>
            <w:hideMark/>
          </w:tcPr>
          <w:p w:rsidR="00E01C11" w:rsidRPr="00F6645C" w:rsidRDefault="00E01C11" w:rsidP="00704C74">
            <w:pPr>
              <w:spacing w:after="0" w:line="240" w:lineRule="auto"/>
              <w:jc w:val="both"/>
            </w:pPr>
            <w:r w:rsidRPr="00F6645C">
              <w:t xml:space="preserve">Kabel </w:t>
            </w:r>
            <w:proofErr w:type="spellStart"/>
            <w:r w:rsidRPr="00F6645C">
              <w:t>Belden</w:t>
            </w:r>
            <w:proofErr w:type="spellEnd"/>
            <w:r w:rsidRPr="00F6645C">
              <w:t xml:space="preserve"> 105m UTP 5E, Zásuvky, Ohebné trubky, Lišty</w:t>
            </w:r>
          </w:p>
        </w:tc>
      </w:tr>
      <w:tr w:rsidR="00E01C11" w:rsidRPr="00F6645C" w:rsidTr="00704C74">
        <w:trPr>
          <w:trHeight w:val="315"/>
        </w:trPr>
        <w:tc>
          <w:tcPr>
            <w:tcW w:w="1799" w:type="dxa"/>
            <w:hideMark/>
          </w:tcPr>
          <w:p w:rsidR="00E01C11" w:rsidRPr="00F6645C" w:rsidRDefault="00E01C11" w:rsidP="00704C74">
            <w:pPr>
              <w:spacing w:after="0" w:line="240" w:lineRule="auto"/>
              <w:jc w:val="both"/>
            </w:pPr>
            <w:r w:rsidRPr="00F6645C">
              <w:t>P33</w:t>
            </w:r>
          </w:p>
        </w:tc>
        <w:tc>
          <w:tcPr>
            <w:tcW w:w="1836" w:type="dxa"/>
            <w:noWrap/>
            <w:hideMark/>
          </w:tcPr>
          <w:p w:rsidR="00E01C11" w:rsidRPr="00F6645C" w:rsidRDefault="00E01C11" w:rsidP="00704C74">
            <w:pPr>
              <w:spacing w:after="0" w:line="240" w:lineRule="auto"/>
              <w:jc w:val="both"/>
            </w:pPr>
            <w:r w:rsidRPr="00F6645C">
              <w:t>1x</w:t>
            </w:r>
          </w:p>
        </w:tc>
        <w:tc>
          <w:tcPr>
            <w:tcW w:w="5993" w:type="dxa"/>
            <w:noWrap/>
            <w:hideMark/>
          </w:tcPr>
          <w:p w:rsidR="00E01C11" w:rsidRPr="00F6645C" w:rsidRDefault="00E01C11" w:rsidP="00704C74">
            <w:pPr>
              <w:spacing w:after="0" w:line="240" w:lineRule="auto"/>
              <w:jc w:val="both"/>
            </w:pPr>
            <w:r w:rsidRPr="00F6645C">
              <w:t xml:space="preserve">Kabel </w:t>
            </w:r>
            <w:proofErr w:type="spellStart"/>
            <w:r w:rsidRPr="00F6645C">
              <w:t>Belden</w:t>
            </w:r>
            <w:proofErr w:type="spellEnd"/>
            <w:r w:rsidRPr="00F6645C">
              <w:t xml:space="preserve"> 30m UTP 5E, Zásuvka, Ohebné a pevné trubky</w:t>
            </w:r>
          </w:p>
        </w:tc>
      </w:tr>
    </w:tbl>
    <w:p w:rsidR="00E01C11" w:rsidRDefault="00E01C11" w:rsidP="00E01C11">
      <w:pPr>
        <w:spacing w:after="0" w:line="240" w:lineRule="auto"/>
        <w:jc w:val="both"/>
      </w:pPr>
    </w:p>
    <w:p w:rsidR="0019044B" w:rsidRDefault="0019044B" w:rsidP="008830CC">
      <w:pPr>
        <w:spacing w:after="0" w:line="240" w:lineRule="auto"/>
        <w:ind w:left="900"/>
        <w:jc w:val="both"/>
        <w:rPr>
          <w:b/>
          <w:sz w:val="20"/>
          <w:szCs w:val="20"/>
        </w:rPr>
      </w:pPr>
    </w:p>
    <w:p w:rsidR="008830CC" w:rsidRDefault="008830CC">
      <w:pPr>
        <w:spacing w:after="0" w:line="240" w:lineRule="auto"/>
        <w:jc w:val="both"/>
      </w:pPr>
    </w:p>
    <w:sectPr w:rsidR="008830CC" w:rsidSect="00F26065">
      <w:footerReference w:type="default" r:id="rId8"/>
      <w:pgSz w:w="11906" w:h="16838"/>
      <w:pgMar w:top="1134" w:right="1134" w:bottom="1134" w:left="1134" w:header="2438" w:footer="10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F62" w:rsidRDefault="00911F62" w:rsidP="00DF13EE">
      <w:pPr>
        <w:spacing w:after="0" w:line="240" w:lineRule="auto"/>
      </w:pPr>
      <w:r>
        <w:separator/>
      </w:r>
    </w:p>
  </w:endnote>
  <w:endnote w:type="continuationSeparator" w:id="0">
    <w:p w:rsidR="00911F62" w:rsidRDefault="00911F62" w:rsidP="00DF1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65" w:rsidRDefault="00F26065" w:rsidP="00F26065">
    <w:pPr>
      <w:pStyle w:val="Zpat1"/>
    </w:pPr>
  </w:p>
  <w:p w:rsidR="00F26065" w:rsidRPr="001071ED" w:rsidRDefault="00F26065" w:rsidP="00F26065">
    <w:pPr>
      <w:pStyle w:val="Zpat1"/>
    </w:pPr>
    <w:r>
      <w:t xml:space="preserve">Stránka </w:t>
    </w:r>
    <w:r w:rsidR="00DC5BFE">
      <w:rPr>
        <w:b/>
      </w:rPr>
      <w:fldChar w:fldCharType="begin"/>
    </w:r>
    <w:r>
      <w:rPr>
        <w:b/>
      </w:rPr>
      <w:instrText>PAGE  \* Arabic  \* MERGEFORMAT</w:instrText>
    </w:r>
    <w:r w:rsidR="00DC5BFE">
      <w:rPr>
        <w:b/>
      </w:rPr>
      <w:fldChar w:fldCharType="separate"/>
    </w:r>
    <w:r w:rsidR="00F6524F">
      <w:rPr>
        <w:b/>
        <w:noProof/>
      </w:rPr>
      <w:t>4</w:t>
    </w:r>
    <w:r w:rsidR="00DC5BFE">
      <w:rPr>
        <w:b/>
      </w:rPr>
      <w:fldChar w:fldCharType="end"/>
    </w:r>
    <w:r>
      <w:t xml:space="preserve"> z </w:t>
    </w:r>
    <w:fldSimple w:instr="NUMPAGES  \* Arabic  \* MERGEFORMAT">
      <w:r w:rsidR="00F6524F">
        <w:rPr>
          <w:b/>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F62" w:rsidRDefault="00911F62" w:rsidP="00DF13EE">
      <w:pPr>
        <w:spacing w:after="0" w:line="240" w:lineRule="auto"/>
      </w:pPr>
      <w:r>
        <w:separator/>
      </w:r>
    </w:p>
  </w:footnote>
  <w:footnote w:type="continuationSeparator" w:id="0">
    <w:p w:rsidR="00911F62" w:rsidRDefault="00911F62" w:rsidP="00DF1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F2F1C"/>
    <w:multiLevelType w:val="multilevel"/>
    <w:tmpl w:val="93300A34"/>
    <w:lvl w:ilvl="0">
      <w:start w:val="1"/>
      <w:numFmt w:val="decimal"/>
      <w:lvlText w:val="%1."/>
      <w:lvlJc w:val="left"/>
      <w:pPr>
        <w:ind w:left="360" w:hanging="360"/>
      </w:pPr>
      <w:rPr>
        <w:u w:val="none"/>
      </w:rPr>
    </w:lvl>
    <w:lvl w:ilvl="1">
      <w:start w:val="1"/>
      <w:numFmt w:val="decimal"/>
      <w:lvlText w:val="%1.%2."/>
      <w:lvlJc w:val="left"/>
      <w:pPr>
        <w:ind w:left="432" w:hanging="432"/>
      </w:pPr>
      <w:rPr>
        <w:b w:val="0"/>
        <w:sz w:val="22"/>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13EE"/>
    <w:rsid w:val="00006B72"/>
    <w:rsid w:val="000564D9"/>
    <w:rsid w:val="0006702C"/>
    <w:rsid w:val="001131EC"/>
    <w:rsid w:val="0014094B"/>
    <w:rsid w:val="0019044B"/>
    <w:rsid w:val="001C2328"/>
    <w:rsid w:val="00202D5A"/>
    <w:rsid w:val="002419A4"/>
    <w:rsid w:val="00324AE1"/>
    <w:rsid w:val="004C7960"/>
    <w:rsid w:val="00537BF8"/>
    <w:rsid w:val="00537EFE"/>
    <w:rsid w:val="00545C6F"/>
    <w:rsid w:val="00583F51"/>
    <w:rsid w:val="0059434E"/>
    <w:rsid w:val="00606519"/>
    <w:rsid w:val="00656092"/>
    <w:rsid w:val="00667E5F"/>
    <w:rsid w:val="006D630A"/>
    <w:rsid w:val="007B5D6B"/>
    <w:rsid w:val="008059EE"/>
    <w:rsid w:val="00816D14"/>
    <w:rsid w:val="008830CC"/>
    <w:rsid w:val="00911F62"/>
    <w:rsid w:val="009C00FB"/>
    <w:rsid w:val="009F7C69"/>
    <w:rsid w:val="00AD6FC7"/>
    <w:rsid w:val="00C174FC"/>
    <w:rsid w:val="00DC5BFE"/>
    <w:rsid w:val="00DD4FB3"/>
    <w:rsid w:val="00DF0B70"/>
    <w:rsid w:val="00DF13EE"/>
    <w:rsid w:val="00E01C11"/>
    <w:rsid w:val="00F12A47"/>
    <w:rsid w:val="00F26065"/>
    <w:rsid w:val="00F652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13EE"/>
    <w:pPr>
      <w:spacing w:after="200" w:line="276" w:lineRule="auto"/>
    </w:pPr>
  </w:style>
  <w:style w:type="paragraph" w:styleId="Nadpis2">
    <w:name w:val="heading 2"/>
    <w:basedOn w:val="Normln"/>
    <w:next w:val="Normln"/>
    <w:link w:val="Nadpis2Char"/>
    <w:rsid w:val="00DF13EE"/>
    <w:pPr>
      <w:keepNext/>
      <w:keepLines/>
      <w:spacing w:before="200" w:after="0"/>
      <w:contextualSpacing/>
      <w:outlineLvl w:val="1"/>
    </w:pPr>
    <w:rPr>
      <w:rFonts w:ascii="Trebuchet MS" w:eastAsia="Trebuchet MS" w:hAnsi="Trebuchet MS" w:cs="Trebuchet MS"/>
      <w:b/>
      <w:color w:val="000000"/>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F13EE"/>
    <w:rPr>
      <w:rFonts w:ascii="Trebuchet MS" w:eastAsia="Trebuchet MS" w:hAnsi="Trebuchet MS" w:cs="Trebuchet MS"/>
      <w:b/>
      <w:color w:val="000000"/>
      <w:sz w:val="26"/>
      <w:szCs w:val="26"/>
      <w:lang w:eastAsia="cs-CZ"/>
    </w:rPr>
  </w:style>
  <w:style w:type="paragraph" w:styleId="Zhlav">
    <w:name w:val="header"/>
    <w:basedOn w:val="Normln"/>
    <w:link w:val="ZhlavChar"/>
    <w:uiPriority w:val="99"/>
    <w:unhideWhenUsed/>
    <w:rsid w:val="00DF13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13EE"/>
  </w:style>
  <w:style w:type="paragraph" w:customStyle="1" w:styleId="Zpat1">
    <w:name w:val="Zápatí1"/>
    <w:basedOn w:val="Zpat"/>
    <w:link w:val="ZpatChar"/>
    <w:qFormat/>
    <w:rsid w:val="00DF13EE"/>
    <w:pPr>
      <w:jc w:val="right"/>
    </w:pPr>
    <w:rPr>
      <w:rFonts w:asciiTheme="majorHAnsi" w:hAnsiTheme="majorHAnsi"/>
      <w:sz w:val="16"/>
      <w:szCs w:val="16"/>
    </w:rPr>
  </w:style>
  <w:style w:type="character" w:customStyle="1" w:styleId="ZpatChar">
    <w:name w:val="Zápatí Char"/>
    <w:basedOn w:val="ZpatChar1"/>
    <w:link w:val="Zpat1"/>
    <w:rsid w:val="00DF13EE"/>
    <w:rPr>
      <w:rFonts w:asciiTheme="majorHAnsi" w:hAnsiTheme="majorHAnsi"/>
      <w:sz w:val="16"/>
      <w:szCs w:val="16"/>
    </w:rPr>
  </w:style>
  <w:style w:type="table" w:customStyle="1" w:styleId="TableNormal">
    <w:name w:val="Table Normal"/>
    <w:rsid w:val="00DF13EE"/>
    <w:pPr>
      <w:spacing w:after="0" w:line="276" w:lineRule="auto"/>
    </w:pPr>
    <w:rPr>
      <w:rFonts w:ascii="Arial" w:eastAsia="Arial" w:hAnsi="Arial" w:cs="Arial"/>
      <w:color w:val="000000"/>
      <w:lang w:eastAsia="cs-CZ"/>
    </w:rPr>
    <w:tblPr>
      <w:tblCellMar>
        <w:top w:w="0" w:type="dxa"/>
        <w:left w:w="0" w:type="dxa"/>
        <w:bottom w:w="0" w:type="dxa"/>
        <w:right w:w="0" w:type="dxa"/>
      </w:tblCellMar>
    </w:tblPr>
  </w:style>
  <w:style w:type="paragraph" w:styleId="Zpat">
    <w:name w:val="footer"/>
    <w:basedOn w:val="Normln"/>
    <w:link w:val="ZpatChar1"/>
    <w:uiPriority w:val="99"/>
    <w:unhideWhenUsed/>
    <w:rsid w:val="00DF13EE"/>
    <w:pPr>
      <w:tabs>
        <w:tab w:val="center" w:pos="4536"/>
        <w:tab w:val="right" w:pos="9072"/>
      </w:tabs>
      <w:spacing w:after="0" w:line="240" w:lineRule="auto"/>
    </w:pPr>
  </w:style>
  <w:style w:type="character" w:customStyle="1" w:styleId="ZpatChar1">
    <w:name w:val="Zápatí Char1"/>
    <w:basedOn w:val="Standardnpsmoodstavce"/>
    <w:link w:val="Zpat"/>
    <w:uiPriority w:val="99"/>
    <w:rsid w:val="00DF13EE"/>
  </w:style>
  <w:style w:type="paragraph" w:customStyle="1" w:styleId="Default">
    <w:name w:val="Default"/>
    <w:rsid w:val="008830CC"/>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9F7C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7C69"/>
    <w:rPr>
      <w:rFonts w:ascii="Segoe UI" w:hAnsi="Segoe UI" w:cs="Segoe UI"/>
      <w:sz w:val="18"/>
      <w:szCs w:val="18"/>
    </w:rPr>
  </w:style>
  <w:style w:type="character" w:customStyle="1" w:styleId="h1a4">
    <w:name w:val="h1a4"/>
    <w:basedOn w:val="Standardnpsmoodstavce"/>
    <w:rsid w:val="00C174FC"/>
    <w:rPr>
      <w:rFonts w:ascii="Arial" w:hAnsi="Arial" w:cs="Arial" w:hint="default"/>
      <w:i/>
      <w:iCs/>
      <w:vanish w:val="0"/>
      <w:webHidden w:val="0"/>
      <w:sz w:val="26"/>
      <w:szCs w:val="26"/>
      <w:specVanish w:val="0"/>
    </w:rPr>
  </w:style>
  <w:style w:type="character" w:styleId="Odkaznakoment">
    <w:name w:val="annotation reference"/>
    <w:basedOn w:val="Standardnpsmoodstavce"/>
    <w:uiPriority w:val="99"/>
    <w:semiHidden/>
    <w:unhideWhenUsed/>
    <w:rsid w:val="008059EE"/>
    <w:rPr>
      <w:sz w:val="16"/>
      <w:szCs w:val="16"/>
    </w:rPr>
  </w:style>
  <w:style w:type="paragraph" w:styleId="Textkomente">
    <w:name w:val="annotation text"/>
    <w:basedOn w:val="Normln"/>
    <w:link w:val="TextkomenteChar"/>
    <w:uiPriority w:val="99"/>
    <w:semiHidden/>
    <w:unhideWhenUsed/>
    <w:rsid w:val="008059EE"/>
    <w:pPr>
      <w:spacing w:line="240" w:lineRule="auto"/>
    </w:pPr>
    <w:rPr>
      <w:sz w:val="20"/>
      <w:szCs w:val="20"/>
    </w:rPr>
  </w:style>
  <w:style w:type="character" w:customStyle="1" w:styleId="TextkomenteChar">
    <w:name w:val="Text komentáře Char"/>
    <w:basedOn w:val="Standardnpsmoodstavce"/>
    <w:link w:val="Textkomente"/>
    <w:uiPriority w:val="99"/>
    <w:semiHidden/>
    <w:rsid w:val="008059EE"/>
    <w:rPr>
      <w:sz w:val="20"/>
      <w:szCs w:val="20"/>
    </w:rPr>
  </w:style>
  <w:style w:type="paragraph" w:styleId="Pedmtkomente">
    <w:name w:val="annotation subject"/>
    <w:basedOn w:val="Textkomente"/>
    <w:next w:val="Textkomente"/>
    <w:link w:val="PedmtkomenteChar"/>
    <w:uiPriority w:val="99"/>
    <w:semiHidden/>
    <w:unhideWhenUsed/>
    <w:rsid w:val="008059EE"/>
    <w:rPr>
      <w:b/>
      <w:bCs/>
    </w:rPr>
  </w:style>
  <w:style w:type="character" w:customStyle="1" w:styleId="PedmtkomenteChar">
    <w:name w:val="Předmět komentáře Char"/>
    <w:basedOn w:val="TextkomenteChar"/>
    <w:link w:val="Pedmtkomente"/>
    <w:uiPriority w:val="99"/>
    <w:semiHidden/>
    <w:rsid w:val="008059EE"/>
    <w:rPr>
      <w:b/>
      <w:bCs/>
      <w:sz w:val="20"/>
      <w:szCs w:val="20"/>
    </w:rPr>
  </w:style>
  <w:style w:type="paragraph" w:styleId="Revize">
    <w:name w:val="Revision"/>
    <w:hidden/>
    <w:uiPriority w:val="99"/>
    <w:semiHidden/>
    <w:rsid w:val="00E01C11"/>
    <w:pPr>
      <w:spacing w:after="0" w:line="240" w:lineRule="auto"/>
    </w:pPr>
  </w:style>
  <w:style w:type="table" w:styleId="Mkatabulky">
    <w:name w:val="Table Grid"/>
    <w:basedOn w:val="Normlntabulka"/>
    <w:uiPriority w:val="39"/>
    <w:rsid w:val="00E01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47FB-6EF6-408A-92B7-4077F8F9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6746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PL Bohnice</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Pazderka</dc:creator>
  <cp:lastModifiedBy>sivt</cp:lastModifiedBy>
  <cp:revision>2</cp:revision>
  <cp:lastPrinted>2017-11-30T06:27:00Z</cp:lastPrinted>
  <dcterms:created xsi:type="dcterms:W3CDTF">2017-12-18T12:00:00Z</dcterms:created>
  <dcterms:modified xsi:type="dcterms:W3CDTF">2017-12-18T12:00:00Z</dcterms:modified>
</cp:coreProperties>
</file>