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904AD" w:rsidP="00917BFF">
      <w:pPr>
        <w:tabs>
          <w:tab w:val="left" w:pos="4536"/>
          <w:tab w:val="left" w:pos="7513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0F2BF5" w:rsidRPr="009904AD">
        <w:rPr>
          <w:sz w:val="22"/>
          <w:szCs w:val="22"/>
        </w:rPr>
        <w:t xml:space="preserve">Číslo smlouvy </w:t>
      </w:r>
      <w:r w:rsidR="00CA4783">
        <w:rPr>
          <w:sz w:val="22"/>
          <w:szCs w:val="22"/>
        </w:rPr>
        <w:t>kupující</w:t>
      </w:r>
      <w:r w:rsidR="00EB185E">
        <w:rPr>
          <w:sz w:val="22"/>
          <w:szCs w:val="22"/>
        </w:rPr>
        <w:t>ho</w:t>
      </w:r>
      <w:r w:rsidR="000F2BF5" w:rsidRPr="009904AD">
        <w:rPr>
          <w:sz w:val="22"/>
          <w:szCs w:val="22"/>
        </w:rPr>
        <w:t>:</w:t>
      </w:r>
      <w:r>
        <w:rPr>
          <w:sz w:val="22"/>
          <w:szCs w:val="22"/>
        </w:rPr>
        <w:tab/>
        <w:t>________</w:t>
      </w:r>
      <w:r w:rsidR="00CA4783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0F2BF5" w:rsidRPr="009904AD" w:rsidRDefault="000F2BF5" w:rsidP="00917BFF">
      <w:pPr>
        <w:tabs>
          <w:tab w:val="left" w:pos="4536"/>
          <w:tab w:val="left" w:pos="7513"/>
        </w:tabs>
        <w:spacing w:after="240"/>
        <w:rPr>
          <w:sz w:val="22"/>
          <w:szCs w:val="22"/>
        </w:rPr>
      </w:pPr>
      <w:r w:rsidRPr="009904AD">
        <w:rPr>
          <w:sz w:val="22"/>
          <w:szCs w:val="22"/>
        </w:rPr>
        <w:t xml:space="preserve"> </w:t>
      </w:r>
      <w:r w:rsidR="009904AD">
        <w:rPr>
          <w:sz w:val="22"/>
          <w:szCs w:val="22"/>
        </w:rPr>
        <w:tab/>
      </w:r>
      <w:r w:rsidRPr="009904AD">
        <w:rPr>
          <w:sz w:val="22"/>
          <w:szCs w:val="22"/>
        </w:rPr>
        <w:t xml:space="preserve">Číslo smlouvy </w:t>
      </w:r>
      <w:r w:rsidR="00CA4783">
        <w:rPr>
          <w:sz w:val="22"/>
          <w:szCs w:val="22"/>
        </w:rPr>
        <w:t>prodávajícího</w:t>
      </w:r>
      <w:r w:rsidRPr="009904AD">
        <w:rPr>
          <w:sz w:val="22"/>
          <w:szCs w:val="22"/>
        </w:rPr>
        <w:t>:</w:t>
      </w:r>
      <w:r w:rsidRPr="009904AD">
        <w:rPr>
          <w:sz w:val="22"/>
          <w:szCs w:val="22"/>
        </w:rPr>
        <w:tab/>
      </w:r>
      <w:r w:rsidR="009904AD">
        <w:rPr>
          <w:sz w:val="22"/>
          <w:szCs w:val="22"/>
        </w:rPr>
        <w:t>______________</w:t>
      </w:r>
    </w:p>
    <w:p w:rsidR="008F24EC" w:rsidRDefault="00CA4783" w:rsidP="009904AD">
      <w:pPr>
        <w:pStyle w:val="JVS1"/>
        <w:spacing w:before="360"/>
        <w:jc w:val="both"/>
      </w:pPr>
      <w:r>
        <w:t>Kupní smlouva</w:t>
      </w:r>
    </w:p>
    <w:p w:rsidR="000B4BF1" w:rsidRDefault="000B4BF1" w:rsidP="000B4BF1">
      <w:pPr>
        <w:pStyle w:val="SBSTitulekmal"/>
        <w:jc w:val="left"/>
        <w:rPr>
          <w:rFonts w:cs="Arial"/>
        </w:rPr>
      </w:pPr>
      <w:r>
        <w:rPr>
          <w:rFonts w:cs="Arial"/>
        </w:rPr>
        <w:t>(dále jen „smlouva“)</w:t>
      </w:r>
    </w:p>
    <w:p w:rsidR="00CB31F9" w:rsidRPr="00495D65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CB31F9" w:rsidRPr="00495D65" w:rsidRDefault="00CB31F9" w:rsidP="00CB31F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495D65">
        <w:rPr>
          <w:rFonts w:cs="Arial"/>
          <w:b/>
          <w:sz w:val="22"/>
          <w:szCs w:val="22"/>
        </w:rPr>
        <w:t>Smluvní strany</w:t>
      </w:r>
    </w:p>
    <w:p w:rsidR="00CB31F9" w:rsidRPr="00495D65" w:rsidRDefault="00CB31F9" w:rsidP="00CB31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8F3CF3" w:rsidRPr="00FA43A6" w:rsidRDefault="006D25CB" w:rsidP="002D6EC3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OVANET a.s.</w:t>
      </w:r>
      <w:r w:rsidR="006F188D">
        <w:rPr>
          <w:sz w:val="22"/>
          <w:szCs w:val="22"/>
        </w:rPr>
        <w:t xml:space="preserve"> </w:t>
      </w:r>
      <w:r w:rsidR="006F188D">
        <w:rPr>
          <w:sz w:val="22"/>
          <w:szCs w:val="22"/>
        </w:rPr>
        <w:tab/>
      </w:r>
      <w:r w:rsidR="002D6EC3">
        <w:rPr>
          <w:sz w:val="22"/>
          <w:szCs w:val="22"/>
        </w:rPr>
        <w:tab/>
      </w:r>
      <w:proofErr w:type="spellStart"/>
      <w:r w:rsidR="006F188D">
        <w:rPr>
          <w:sz w:val="22"/>
          <w:szCs w:val="22"/>
        </w:rPr>
        <w:t>Vidaron</w:t>
      </w:r>
      <w:proofErr w:type="spellEnd"/>
      <w:r w:rsidR="006F188D">
        <w:rPr>
          <w:sz w:val="22"/>
          <w:szCs w:val="22"/>
        </w:rPr>
        <w:t xml:space="preserve"> a.s.</w:t>
      </w:r>
    </w:p>
    <w:p w:rsidR="008F3CF3" w:rsidRPr="00EB3D32" w:rsidRDefault="006D25CB" w:rsidP="002D6EC3">
      <w:pPr>
        <w:tabs>
          <w:tab w:val="left" w:pos="0"/>
          <w:tab w:val="left" w:pos="4990"/>
          <w:tab w:val="left" w:pos="5103"/>
        </w:tabs>
        <w:ind w:right="-240"/>
        <w:rPr>
          <w:sz w:val="22"/>
          <w:szCs w:val="22"/>
        </w:rPr>
      </w:pPr>
      <w:r>
        <w:rPr>
          <w:sz w:val="22"/>
          <w:szCs w:val="22"/>
        </w:rPr>
        <w:t>Hájkova 1100/13</w:t>
      </w:r>
      <w:r w:rsidR="008F3CF3" w:rsidRPr="00EB3D32">
        <w:rPr>
          <w:sz w:val="22"/>
          <w:szCs w:val="22"/>
        </w:rPr>
        <w:t>, 7</w:t>
      </w:r>
      <w:r>
        <w:rPr>
          <w:sz w:val="22"/>
          <w:szCs w:val="22"/>
        </w:rPr>
        <w:t>02 00</w:t>
      </w:r>
      <w:r w:rsidR="006F188D">
        <w:rPr>
          <w:sz w:val="22"/>
          <w:szCs w:val="22"/>
        </w:rPr>
        <w:t xml:space="preserve"> Ostrava</w:t>
      </w:r>
      <w:r w:rsidR="006F188D">
        <w:rPr>
          <w:sz w:val="22"/>
          <w:szCs w:val="22"/>
        </w:rPr>
        <w:tab/>
        <w:t>Rudé armády 651/19a, 733 01 Karviná</w:t>
      </w:r>
      <w:r w:rsidR="002D6EC3">
        <w:rPr>
          <w:sz w:val="22"/>
          <w:szCs w:val="22"/>
        </w:rPr>
        <w:t xml:space="preserve"> </w:t>
      </w:r>
      <w:r w:rsidR="006F188D">
        <w:rPr>
          <w:sz w:val="22"/>
          <w:szCs w:val="22"/>
        </w:rPr>
        <w:t>Hranice</w:t>
      </w:r>
    </w:p>
    <w:p w:rsidR="008F3CF3" w:rsidRPr="00EB3D32" w:rsidRDefault="008F3CF3" w:rsidP="002D6EC3">
      <w:pPr>
        <w:tabs>
          <w:tab w:val="left" w:pos="0"/>
          <w:tab w:val="left" w:pos="4962"/>
          <w:tab w:val="left" w:pos="4990"/>
          <w:tab w:val="left" w:pos="9639"/>
        </w:tabs>
        <w:rPr>
          <w:sz w:val="22"/>
          <w:szCs w:val="22"/>
        </w:rPr>
      </w:pPr>
      <w:r w:rsidRPr="00EB3D32">
        <w:rPr>
          <w:sz w:val="22"/>
          <w:szCs w:val="22"/>
        </w:rPr>
        <w:t>zastoupen</w:t>
      </w:r>
      <w:r w:rsidR="006D25CB">
        <w:rPr>
          <w:sz w:val="22"/>
          <w:szCs w:val="22"/>
        </w:rPr>
        <w:t>a</w:t>
      </w:r>
      <w:r w:rsidRPr="00EB3D32">
        <w:rPr>
          <w:sz w:val="22"/>
          <w:szCs w:val="22"/>
        </w:rPr>
        <w:t xml:space="preserve"> </w:t>
      </w:r>
      <w:r w:rsidR="006D25CB">
        <w:rPr>
          <w:sz w:val="22"/>
          <w:szCs w:val="22"/>
        </w:rPr>
        <w:t>členem představenstva</w:t>
      </w:r>
      <w:r w:rsidR="006F188D">
        <w:rPr>
          <w:sz w:val="22"/>
          <w:szCs w:val="22"/>
        </w:rPr>
        <w:tab/>
      </w:r>
      <w:r w:rsidR="006F188D" w:rsidRPr="00EB3D32">
        <w:rPr>
          <w:sz w:val="22"/>
          <w:szCs w:val="22"/>
        </w:rPr>
        <w:t>zastoupen</w:t>
      </w:r>
      <w:r w:rsidR="006F188D">
        <w:rPr>
          <w:sz w:val="22"/>
          <w:szCs w:val="22"/>
        </w:rPr>
        <w:t>é</w:t>
      </w:r>
      <w:r w:rsidR="006F188D" w:rsidRPr="00EB3D32">
        <w:rPr>
          <w:sz w:val="22"/>
          <w:szCs w:val="22"/>
        </w:rPr>
        <w:t xml:space="preserve"> </w:t>
      </w:r>
      <w:r w:rsidR="006F188D">
        <w:rPr>
          <w:sz w:val="22"/>
          <w:szCs w:val="22"/>
        </w:rPr>
        <w:t>členy představenstva</w:t>
      </w:r>
    </w:p>
    <w:p w:rsidR="008F3CF3" w:rsidRPr="00EB3D32" w:rsidRDefault="006D25CB" w:rsidP="002D6EC3">
      <w:pPr>
        <w:tabs>
          <w:tab w:val="left" w:pos="0"/>
          <w:tab w:val="left" w:pos="4962"/>
          <w:tab w:val="left" w:pos="4990"/>
          <w:tab w:val="left" w:pos="9639"/>
        </w:tabs>
        <w:rPr>
          <w:sz w:val="22"/>
          <w:szCs w:val="22"/>
        </w:rPr>
      </w:pPr>
      <w:r>
        <w:rPr>
          <w:sz w:val="22"/>
          <w:szCs w:val="22"/>
        </w:rPr>
        <w:t>Ing. Michalem Hrotíkem</w:t>
      </w:r>
      <w:r w:rsidR="006F188D">
        <w:rPr>
          <w:sz w:val="22"/>
          <w:szCs w:val="22"/>
        </w:rPr>
        <w:tab/>
        <w:t xml:space="preserve">Davidem </w:t>
      </w:r>
      <w:proofErr w:type="spellStart"/>
      <w:r w:rsidR="006F188D">
        <w:rPr>
          <w:sz w:val="22"/>
          <w:szCs w:val="22"/>
        </w:rPr>
        <w:t>Kneisem</w:t>
      </w:r>
      <w:proofErr w:type="spellEnd"/>
      <w:r w:rsidR="006F188D">
        <w:rPr>
          <w:sz w:val="22"/>
          <w:szCs w:val="22"/>
        </w:rPr>
        <w:t>, Ing. Romanem Karáskem</w:t>
      </w:r>
    </w:p>
    <w:p w:rsidR="008F3CF3" w:rsidRDefault="008F3CF3" w:rsidP="00035119">
      <w:pPr>
        <w:tabs>
          <w:tab w:val="left" w:pos="0"/>
          <w:tab w:val="left" w:leader="underscore" w:pos="4820"/>
          <w:tab w:val="left" w:leader="underscore" w:pos="9356"/>
        </w:tabs>
        <w:rPr>
          <w:szCs w:val="22"/>
        </w:rPr>
      </w:pPr>
      <w:r>
        <w:rPr>
          <w:szCs w:val="22"/>
        </w:rPr>
        <w:tab/>
      </w:r>
      <w:r w:rsidR="006F188D">
        <w:rPr>
          <w:szCs w:val="22"/>
        </w:rPr>
        <w:tab/>
      </w:r>
    </w:p>
    <w:p w:rsidR="008F3CF3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8F3CF3" w:rsidRPr="00FA43A6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bCs/>
          <w:kern w:val="24"/>
          <w:sz w:val="22"/>
          <w:szCs w:val="22"/>
        </w:rPr>
      </w:pPr>
      <w:r w:rsidRPr="00FA43A6">
        <w:rPr>
          <w:rFonts w:cs="Arial"/>
          <w:sz w:val="22"/>
          <w:szCs w:val="22"/>
        </w:rPr>
        <w:t>IČ</w:t>
      </w:r>
      <w:r w:rsidR="00EB3D32">
        <w:rPr>
          <w:rFonts w:cs="Arial"/>
          <w:sz w:val="22"/>
          <w:szCs w:val="22"/>
        </w:rPr>
        <w:t>O</w:t>
      </w:r>
      <w:r w:rsidRPr="00FA43A6">
        <w:rPr>
          <w:rFonts w:cs="Arial"/>
          <w:sz w:val="22"/>
          <w:szCs w:val="22"/>
        </w:rPr>
        <w:t>:</w:t>
      </w:r>
      <w:r w:rsidRPr="00FA43A6">
        <w:rPr>
          <w:sz w:val="22"/>
          <w:szCs w:val="22"/>
        </w:rPr>
        <w:t xml:space="preserve"> </w:t>
      </w:r>
      <w:r w:rsidRPr="00FA43A6">
        <w:rPr>
          <w:sz w:val="22"/>
          <w:szCs w:val="22"/>
        </w:rPr>
        <w:tab/>
      </w:r>
      <w:r w:rsidR="006D25CB" w:rsidRPr="006D25CB">
        <w:rPr>
          <w:sz w:val="22"/>
          <w:szCs w:val="22"/>
        </w:rPr>
        <w:t>25857568</w:t>
      </w:r>
      <w:r w:rsidRPr="00FA43A6">
        <w:rPr>
          <w:sz w:val="22"/>
          <w:szCs w:val="22"/>
        </w:rPr>
        <w:tab/>
      </w:r>
      <w:r w:rsidRPr="00FA43A6">
        <w:rPr>
          <w:rFonts w:cs="Arial"/>
          <w:sz w:val="22"/>
          <w:szCs w:val="22"/>
        </w:rPr>
        <w:t>IČ</w:t>
      </w:r>
      <w:r w:rsidR="00EB3D32">
        <w:rPr>
          <w:rFonts w:cs="Arial"/>
          <w:sz w:val="22"/>
          <w:szCs w:val="22"/>
        </w:rPr>
        <w:t>O</w:t>
      </w:r>
      <w:r w:rsidRPr="00FA43A6">
        <w:rPr>
          <w:rFonts w:cs="Arial"/>
          <w:sz w:val="22"/>
          <w:szCs w:val="22"/>
        </w:rPr>
        <w:t>:</w:t>
      </w:r>
      <w:r w:rsidR="00C7473F">
        <w:rPr>
          <w:rFonts w:cs="Arial"/>
          <w:sz w:val="22"/>
          <w:szCs w:val="22"/>
        </w:rPr>
        <w:t xml:space="preserve"> 28633652</w:t>
      </w:r>
      <w:r w:rsidRPr="00FA43A6">
        <w:rPr>
          <w:rFonts w:cs="Arial"/>
          <w:sz w:val="22"/>
          <w:szCs w:val="22"/>
        </w:rPr>
        <w:tab/>
      </w:r>
    </w:p>
    <w:p w:rsidR="00C7473F" w:rsidRPr="00FA43A6" w:rsidRDefault="008F3CF3" w:rsidP="00C7473F">
      <w:pPr>
        <w:tabs>
          <w:tab w:val="left" w:pos="1588"/>
          <w:tab w:val="left" w:pos="5040"/>
          <w:tab w:val="left" w:pos="6521"/>
        </w:tabs>
        <w:rPr>
          <w:rFonts w:cs="Arial"/>
          <w:bCs/>
          <w:kern w:val="24"/>
          <w:sz w:val="22"/>
          <w:szCs w:val="22"/>
        </w:rPr>
      </w:pPr>
      <w:r w:rsidRPr="00FA43A6">
        <w:rPr>
          <w:rFonts w:cs="Arial"/>
          <w:sz w:val="22"/>
          <w:szCs w:val="22"/>
        </w:rPr>
        <w:t xml:space="preserve">DIČ: </w:t>
      </w:r>
      <w:r w:rsidRPr="00FA43A6">
        <w:rPr>
          <w:rFonts w:cs="Arial"/>
          <w:sz w:val="22"/>
          <w:szCs w:val="22"/>
        </w:rPr>
        <w:tab/>
      </w:r>
      <w:r w:rsidR="006D25CB">
        <w:rPr>
          <w:rFonts w:cs="Arial"/>
          <w:sz w:val="22"/>
          <w:szCs w:val="22"/>
        </w:rPr>
        <w:t>CZ</w:t>
      </w:r>
      <w:r w:rsidR="006D25CB" w:rsidRPr="006D25CB">
        <w:rPr>
          <w:sz w:val="22"/>
          <w:szCs w:val="22"/>
        </w:rPr>
        <w:t xml:space="preserve">25857568 </w:t>
      </w:r>
      <w:r w:rsidRPr="00FA43A6">
        <w:rPr>
          <w:sz w:val="22"/>
          <w:szCs w:val="22"/>
        </w:rPr>
        <w:t>(plátce DPH)</w:t>
      </w:r>
      <w:r w:rsidRPr="00FA43A6">
        <w:rPr>
          <w:sz w:val="22"/>
          <w:szCs w:val="22"/>
        </w:rPr>
        <w:tab/>
      </w:r>
      <w:r w:rsidRPr="00FA43A6">
        <w:rPr>
          <w:rFonts w:cs="Arial"/>
          <w:sz w:val="22"/>
          <w:szCs w:val="22"/>
        </w:rPr>
        <w:t>DIČ:</w:t>
      </w:r>
      <w:r w:rsidR="00C7473F">
        <w:rPr>
          <w:rFonts w:cs="Arial"/>
          <w:sz w:val="22"/>
          <w:szCs w:val="22"/>
        </w:rPr>
        <w:t xml:space="preserve"> CZ28633652</w:t>
      </w:r>
      <w:r w:rsidR="00C7473F" w:rsidRPr="00FA43A6">
        <w:rPr>
          <w:rFonts w:cs="Arial"/>
          <w:sz w:val="22"/>
          <w:szCs w:val="22"/>
        </w:rPr>
        <w:tab/>
      </w:r>
    </w:p>
    <w:p w:rsidR="005F0E26" w:rsidRDefault="008F3CF3" w:rsidP="005F0E26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FA43A6">
        <w:rPr>
          <w:rFonts w:cs="Arial"/>
          <w:sz w:val="22"/>
          <w:szCs w:val="22"/>
        </w:rPr>
        <w:t xml:space="preserve">Peněžní ústav: </w:t>
      </w:r>
      <w:r w:rsidRPr="00FA43A6">
        <w:rPr>
          <w:rFonts w:cs="Arial"/>
          <w:sz w:val="22"/>
          <w:szCs w:val="22"/>
        </w:rPr>
        <w:tab/>
      </w:r>
      <w:r w:rsidRPr="00FA43A6">
        <w:rPr>
          <w:sz w:val="22"/>
          <w:szCs w:val="22"/>
        </w:rPr>
        <w:tab/>
      </w:r>
      <w:r w:rsidRPr="00FA43A6">
        <w:rPr>
          <w:rFonts w:cs="Arial"/>
          <w:sz w:val="22"/>
          <w:szCs w:val="22"/>
        </w:rPr>
        <w:t>Peněžní ústav:</w:t>
      </w:r>
      <w:r w:rsidRPr="00FA43A6">
        <w:rPr>
          <w:rFonts w:cs="Arial"/>
          <w:sz w:val="22"/>
          <w:szCs w:val="22"/>
        </w:rPr>
        <w:tab/>
      </w:r>
      <w:r w:rsidR="00C7473F">
        <w:rPr>
          <w:rFonts w:cs="Arial"/>
          <w:sz w:val="22"/>
          <w:szCs w:val="22"/>
        </w:rPr>
        <w:t xml:space="preserve"> </w:t>
      </w:r>
    </w:p>
    <w:p w:rsidR="00C7473F" w:rsidRPr="00C7473F" w:rsidRDefault="00C7473F" w:rsidP="005F0E26">
      <w:pPr>
        <w:tabs>
          <w:tab w:val="left" w:pos="1588"/>
          <w:tab w:val="left" w:pos="5040"/>
          <w:tab w:val="left" w:pos="6521"/>
        </w:tabs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8F3CF3" w:rsidRPr="00FA43A6" w:rsidRDefault="008F3CF3" w:rsidP="008F3CF3">
      <w:pPr>
        <w:tabs>
          <w:tab w:val="left" w:pos="1588"/>
          <w:tab w:val="left" w:pos="5040"/>
          <w:tab w:val="left" w:pos="6521"/>
        </w:tabs>
        <w:rPr>
          <w:rFonts w:cs="Arial"/>
          <w:sz w:val="22"/>
          <w:szCs w:val="22"/>
        </w:rPr>
      </w:pPr>
      <w:r w:rsidRPr="00FA43A6">
        <w:rPr>
          <w:rFonts w:cs="Arial"/>
          <w:sz w:val="22"/>
          <w:szCs w:val="22"/>
        </w:rPr>
        <w:t xml:space="preserve">Číslo účtu: </w:t>
      </w:r>
      <w:r w:rsidRPr="00FA43A6">
        <w:rPr>
          <w:rFonts w:cs="Arial"/>
          <w:sz w:val="22"/>
          <w:szCs w:val="22"/>
        </w:rPr>
        <w:tab/>
      </w:r>
      <w:r w:rsidRPr="00FA43A6">
        <w:rPr>
          <w:sz w:val="22"/>
          <w:szCs w:val="22"/>
        </w:rPr>
        <w:tab/>
      </w:r>
      <w:r w:rsidRPr="00FA43A6">
        <w:rPr>
          <w:rFonts w:cs="Arial"/>
          <w:sz w:val="22"/>
          <w:szCs w:val="22"/>
        </w:rPr>
        <w:t xml:space="preserve">Číslo účtu: </w:t>
      </w:r>
    </w:p>
    <w:p w:rsidR="00C7473F" w:rsidRDefault="006D25CB" w:rsidP="00C7473F">
      <w:pPr>
        <w:tabs>
          <w:tab w:val="left" w:pos="1588"/>
          <w:tab w:val="left" w:pos="5040"/>
          <w:tab w:val="left" w:pos="6521"/>
        </w:tabs>
        <w:ind w:left="5040" w:hanging="5040"/>
        <w:rPr>
          <w:rFonts w:cs="Arial"/>
        </w:rPr>
      </w:pPr>
      <w:r w:rsidRPr="006D25CB">
        <w:rPr>
          <w:rFonts w:cs="Arial"/>
        </w:rPr>
        <w:t>Zapsaná v obchodním rejstříku vedené</w:t>
      </w:r>
      <w:r>
        <w:rPr>
          <w:rFonts w:cs="Arial"/>
        </w:rPr>
        <w:t>m</w:t>
      </w:r>
      <w:r w:rsidR="005217E7">
        <w:rPr>
          <w:rFonts w:cs="Arial"/>
        </w:rPr>
        <w:tab/>
      </w:r>
      <w:r w:rsidRPr="006D25CB">
        <w:rPr>
          <w:rFonts w:cs="Arial"/>
        </w:rPr>
        <w:t xml:space="preserve">Zapsaná v obchodním rejstříku vedeném </w:t>
      </w:r>
      <w:r>
        <w:rPr>
          <w:rFonts w:cs="Arial"/>
        </w:rPr>
        <w:t>u</w:t>
      </w:r>
    </w:p>
    <w:p w:rsidR="005217E7" w:rsidRDefault="00C7473F" w:rsidP="00F85C30">
      <w:pPr>
        <w:tabs>
          <w:tab w:val="left" w:pos="1588"/>
          <w:tab w:val="left" w:pos="5040"/>
          <w:tab w:val="left" w:pos="6521"/>
        </w:tabs>
        <w:ind w:left="5040" w:hanging="5040"/>
        <w:rPr>
          <w:rFonts w:cs="Arial"/>
        </w:rPr>
      </w:pPr>
      <w:r w:rsidRPr="006D25CB">
        <w:rPr>
          <w:rFonts w:cs="Arial"/>
        </w:rPr>
        <w:t>u Krajského soudu v Ostravě, spisová značka B 2335</w:t>
      </w:r>
      <w:r>
        <w:rPr>
          <w:rFonts w:cs="Arial"/>
        </w:rPr>
        <w:tab/>
        <w:t>Krajského soudu v</w:t>
      </w:r>
      <w:r w:rsidR="00F85C30">
        <w:rPr>
          <w:rFonts w:cs="Arial"/>
        </w:rPr>
        <w:t> </w:t>
      </w:r>
      <w:r>
        <w:rPr>
          <w:rFonts w:cs="Arial"/>
        </w:rPr>
        <w:t>Ostravě</w:t>
      </w:r>
      <w:r w:rsidR="00F85C30">
        <w:rPr>
          <w:rFonts w:cs="Arial"/>
        </w:rPr>
        <w:t xml:space="preserve"> </w:t>
      </w:r>
      <w:r>
        <w:rPr>
          <w:rFonts w:cs="Arial"/>
        </w:rPr>
        <w:t>oddíl C, vložka 18524</w:t>
      </w:r>
    </w:p>
    <w:p w:rsidR="008F3CF3" w:rsidRDefault="006F188D" w:rsidP="00035119">
      <w:pPr>
        <w:tabs>
          <w:tab w:val="left" w:pos="0"/>
          <w:tab w:val="left" w:leader="underscore" w:pos="4820"/>
          <w:tab w:val="left" w:leader="underscore" w:pos="9356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F3CF3" w:rsidRPr="00FA43A6" w:rsidRDefault="008F3CF3" w:rsidP="008F3CF3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  <w:r w:rsidRPr="00FA43A6">
        <w:rPr>
          <w:sz w:val="22"/>
          <w:szCs w:val="22"/>
        </w:rPr>
        <w:t xml:space="preserve">dále jen </w:t>
      </w:r>
      <w:r w:rsidR="00CA4783">
        <w:rPr>
          <w:b/>
          <w:sz w:val="22"/>
          <w:szCs w:val="22"/>
        </w:rPr>
        <w:t>kupující</w:t>
      </w:r>
      <w:r w:rsidRPr="00FA43A6">
        <w:rPr>
          <w:b/>
          <w:sz w:val="22"/>
          <w:szCs w:val="22"/>
        </w:rPr>
        <w:t xml:space="preserve"> </w:t>
      </w:r>
      <w:r w:rsidRPr="00FA43A6">
        <w:rPr>
          <w:sz w:val="22"/>
          <w:szCs w:val="22"/>
        </w:rPr>
        <w:tab/>
      </w:r>
      <w:r w:rsidRPr="00FA43A6">
        <w:rPr>
          <w:sz w:val="22"/>
          <w:szCs w:val="22"/>
        </w:rPr>
        <w:tab/>
        <w:t xml:space="preserve">dále jen </w:t>
      </w:r>
      <w:r w:rsidR="00CA4783">
        <w:rPr>
          <w:b/>
          <w:sz w:val="22"/>
          <w:szCs w:val="22"/>
        </w:rPr>
        <w:t>prodávající</w:t>
      </w:r>
      <w:r w:rsidR="00AD601D">
        <w:rPr>
          <w:b/>
          <w:sz w:val="22"/>
          <w:szCs w:val="22"/>
        </w:rPr>
        <w:t xml:space="preserve"> </w:t>
      </w:r>
    </w:p>
    <w:p w:rsidR="008C7D31" w:rsidRPr="00FA43A6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C7D31" w:rsidRPr="00FA43A6" w:rsidRDefault="008C7D31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</w:p>
    <w:p w:rsidR="008F3CF3" w:rsidRPr="00FA43A6" w:rsidRDefault="008F3CF3" w:rsidP="008F3CF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FA43A6">
        <w:rPr>
          <w:rFonts w:cs="Arial"/>
          <w:b/>
          <w:sz w:val="22"/>
          <w:szCs w:val="22"/>
        </w:rPr>
        <w:t>Obsah smlouvy</w:t>
      </w:r>
    </w:p>
    <w:p w:rsidR="003E4B6A" w:rsidRPr="00EC0F78" w:rsidRDefault="003E4B6A" w:rsidP="00012D88">
      <w:pPr>
        <w:pStyle w:val="JVS2"/>
        <w:numPr>
          <w:ilvl w:val="0"/>
          <w:numId w:val="3"/>
        </w:numPr>
        <w:ind w:left="426" w:hanging="284"/>
      </w:pPr>
      <w:r w:rsidRPr="00EC0F78">
        <w:t>Základní ustanovení</w:t>
      </w:r>
    </w:p>
    <w:p w:rsidR="007D4453" w:rsidRPr="001808C9" w:rsidRDefault="007D4453" w:rsidP="00F970C8">
      <w:pPr>
        <w:pStyle w:val="SBSSmlouva"/>
        <w:numPr>
          <w:ilvl w:val="1"/>
          <w:numId w:val="5"/>
        </w:numPr>
        <w:ind w:left="426" w:hanging="426"/>
      </w:pPr>
      <w:r w:rsidRPr="001808C9">
        <w:t>Tato smlou</w:t>
      </w:r>
      <w:r w:rsidR="00CA4783">
        <w:t>va je uzavřena podle</w:t>
      </w:r>
      <w:r w:rsidR="00DE1E4B">
        <w:t xml:space="preserve"> </w:t>
      </w:r>
      <w:r w:rsidRPr="001808C9">
        <w:t>zákona č. 89/2012 Sb., občanský zákoník (dále jen „občanský zákoník“)</w:t>
      </w:r>
      <w:r w:rsidR="00CA4783">
        <w:t>, ve znění pozdějších předpisů</w:t>
      </w:r>
      <w:r w:rsidRPr="001808C9">
        <w:t>.</w:t>
      </w:r>
    </w:p>
    <w:p w:rsidR="000F165E" w:rsidRDefault="00960EE0" w:rsidP="000F165E">
      <w:pPr>
        <w:pStyle w:val="SBSSmlouva"/>
        <w:numPr>
          <w:ilvl w:val="1"/>
          <w:numId w:val="5"/>
        </w:numPr>
        <w:ind w:left="426" w:hanging="426"/>
      </w:pPr>
      <w:r w:rsidRPr="00960EE0">
        <w:t xml:space="preserve">Smluvní strany prohlašují, že údaje uvedené v záhlaví </w:t>
      </w:r>
      <w:r w:rsidR="000F165E">
        <w:t xml:space="preserve">této </w:t>
      </w:r>
      <w:r w:rsidRPr="00960EE0">
        <w:t>smlouvy</w:t>
      </w:r>
      <w:r w:rsidR="00422CD4">
        <w:t xml:space="preserve"> </w:t>
      </w:r>
      <w:r w:rsidR="000F165E" w:rsidRPr="000F165E">
        <w:t>a taktéž oprávnění k podnikání jsou v souladu s právní skutečností v době uzavření smlouvy</w:t>
      </w:r>
      <w:r w:rsidRPr="00960EE0">
        <w:t>. Smluvní strany se zavazují, že</w:t>
      </w:r>
      <w:r w:rsidR="00422CD4">
        <w:t xml:space="preserve"> jakékoliv změny </w:t>
      </w:r>
      <w:r w:rsidRPr="00960EE0">
        <w:t>dotčených údajů oznámí bez prodlení druhé smluvní straně.</w:t>
      </w:r>
    </w:p>
    <w:p w:rsidR="00960EE0" w:rsidRDefault="00960EE0" w:rsidP="00960EE0">
      <w:pPr>
        <w:pStyle w:val="SBSSmlouva"/>
        <w:numPr>
          <w:ilvl w:val="1"/>
          <w:numId w:val="5"/>
        </w:numPr>
        <w:ind w:left="426" w:hanging="426"/>
      </w:pPr>
      <w:r w:rsidRPr="00960EE0">
        <w:t>Smluvní strany prohlašují, že osoby podepisující tuto smlouvu jsou k tomuto úkonu oprávněny.</w:t>
      </w:r>
    </w:p>
    <w:p w:rsidR="00CA4783" w:rsidRDefault="00CA4783" w:rsidP="00960EE0">
      <w:pPr>
        <w:pStyle w:val="SBSSmlouva"/>
        <w:numPr>
          <w:ilvl w:val="1"/>
          <w:numId w:val="5"/>
        </w:numPr>
        <w:ind w:left="426" w:hanging="426"/>
      </w:pPr>
      <w:r w:rsidRPr="00CA4783">
        <w:t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zákona č. 298/2016 Sb. Zaslání smlouvy do registru smluv zajistí kupující</w:t>
      </w:r>
      <w:r>
        <w:t>.</w:t>
      </w:r>
    </w:p>
    <w:p w:rsidR="00CA4783" w:rsidRPr="00CA4783" w:rsidRDefault="00CA4783" w:rsidP="00960EE0">
      <w:pPr>
        <w:pStyle w:val="SBSSmlouva"/>
        <w:numPr>
          <w:ilvl w:val="1"/>
          <w:numId w:val="5"/>
        </w:numPr>
        <w:ind w:left="426" w:hanging="426"/>
        <w:rPr>
          <w:rFonts w:cs="Arial"/>
        </w:rPr>
      </w:pPr>
      <w:r w:rsidRPr="00CA4783">
        <w:rPr>
          <w:rFonts w:cs="Arial"/>
        </w:rPr>
        <w:t xml:space="preserve">Účelem uzavření této smlouvy je </w:t>
      </w:r>
      <w:r>
        <w:rPr>
          <w:rFonts w:cs="Arial"/>
        </w:rPr>
        <w:t xml:space="preserve">zajištění </w:t>
      </w:r>
      <w:r w:rsidR="00216E31">
        <w:rPr>
          <w:rFonts w:cs="Arial"/>
        </w:rPr>
        <w:t>dodáv</w:t>
      </w:r>
      <w:r w:rsidR="00DE55A5">
        <w:rPr>
          <w:rFonts w:cs="Arial"/>
        </w:rPr>
        <w:t>e</w:t>
      </w:r>
      <w:r w:rsidR="00216E31">
        <w:rPr>
          <w:rFonts w:cs="Arial"/>
        </w:rPr>
        <w:t xml:space="preserve">k náhradních tonerových náplní do </w:t>
      </w:r>
      <w:r>
        <w:rPr>
          <w:rFonts w:cs="Arial"/>
        </w:rPr>
        <w:t>tiskových zařízení</w:t>
      </w:r>
      <w:r w:rsidR="009D084A">
        <w:rPr>
          <w:rFonts w:cs="Arial"/>
        </w:rPr>
        <w:t xml:space="preserve"> ve správě kupujícího</w:t>
      </w:r>
      <w:r w:rsidR="00BD46C0">
        <w:rPr>
          <w:rFonts w:cs="Arial"/>
        </w:rPr>
        <w:t>.</w:t>
      </w:r>
    </w:p>
    <w:p w:rsidR="003E4B6A" w:rsidRDefault="00CA4783" w:rsidP="00F970C8">
      <w:pPr>
        <w:pStyle w:val="SBSSmlouva"/>
        <w:numPr>
          <w:ilvl w:val="1"/>
          <w:numId w:val="5"/>
        </w:numPr>
        <w:ind w:left="426" w:hanging="426"/>
      </w:pPr>
      <w:r>
        <w:t>Prodávající</w:t>
      </w:r>
      <w:r w:rsidR="005C0594">
        <w:t xml:space="preserve"> </w:t>
      </w:r>
      <w:r w:rsidR="003E4B6A" w:rsidRPr="003E4B6A">
        <w:t>prohlašuje, že je odborně způsobilý k zajištění předmětu této smlouvy.</w:t>
      </w:r>
    </w:p>
    <w:p w:rsidR="001808C9" w:rsidRDefault="000F2BF5" w:rsidP="00F970C8">
      <w:pPr>
        <w:pStyle w:val="SBSSmlouva"/>
        <w:numPr>
          <w:ilvl w:val="1"/>
          <w:numId w:val="5"/>
        </w:numPr>
        <w:ind w:left="426" w:hanging="426"/>
      </w:pPr>
      <w:r w:rsidRPr="000F2BF5">
        <w:t xml:space="preserve">Pro případ, že </w:t>
      </w:r>
      <w:r w:rsidR="00CA4783">
        <w:t>prodávající</w:t>
      </w:r>
      <w:r w:rsidR="005C0594" w:rsidRPr="000F2BF5">
        <w:t xml:space="preserve"> </w:t>
      </w:r>
      <w:r w:rsidRPr="000F2BF5">
        <w:t xml:space="preserve">bude mít dle této smlouvy povinnost přiznat a zaplatit DPH, činí toto prohlášení: </w:t>
      </w:r>
      <w:r w:rsidR="00CA4783">
        <w:t>Prodávající</w:t>
      </w:r>
      <w:r w:rsidR="005C0594" w:rsidRPr="000F2BF5">
        <w:t xml:space="preserve"> </w:t>
      </w:r>
      <w:r w:rsidRPr="000F2BF5">
        <w:t xml:space="preserve">prohlašuje, že není nespolehlivým plátcem DPH a v případě, že by se jím v průběhu trvání smluvního vztahu stal, tuto informaci neprodleně sdělí </w:t>
      </w:r>
      <w:r w:rsidR="00CA4783">
        <w:t>kupujícímu</w:t>
      </w:r>
      <w:r w:rsidRPr="000F2BF5">
        <w:t>.</w:t>
      </w:r>
    </w:p>
    <w:p w:rsidR="00CB31F9" w:rsidRPr="00EC0F78" w:rsidRDefault="00A40967" w:rsidP="00012D88">
      <w:pPr>
        <w:pStyle w:val="JVS2"/>
        <w:numPr>
          <w:ilvl w:val="0"/>
          <w:numId w:val="3"/>
        </w:numPr>
        <w:ind w:left="426" w:hanging="284"/>
      </w:pPr>
      <w:r w:rsidRPr="00EC0F78">
        <w:lastRenderedPageBreak/>
        <w:t>Předmět smlouvy</w:t>
      </w:r>
    </w:p>
    <w:p w:rsidR="00F02298" w:rsidRDefault="00F02298" w:rsidP="007E15E1">
      <w:pPr>
        <w:pStyle w:val="SBSSmlouva"/>
        <w:numPr>
          <w:ilvl w:val="1"/>
          <w:numId w:val="15"/>
        </w:numPr>
        <w:ind w:left="426" w:hanging="426"/>
      </w:pPr>
      <w:bookmarkStart w:id="0" w:name="_Ref148861196"/>
      <w:r>
        <w:t xml:space="preserve">Předmětem smlouvy je závazek </w:t>
      </w:r>
      <w:r w:rsidR="00CA4783">
        <w:t xml:space="preserve">prodávajícího </w:t>
      </w:r>
      <w:r w:rsidR="00216E31">
        <w:t>poskytovat</w:t>
      </w:r>
      <w:r w:rsidR="00F97C28">
        <w:t xml:space="preserve"> </w:t>
      </w:r>
      <w:r w:rsidR="00CA4783">
        <w:t>kupujícímu</w:t>
      </w:r>
      <w:r w:rsidR="00F97C28">
        <w:t xml:space="preserve"> </w:t>
      </w:r>
      <w:r w:rsidR="00216E31">
        <w:t xml:space="preserve">níže specifikované plnění </w:t>
      </w:r>
      <w:r>
        <w:t>v rozsahu a za podm</w:t>
      </w:r>
      <w:r w:rsidR="00216E31">
        <w:t>ínek stanovených touto smlouvou. Předmětem plnění je:</w:t>
      </w:r>
    </w:p>
    <w:p w:rsidR="00F02298" w:rsidRDefault="00F02298" w:rsidP="00BD46C0">
      <w:pPr>
        <w:pStyle w:val="SBSSmlouva"/>
        <w:numPr>
          <w:ilvl w:val="0"/>
          <w:numId w:val="42"/>
        </w:numPr>
      </w:pPr>
      <w:r>
        <w:t>Dodávka</w:t>
      </w:r>
      <w:r w:rsidR="000F165E">
        <w:t xml:space="preserve"> </w:t>
      </w:r>
      <w:r w:rsidR="00637D97">
        <w:t xml:space="preserve">originálních </w:t>
      </w:r>
      <w:r w:rsidR="00DE55A5">
        <w:t>tonerových náplní do tiskových zařízení (dále jen „zboží“)</w:t>
      </w:r>
      <w:r w:rsidR="003B2653">
        <w:t xml:space="preserve"> </w:t>
      </w:r>
      <w:r w:rsidR="00CA4783">
        <w:t>dle specifikace uvedené v příloze č. 1 této smlouvy.</w:t>
      </w:r>
    </w:p>
    <w:p w:rsidR="00A7787D" w:rsidRDefault="00A7787D" w:rsidP="00CD7CDE">
      <w:pPr>
        <w:pStyle w:val="SBSSmlouva"/>
        <w:ind w:left="426" w:hanging="426"/>
        <w:rPr>
          <w:rFonts w:cs="Arial"/>
          <w:szCs w:val="20"/>
        </w:rPr>
      </w:pPr>
      <w:r w:rsidRPr="00A7787D">
        <w:rPr>
          <w:rFonts w:cs="Arial"/>
          <w:iCs/>
          <w:szCs w:val="20"/>
        </w:rPr>
        <w:t xml:space="preserve">Dojde-li v průběhu plnění </w:t>
      </w:r>
      <w:r>
        <w:rPr>
          <w:rFonts w:cs="Arial"/>
          <w:iCs/>
          <w:szCs w:val="20"/>
        </w:rPr>
        <w:t>smlouvy</w:t>
      </w:r>
      <w:r w:rsidRPr="00A7787D">
        <w:rPr>
          <w:rFonts w:cs="Arial"/>
          <w:iCs/>
          <w:szCs w:val="20"/>
        </w:rPr>
        <w:t xml:space="preserve"> k ukončení výroby některého z typů zboží specifikovaného v příloze </w:t>
      </w:r>
      <w:r w:rsidRPr="00A7787D">
        <w:rPr>
          <w:rFonts w:cs="Arial"/>
          <w:bCs/>
          <w:iCs/>
          <w:szCs w:val="20"/>
        </w:rPr>
        <w:t xml:space="preserve">č. 1 této </w:t>
      </w:r>
      <w:r>
        <w:rPr>
          <w:rFonts w:cs="Arial"/>
          <w:bCs/>
          <w:iCs/>
          <w:szCs w:val="20"/>
        </w:rPr>
        <w:t>smlouvy</w:t>
      </w:r>
      <w:r w:rsidRPr="00A7787D">
        <w:rPr>
          <w:rFonts w:cs="Arial"/>
          <w:bCs/>
          <w:iCs/>
          <w:szCs w:val="20"/>
        </w:rPr>
        <w:t xml:space="preserve">, navrhne prodávající kupujícímu dodávku případné možné adekvátní náhrady včetně ceny stanovené v souladu s čl. </w:t>
      </w:r>
      <w:r>
        <w:rPr>
          <w:rFonts w:cs="Arial"/>
          <w:bCs/>
          <w:iCs/>
          <w:szCs w:val="20"/>
        </w:rPr>
        <w:t>I</w:t>
      </w:r>
      <w:r w:rsidRPr="00A7787D">
        <w:rPr>
          <w:rFonts w:cs="Arial"/>
          <w:bCs/>
          <w:iCs/>
          <w:szCs w:val="20"/>
        </w:rPr>
        <w:t xml:space="preserve">II. této </w:t>
      </w:r>
      <w:r>
        <w:rPr>
          <w:rFonts w:cs="Arial"/>
          <w:bCs/>
          <w:iCs/>
          <w:szCs w:val="20"/>
        </w:rPr>
        <w:t>smlouvy</w:t>
      </w:r>
      <w:r w:rsidRPr="00A7787D">
        <w:rPr>
          <w:rFonts w:cs="Arial"/>
          <w:bCs/>
          <w:iCs/>
          <w:szCs w:val="20"/>
        </w:rPr>
        <w:t xml:space="preserve"> (</w:t>
      </w:r>
      <w:r w:rsidRPr="00A7787D">
        <w:rPr>
          <w:rFonts w:cs="Arial"/>
          <w:bCs/>
          <w:szCs w:val="20"/>
        </w:rPr>
        <w:t>Na vyžádání je prodávající povinen předložit kupujícímu aktuální ceník zboží do 2 pracovních dnů od doručení žádosti prodávajícímu)</w:t>
      </w:r>
      <w:r w:rsidRPr="00A7787D">
        <w:rPr>
          <w:rFonts w:cs="Arial"/>
          <w:bCs/>
          <w:iCs/>
          <w:szCs w:val="20"/>
        </w:rPr>
        <w:t>. Tuto změnu je prodávající povinen neprodleně písemně oznámit kupujícímu a kupující musí tuto změnu písemně odsouhlasit</w:t>
      </w:r>
      <w:r w:rsidRPr="00A7787D">
        <w:rPr>
          <w:rFonts w:cs="Arial"/>
          <w:bCs/>
          <w:szCs w:val="20"/>
        </w:rPr>
        <w:t xml:space="preserve">. Prodávající v takovém případě předloží kupujícímu potvrzení výrobce, že požadovaný typ zboží se již nevyrábí a nedistribuuje. Adekvátní náhradou se rozumí výrobek plně nahrazující původní originál po stránce rozměrů i kapacity, plně vyhovující stejnému typu zařízení, pro které byl určen původní originál.  </w:t>
      </w:r>
      <w:r w:rsidRPr="00A7787D">
        <w:rPr>
          <w:rFonts w:cs="Arial"/>
          <w:bCs/>
          <w:iCs/>
          <w:szCs w:val="20"/>
        </w:rPr>
        <w:t>V případě neexistence adekvátní náhrady, nebude dále uvedený typ zboží kupujícím objednáván a prodávajícím dodáván</w:t>
      </w:r>
      <w:r>
        <w:rPr>
          <w:rFonts w:cs="Arial"/>
          <w:bCs/>
          <w:iCs/>
          <w:szCs w:val="20"/>
        </w:rPr>
        <w:t>.</w:t>
      </w:r>
    </w:p>
    <w:p w:rsidR="00216E31" w:rsidRDefault="009B2458" w:rsidP="00CD7CDE">
      <w:pPr>
        <w:pStyle w:val="SBSSmlouva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Prodávající se zavazuje dodávat zboží </w:t>
      </w:r>
      <w:r w:rsidR="00637D97">
        <w:rPr>
          <w:rFonts w:cs="Arial"/>
          <w:szCs w:val="20"/>
        </w:rPr>
        <w:t xml:space="preserve">originální (označené výrobcem tzv. Part </w:t>
      </w:r>
      <w:proofErr w:type="spellStart"/>
      <w:r w:rsidR="00637D97">
        <w:rPr>
          <w:rFonts w:cs="Arial"/>
          <w:szCs w:val="20"/>
        </w:rPr>
        <w:t>Number</w:t>
      </w:r>
      <w:proofErr w:type="spellEnd"/>
      <w:r w:rsidR="00637D97">
        <w:rPr>
          <w:rFonts w:cs="Arial"/>
          <w:szCs w:val="20"/>
        </w:rPr>
        <w:t xml:space="preserve">), </w:t>
      </w:r>
      <w:r>
        <w:rPr>
          <w:rFonts w:cs="Arial"/>
          <w:szCs w:val="20"/>
        </w:rPr>
        <w:t>prokazatelně</w:t>
      </w:r>
      <w:r w:rsidR="00216E31" w:rsidRPr="00216E31">
        <w:rPr>
          <w:rFonts w:cs="Arial"/>
          <w:szCs w:val="20"/>
        </w:rPr>
        <w:t xml:space="preserve"> nové</w:t>
      </w:r>
      <w:r>
        <w:rPr>
          <w:rFonts w:cs="Arial"/>
          <w:szCs w:val="20"/>
        </w:rPr>
        <w:t xml:space="preserve"> (tzn., že žádná část nabízeného zboží nesmí být již dříve použitá či jinak upravovaná),</w:t>
      </w:r>
      <w:r w:rsidR="00216E31" w:rsidRPr="00216E31">
        <w:rPr>
          <w:rFonts w:cs="Arial"/>
          <w:szCs w:val="20"/>
        </w:rPr>
        <w:t xml:space="preserve"> nepoužité</w:t>
      </w:r>
      <w:r>
        <w:rPr>
          <w:rFonts w:cs="Arial"/>
          <w:szCs w:val="20"/>
        </w:rPr>
        <w:t>, nepoškozené, nerepasované a nerenovované.</w:t>
      </w:r>
    </w:p>
    <w:p w:rsidR="00216E31" w:rsidRPr="00216E31" w:rsidRDefault="009B2458" w:rsidP="00CD7CDE">
      <w:pPr>
        <w:pStyle w:val="SBSSmlouva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 xml:space="preserve">Prodávající se zavazuje dodávat pouze standardní plnohodnotné, zcela naplněné </w:t>
      </w:r>
      <w:r w:rsidR="00216E31" w:rsidRPr="00216E31">
        <w:rPr>
          <w:rFonts w:cs="Arial"/>
          <w:szCs w:val="20"/>
        </w:rPr>
        <w:t>zboží</w:t>
      </w:r>
      <w:r>
        <w:rPr>
          <w:rFonts w:cs="Arial"/>
          <w:szCs w:val="20"/>
        </w:rPr>
        <w:t xml:space="preserve"> nikoliv pouze „startovací</w:t>
      </w:r>
      <w:r w:rsidR="00637D97">
        <w:rPr>
          <w:rFonts w:cs="Arial"/>
          <w:szCs w:val="20"/>
        </w:rPr>
        <w:t xml:space="preserve"> kazety</w:t>
      </w:r>
      <w:r>
        <w:rPr>
          <w:rFonts w:cs="Arial"/>
          <w:szCs w:val="20"/>
        </w:rPr>
        <w:t>“</w:t>
      </w:r>
      <w:r w:rsidR="00216E31" w:rsidRPr="00216E31">
        <w:rPr>
          <w:rFonts w:cs="Arial"/>
          <w:szCs w:val="20"/>
        </w:rPr>
        <w:t xml:space="preserve"> s veškerými doklady, které se k </w:t>
      </w:r>
      <w:r w:rsidR="00DE55A5">
        <w:rPr>
          <w:rFonts w:cs="Arial"/>
          <w:szCs w:val="20"/>
        </w:rPr>
        <w:t>němu</w:t>
      </w:r>
      <w:r w:rsidR="00216E31" w:rsidRPr="00216E31">
        <w:rPr>
          <w:rFonts w:cs="Arial"/>
          <w:szCs w:val="20"/>
        </w:rPr>
        <w:t xml:space="preserve"> vztahují, jsou potřebné k nabytí vlastnického práva a k jeho řádnému užívání</w:t>
      </w:r>
      <w:r w:rsidR="00216E31">
        <w:rPr>
          <w:rFonts w:cs="Arial"/>
          <w:szCs w:val="20"/>
        </w:rPr>
        <w:t>.</w:t>
      </w:r>
    </w:p>
    <w:p w:rsidR="005A3349" w:rsidRPr="00216E31" w:rsidRDefault="00216E31" w:rsidP="00CD7CDE">
      <w:pPr>
        <w:pStyle w:val="SBSSmlouva"/>
        <w:ind w:left="426" w:hanging="426"/>
        <w:rPr>
          <w:rFonts w:cs="Arial"/>
          <w:szCs w:val="20"/>
        </w:rPr>
      </w:pPr>
      <w:r w:rsidRPr="00216E31">
        <w:t>Prodávající se zavazuje odevzdat zboží, kupujícímu a umožnit mu nabýt vlastnické právo k nim a nakládat s</w:t>
      </w:r>
      <w:r>
        <w:t> </w:t>
      </w:r>
      <w:r w:rsidR="00DE55A5">
        <w:t>ní</w:t>
      </w:r>
      <w:r w:rsidRPr="00216E31">
        <w:t>m</w:t>
      </w:r>
      <w:r>
        <w:t>.</w:t>
      </w:r>
    </w:p>
    <w:p w:rsidR="00216E31" w:rsidRDefault="00DE55A5" w:rsidP="00CD7CDE">
      <w:pPr>
        <w:pStyle w:val="SBSSmlouva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Zboží</w:t>
      </w:r>
      <w:r w:rsidR="00216E31" w:rsidRPr="00216E31">
        <w:rPr>
          <w:rFonts w:cs="Arial"/>
          <w:szCs w:val="20"/>
        </w:rPr>
        <w:t xml:space="preserve"> bude prodávajícím odevzdán</w:t>
      </w:r>
      <w:r>
        <w:rPr>
          <w:rFonts w:cs="Arial"/>
          <w:szCs w:val="20"/>
        </w:rPr>
        <w:t>o</w:t>
      </w:r>
      <w:r w:rsidR="00216E31" w:rsidRPr="00216E31">
        <w:rPr>
          <w:rFonts w:cs="Arial"/>
          <w:szCs w:val="20"/>
        </w:rPr>
        <w:t xml:space="preserve"> v souladu s příslušnými právními předpisy, ustanoveními této smlouvy, podmínkami uvedenými v zadávací dokumentaci k této veřejné zakázce</w:t>
      </w:r>
      <w:r w:rsidR="00216E31">
        <w:rPr>
          <w:rFonts w:cs="Arial"/>
          <w:szCs w:val="20"/>
        </w:rPr>
        <w:t>.</w:t>
      </w:r>
    </w:p>
    <w:p w:rsidR="00216E31" w:rsidRDefault="00216E31" w:rsidP="00CD7CDE">
      <w:pPr>
        <w:pStyle w:val="SBSSmlouva"/>
        <w:ind w:left="426" w:hanging="426"/>
        <w:rPr>
          <w:rFonts w:cs="Arial"/>
          <w:szCs w:val="20"/>
        </w:rPr>
      </w:pPr>
      <w:r w:rsidRPr="00216E31">
        <w:rPr>
          <w:rFonts w:cs="Arial"/>
          <w:szCs w:val="20"/>
        </w:rPr>
        <w:t xml:space="preserve">Kupující se zavazuje </w:t>
      </w:r>
      <w:r w:rsidR="00DE55A5">
        <w:rPr>
          <w:rFonts w:cs="Arial"/>
          <w:szCs w:val="20"/>
        </w:rPr>
        <w:t>zboží</w:t>
      </w:r>
      <w:r w:rsidRPr="00216E31">
        <w:rPr>
          <w:rFonts w:cs="Arial"/>
          <w:szCs w:val="20"/>
        </w:rPr>
        <w:t xml:space="preserve"> převzít a zaplatit za něj prodávajícímu kupní cenu</w:t>
      </w:r>
      <w:r>
        <w:rPr>
          <w:rFonts w:cs="Arial"/>
          <w:szCs w:val="20"/>
        </w:rPr>
        <w:t>.</w:t>
      </w:r>
    </w:p>
    <w:p w:rsidR="00216E31" w:rsidRDefault="00216E31" w:rsidP="00CD7CDE">
      <w:pPr>
        <w:pStyle w:val="SBSSmlouva"/>
        <w:ind w:left="426" w:hanging="426"/>
        <w:rPr>
          <w:rFonts w:cs="Arial"/>
          <w:szCs w:val="20"/>
        </w:rPr>
      </w:pPr>
      <w:r w:rsidRPr="00216E31">
        <w:rPr>
          <w:rFonts w:cs="Arial"/>
          <w:szCs w:val="20"/>
        </w:rPr>
        <w:t>Kup</w:t>
      </w:r>
      <w:r w:rsidR="00DE55A5">
        <w:rPr>
          <w:rFonts w:cs="Arial"/>
          <w:szCs w:val="20"/>
        </w:rPr>
        <w:t xml:space="preserve">ující </w:t>
      </w:r>
      <w:proofErr w:type="spellStart"/>
      <w:r w:rsidR="00DE55A5">
        <w:rPr>
          <w:rFonts w:cs="Arial"/>
          <w:szCs w:val="20"/>
        </w:rPr>
        <w:t>nabyde</w:t>
      </w:r>
      <w:proofErr w:type="spellEnd"/>
      <w:r w:rsidR="00DE55A5">
        <w:rPr>
          <w:rFonts w:cs="Arial"/>
          <w:szCs w:val="20"/>
        </w:rPr>
        <w:t xml:space="preserve"> vlastnické právo ke zboží</w:t>
      </w:r>
      <w:r w:rsidRPr="00216E31">
        <w:rPr>
          <w:rFonts w:cs="Arial"/>
          <w:szCs w:val="20"/>
        </w:rPr>
        <w:t xml:space="preserve"> jeho převzetím</w:t>
      </w:r>
      <w:r>
        <w:rPr>
          <w:rFonts w:cs="Arial"/>
          <w:szCs w:val="20"/>
        </w:rPr>
        <w:t>.</w:t>
      </w:r>
    </w:p>
    <w:p w:rsidR="00216E31" w:rsidRPr="005A3349" w:rsidRDefault="00216E31" w:rsidP="00CD7CDE">
      <w:pPr>
        <w:pStyle w:val="SBSSmlouva"/>
        <w:ind w:left="426" w:hanging="426"/>
        <w:rPr>
          <w:rFonts w:cs="Arial"/>
          <w:szCs w:val="20"/>
        </w:rPr>
      </w:pPr>
      <w:r w:rsidRPr="00216E31">
        <w:rPr>
          <w:rFonts w:cs="Arial"/>
          <w:szCs w:val="20"/>
        </w:rPr>
        <w:t>Součástí předmětu plnění je i doprava zboží do místa plnění</w:t>
      </w:r>
      <w:r w:rsidR="00DE55A5">
        <w:rPr>
          <w:rFonts w:cs="Arial"/>
          <w:szCs w:val="20"/>
        </w:rPr>
        <w:t xml:space="preserve"> a odvoz a ekologická likvidace použitého zboží.</w:t>
      </w:r>
    </w:p>
    <w:p w:rsidR="002D11FA" w:rsidRPr="009B6E94" w:rsidRDefault="002D11FA" w:rsidP="002D11FA">
      <w:pPr>
        <w:pStyle w:val="JVS2"/>
        <w:numPr>
          <w:ilvl w:val="0"/>
          <w:numId w:val="3"/>
        </w:numPr>
        <w:ind w:left="426" w:hanging="284"/>
      </w:pPr>
      <w:r>
        <w:t>Kupní cena</w:t>
      </w:r>
    </w:p>
    <w:p w:rsidR="009259BA" w:rsidRDefault="002D11FA" w:rsidP="002D11FA">
      <w:pPr>
        <w:pStyle w:val="SBSSmlouva"/>
        <w:numPr>
          <w:ilvl w:val="1"/>
          <w:numId w:val="7"/>
        </w:numPr>
        <w:ind w:left="426" w:hanging="426"/>
      </w:pPr>
      <w:bookmarkStart w:id="1" w:name="_Ref254619163"/>
      <w:r>
        <w:t xml:space="preserve">Kupní cena </w:t>
      </w:r>
      <w:r w:rsidR="00DE55A5">
        <w:t>zboží</w:t>
      </w:r>
      <w:r>
        <w:t xml:space="preserve"> dle článku II. této smlouvy je stanovena dohodou smluvních stran </w:t>
      </w:r>
      <w:r w:rsidR="009259BA">
        <w:t>a je specifikována v příloze č. 1 této smlouvy</w:t>
      </w:r>
      <w:r w:rsidR="006A4F43">
        <w:t xml:space="preserve"> jako „Jednotková cena bez DPH“</w:t>
      </w:r>
      <w:r w:rsidR="009259BA">
        <w:t xml:space="preserve">. </w:t>
      </w:r>
      <w:r w:rsidR="00A7787D" w:rsidRPr="00A7787D">
        <w:t xml:space="preserve">V případě, že bude kupující požadovat zboží v podobě adekvátní náhrady ke zboží v příloze č. 1 </w:t>
      </w:r>
      <w:r w:rsidR="00115A10">
        <w:t>smlouvy</w:t>
      </w:r>
      <w:r w:rsidR="00A7787D" w:rsidRPr="00A7787D">
        <w:t xml:space="preserve"> (viz čl. </w:t>
      </w:r>
      <w:r w:rsidR="00A7787D">
        <w:t>I</w:t>
      </w:r>
      <w:r w:rsidR="00A7787D" w:rsidRPr="00A7787D">
        <w:t>I. odst. 2</w:t>
      </w:r>
      <w:r w:rsidR="00115A10">
        <w:t>.,</w:t>
      </w:r>
      <w:r w:rsidR="00A7787D" w:rsidRPr="00A7787D">
        <w:t xml:space="preserve"> </w:t>
      </w:r>
      <w:r w:rsidR="00A7787D">
        <w:t>této smlouvy</w:t>
      </w:r>
      <w:r w:rsidR="00A7787D" w:rsidRPr="00A7787D">
        <w:t xml:space="preserve">), se </w:t>
      </w:r>
      <w:r w:rsidR="00A7787D">
        <w:t>smluvní strany dohodly</w:t>
      </w:r>
      <w:r w:rsidR="00A7787D" w:rsidRPr="00A7787D">
        <w:t xml:space="preserve"> na cenách stanovených v aktuálním ceníku prodávajícího, od kterých bude odečtena sleva ve výši</w:t>
      </w:r>
      <w:r w:rsidR="00A7787D" w:rsidRPr="00435CA3">
        <w:t xml:space="preserve"> </w:t>
      </w:r>
      <w:r w:rsidR="00435CA3" w:rsidRPr="00435CA3">
        <w:t>10</w:t>
      </w:r>
      <w:r w:rsidR="00A7787D" w:rsidRPr="00435CA3">
        <w:t>%</w:t>
      </w:r>
      <w:r w:rsidR="00435CA3" w:rsidRPr="00435CA3">
        <w:t xml:space="preserve">. </w:t>
      </w:r>
      <w:r w:rsidR="00A7787D" w:rsidRPr="00A7787D">
        <w:t xml:space="preserve">Pro ceny za zboží v podobě adekvátní náhrady ke zboží v příloze č. 1 </w:t>
      </w:r>
      <w:r w:rsidR="00115A10">
        <w:t>smlouvy</w:t>
      </w:r>
      <w:r w:rsidR="00A7787D" w:rsidRPr="00A7787D">
        <w:t xml:space="preserve"> (viz. </w:t>
      </w:r>
      <w:proofErr w:type="gramStart"/>
      <w:r w:rsidR="00A7787D" w:rsidRPr="00A7787D">
        <w:t>čl.</w:t>
      </w:r>
      <w:proofErr w:type="gramEnd"/>
      <w:r w:rsidR="00A7787D" w:rsidRPr="00A7787D">
        <w:t xml:space="preserve"> </w:t>
      </w:r>
      <w:r w:rsidR="00115A10">
        <w:t>I</w:t>
      </w:r>
      <w:r w:rsidR="00A7787D" w:rsidRPr="00A7787D">
        <w:t>I. odst. 2</w:t>
      </w:r>
      <w:r w:rsidR="00115A10">
        <w:t>.,</w:t>
      </w:r>
      <w:r w:rsidR="00A7787D" w:rsidRPr="00A7787D">
        <w:t xml:space="preserve"> </w:t>
      </w:r>
      <w:r w:rsidR="00115A10">
        <w:t>této smlouvy</w:t>
      </w:r>
      <w:r w:rsidR="00A7787D" w:rsidRPr="00A7787D">
        <w:t xml:space="preserve">) současně platí, že tato cena nesmí nikdy překročit původní kupní cenu za nahrazovaný typ zboží dle přílohy č. 1 </w:t>
      </w:r>
      <w:r w:rsidR="00115A10">
        <w:t xml:space="preserve">smlouvy. </w:t>
      </w:r>
      <w:r w:rsidR="009259BA">
        <w:t>Celkové plněn</w:t>
      </w:r>
      <w:r w:rsidR="00637D97">
        <w:t>í smlouvy je stanovené do výše 2</w:t>
      </w:r>
      <w:r w:rsidR="009259BA">
        <w:t> 000 tis. Kč bez DPH.</w:t>
      </w:r>
    </w:p>
    <w:p w:rsidR="002D11FA" w:rsidRDefault="002D11FA" w:rsidP="002D11FA">
      <w:pPr>
        <w:pStyle w:val="SBSSmlouva"/>
        <w:numPr>
          <w:ilvl w:val="1"/>
          <w:numId w:val="7"/>
        </w:numPr>
        <w:ind w:left="426" w:hanging="426"/>
      </w:pPr>
      <w:r>
        <w:t>Cena bez DPH uvedená v odst. 1. tohoto článku je dohodnuta jako nejvýše přípustná a platí po celou dobu účinnosti smlouvy.</w:t>
      </w:r>
    </w:p>
    <w:p w:rsidR="002D11FA" w:rsidRDefault="002D11FA" w:rsidP="002D11FA">
      <w:pPr>
        <w:pStyle w:val="SBSSmlouva"/>
        <w:numPr>
          <w:ilvl w:val="1"/>
          <w:numId w:val="7"/>
        </w:numPr>
        <w:ind w:left="426" w:hanging="426"/>
      </w:pPr>
      <w:r>
        <w:t>Součástí sjednané ceny bez DPH jsou veškeré náklady spojené s odevzdáním zboží v místě plnění a s úplným splněním této smlouvy.</w:t>
      </w:r>
    </w:p>
    <w:p w:rsidR="002D11FA" w:rsidRDefault="002D11FA" w:rsidP="002D11FA">
      <w:pPr>
        <w:pStyle w:val="SBSSmlouva"/>
        <w:numPr>
          <w:ilvl w:val="1"/>
          <w:numId w:val="7"/>
        </w:numPr>
        <w:ind w:left="426" w:hanging="426"/>
      </w:pPr>
      <w:r>
        <w:lastRenderedPageBreak/>
        <w:t>Smluvní strany se dohodly, že dojde-li v průběhu plnění předmětu této smlouvy ke změně zákonné sazby DPH stanovené pro příslušné plnění vyplývající z této smlouvy, je smluvní strana odpovědná za odvedení DPH povinna stanovit DPH v platné sazbě. O změně sazby není nutné uzavírat dodatek k této smlouvě.</w:t>
      </w:r>
    </w:p>
    <w:bookmarkEnd w:id="1"/>
    <w:p w:rsidR="00DE7628" w:rsidRPr="009B6E94" w:rsidRDefault="00144EEB" w:rsidP="00012D88">
      <w:pPr>
        <w:pStyle w:val="JVS2"/>
        <w:numPr>
          <w:ilvl w:val="0"/>
          <w:numId w:val="3"/>
        </w:numPr>
        <w:ind w:left="426" w:hanging="284"/>
      </w:pPr>
      <w:r>
        <w:t>Doba místo a způsob plnění</w:t>
      </w:r>
    </w:p>
    <w:p w:rsidR="00DE7628" w:rsidRDefault="00CA4783" w:rsidP="007E15E1">
      <w:pPr>
        <w:pStyle w:val="SBSSmlouva"/>
        <w:numPr>
          <w:ilvl w:val="1"/>
          <w:numId w:val="19"/>
        </w:numPr>
        <w:ind w:left="426" w:hanging="426"/>
      </w:pPr>
      <w:r>
        <w:t>Prodávající</w:t>
      </w:r>
      <w:r w:rsidR="005C0594" w:rsidRPr="00754198">
        <w:t xml:space="preserve"> </w:t>
      </w:r>
      <w:r w:rsidR="00DE7628" w:rsidRPr="00754198">
        <w:t xml:space="preserve">je povinen předat a </w:t>
      </w:r>
      <w:r>
        <w:t>kupující</w:t>
      </w:r>
      <w:r w:rsidR="00DE7628">
        <w:t xml:space="preserve"> </w:t>
      </w:r>
      <w:r w:rsidR="00DE7628" w:rsidRPr="00754198">
        <w:t>je povinen převzít plnění předmětu této smlouvy ve sjednané době, na sjednaném místě a způsobem a v kvalitě podle podmí</w:t>
      </w:r>
      <w:r w:rsidR="00DE7628">
        <w:t>nek dohodnutých v</w:t>
      </w:r>
      <w:r w:rsidR="0072094C">
        <w:t> </w:t>
      </w:r>
      <w:r w:rsidR="00DE7628">
        <w:t>této smlouvě.</w:t>
      </w:r>
    </w:p>
    <w:p w:rsidR="00E50D81" w:rsidRDefault="00144EEB" w:rsidP="00144EEB">
      <w:pPr>
        <w:pStyle w:val="SBSSmlouva"/>
        <w:numPr>
          <w:ilvl w:val="1"/>
          <w:numId w:val="19"/>
        </w:numPr>
        <w:ind w:left="426" w:hanging="426"/>
      </w:pPr>
      <w:r w:rsidRPr="00144EEB">
        <w:t xml:space="preserve">Plnění předmětu této smlouvy je poskytováno na základě požadavků </w:t>
      </w:r>
      <w:r>
        <w:t>kupujícího předávaných</w:t>
      </w:r>
      <w:r w:rsidRPr="00144EEB">
        <w:t xml:space="preserve"> </w:t>
      </w:r>
      <w:r>
        <w:t>prodávajícímu</w:t>
      </w:r>
      <w:r w:rsidR="00E50D81">
        <w:t xml:space="preserve"> v režimu 24x7</w:t>
      </w:r>
      <w:r w:rsidRPr="00144EEB">
        <w:t xml:space="preserve"> písemně prostřednictvím systému </w:t>
      </w:r>
      <w:proofErr w:type="spellStart"/>
      <w:r>
        <w:t>ServiceDesk</w:t>
      </w:r>
      <w:proofErr w:type="spellEnd"/>
      <w:r>
        <w:t xml:space="preserve"> na adrese: </w:t>
      </w:r>
      <w:r w:rsidR="00AA7AA3" w:rsidRPr="00AA7AA3">
        <w:t>vidaron.cz</w:t>
      </w:r>
      <w:r w:rsidRPr="00144EEB">
        <w:t xml:space="preserve"> nebo emailem na adresu: </w:t>
      </w:r>
      <w:r w:rsidR="00694EA4">
        <w:t>……</w:t>
      </w:r>
      <w:proofErr w:type="gramStart"/>
      <w:r w:rsidR="00694EA4">
        <w:t>…..</w:t>
      </w:r>
      <w:r w:rsidRPr="00144EEB">
        <w:t xml:space="preserve">. </w:t>
      </w:r>
      <w:r w:rsidR="00E50D81">
        <w:t>V rámci</w:t>
      </w:r>
      <w:proofErr w:type="gramEnd"/>
      <w:r w:rsidR="00E50D81">
        <w:t xml:space="preserve"> předaného požadavku kupující </w:t>
      </w:r>
      <w:r w:rsidR="00BD46C0">
        <w:t xml:space="preserve">uvede </w:t>
      </w:r>
      <w:r w:rsidR="00E50D81">
        <w:t xml:space="preserve">minimálně objednací číslo </w:t>
      </w:r>
      <w:r w:rsidR="00613685">
        <w:t xml:space="preserve">zboží </w:t>
      </w:r>
      <w:r w:rsidR="00E50D81">
        <w:t>a počet kusů požadovaného zboží.</w:t>
      </w:r>
    </w:p>
    <w:p w:rsidR="00144EEB" w:rsidRDefault="00144EEB" w:rsidP="007E15E1">
      <w:pPr>
        <w:pStyle w:val="SBSSmlouva"/>
        <w:numPr>
          <w:ilvl w:val="1"/>
          <w:numId w:val="19"/>
        </w:numPr>
        <w:ind w:left="426" w:hanging="426"/>
      </w:pPr>
      <w:r>
        <w:t xml:space="preserve">Prodávající </w:t>
      </w:r>
      <w:r w:rsidR="00E50D81" w:rsidRPr="00E50D81">
        <w:t xml:space="preserve">je povinen odevzdat </w:t>
      </w:r>
      <w:r w:rsidR="00BD46C0">
        <w:t xml:space="preserve">zboží </w:t>
      </w:r>
      <w:r w:rsidR="00E50D81" w:rsidRPr="00E50D81">
        <w:t xml:space="preserve">kupujícímu </w:t>
      </w:r>
      <w:r w:rsidR="00E50D81">
        <w:t>následující</w:t>
      </w:r>
      <w:r w:rsidR="00D91227">
        <w:t xml:space="preserve"> pracovní</w:t>
      </w:r>
      <w:r w:rsidR="00E50D81">
        <w:t xml:space="preserve"> d</w:t>
      </w:r>
      <w:r w:rsidR="00D91227">
        <w:t>e</w:t>
      </w:r>
      <w:r w:rsidR="00E50D81">
        <w:t>n (NBD</w:t>
      </w:r>
      <w:r w:rsidR="00D91227">
        <w:t>) od data předání požadavku kupujícím.</w:t>
      </w:r>
    </w:p>
    <w:p w:rsidR="00D91227" w:rsidRDefault="00D91227" w:rsidP="007E15E1">
      <w:pPr>
        <w:pStyle w:val="SBSSmlouva"/>
        <w:numPr>
          <w:ilvl w:val="1"/>
          <w:numId w:val="15"/>
        </w:numPr>
        <w:ind w:left="426" w:hanging="426"/>
      </w:pPr>
      <w:r w:rsidRPr="00D91227">
        <w:t xml:space="preserve">Místem odevzdání a převzetí </w:t>
      </w:r>
      <w:r w:rsidR="00613685">
        <w:t xml:space="preserve">zboží </w:t>
      </w:r>
      <w:r w:rsidRPr="00D91227">
        <w:t xml:space="preserve">je </w:t>
      </w:r>
      <w:r>
        <w:t>pracoviště</w:t>
      </w:r>
      <w:r w:rsidRPr="00D91227">
        <w:t xml:space="preserve"> kupujícího </w:t>
      </w:r>
      <w:r w:rsidR="00694EA4">
        <w:t>………………</w:t>
      </w:r>
      <w:proofErr w:type="gramStart"/>
      <w:r w:rsidR="00694EA4">
        <w:t>…..</w:t>
      </w:r>
      <w:proofErr w:type="gramEnd"/>
    </w:p>
    <w:p w:rsidR="00D91227" w:rsidRDefault="00D91227" w:rsidP="00257005">
      <w:pPr>
        <w:pStyle w:val="SBSSmlouva"/>
        <w:numPr>
          <w:ilvl w:val="1"/>
          <w:numId w:val="15"/>
        </w:numPr>
        <w:ind w:left="426" w:hanging="426"/>
      </w:pPr>
      <w:r w:rsidRPr="00D91227">
        <w:t xml:space="preserve">Prodávající je povinen odevzdat </w:t>
      </w:r>
      <w:r w:rsidR="00BD46C0">
        <w:t>zboží</w:t>
      </w:r>
      <w:r w:rsidRPr="00D91227">
        <w:t xml:space="preserve"> v ujednaném provedení, množství a jakosti vhodné pro účel patrný z této smlouvy</w:t>
      </w:r>
      <w:r>
        <w:t>.</w:t>
      </w:r>
      <w:r w:rsidR="00257005">
        <w:t xml:space="preserve"> Zboží musí být zabalené v originálním nepoškozeném obalu bez přelepů zabraňujícím identifikaci a nesmí být s datem výroby starším než 12 měsíců přede dnem doručení objednávky prodávajícímu.</w:t>
      </w:r>
    </w:p>
    <w:p w:rsidR="00257005" w:rsidRDefault="00257005" w:rsidP="00257005">
      <w:pPr>
        <w:pStyle w:val="SBSSmlouva"/>
        <w:numPr>
          <w:ilvl w:val="1"/>
          <w:numId w:val="15"/>
        </w:numPr>
        <w:ind w:left="426" w:hanging="426"/>
      </w:pPr>
      <w:r w:rsidRPr="00257005">
        <w:t>Zboží a to každá položka zvláště, musí splňovat technické požadavky s ohledem na ochranu zdraví a životního prostředí, bezpečnost osob a majetku ve smyslu nařízení č ES c 1272/2008., o technických požadavcích na výrobky a o změně a doplnění některých zákonů, ve znění pozdějších předpisů (dále jen „ nařízení č ES c 1272/2008“)</w:t>
      </w:r>
      <w:r>
        <w:t>.</w:t>
      </w:r>
    </w:p>
    <w:p w:rsidR="00257005" w:rsidRDefault="00257005" w:rsidP="00257005">
      <w:pPr>
        <w:pStyle w:val="SBSSmlouva"/>
        <w:numPr>
          <w:ilvl w:val="1"/>
          <w:numId w:val="15"/>
        </w:numPr>
        <w:ind w:left="426" w:hanging="426"/>
      </w:pPr>
      <w:r>
        <w:t>Zboží</w:t>
      </w:r>
      <w:r w:rsidRPr="00257005">
        <w:t xml:space="preserve"> včetně je</w:t>
      </w:r>
      <w:r>
        <w:t>ho</w:t>
      </w:r>
      <w:r w:rsidRPr="00257005">
        <w:t xml:space="preserve"> součástí a obalu nesmí porušovat patentová práva třetích stran v ČR a EU</w:t>
      </w:r>
      <w:r>
        <w:t>.</w:t>
      </w:r>
    </w:p>
    <w:p w:rsidR="00D91227" w:rsidRPr="00D91227" w:rsidRDefault="00D91227" w:rsidP="00D91227">
      <w:pPr>
        <w:pStyle w:val="SBSSmlouva"/>
        <w:numPr>
          <w:ilvl w:val="1"/>
          <w:numId w:val="15"/>
        </w:numPr>
        <w:ind w:left="426" w:hanging="426"/>
      </w:pPr>
      <w:r w:rsidRPr="00D91227">
        <w:t xml:space="preserve">Nebezpečí škody na </w:t>
      </w:r>
      <w:r w:rsidR="00BD46C0">
        <w:t>zboží</w:t>
      </w:r>
      <w:r w:rsidRPr="00D91227">
        <w:t xml:space="preserve"> přechází na kupujícího okamžikem jeho převzetí kupujícím.</w:t>
      </w:r>
    </w:p>
    <w:p w:rsidR="00D91227" w:rsidRPr="00D91227" w:rsidRDefault="00D91227" w:rsidP="00D91227">
      <w:pPr>
        <w:pStyle w:val="SBSSmlouva"/>
        <w:numPr>
          <w:ilvl w:val="1"/>
          <w:numId w:val="15"/>
        </w:numPr>
        <w:ind w:left="426" w:hanging="426"/>
      </w:pPr>
      <w:r w:rsidRPr="00D91227">
        <w:t xml:space="preserve">Převzetí </w:t>
      </w:r>
      <w:r w:rsidR="00BD46C0">
        <w:t>zboží</w:t>
      </w:r>
      <w:r w:rsidRPr="00D91227">
        <w:t xml:space="preserve"> kupující potvrdí na příslušném dokladu – </w:t>
      </w:r>
      <w:r>
        <w:t xml:space="preserve">dodacím </w:t>
      </w:r>
      <w:proofErr w:type="gramStart"/>
      <w:r>
        <w:t>listu</w:t>
      </w:r>
      <w:proofErr w:type="gramEnd"/>
      <w:r w:rsidRPr="00D91227">
        <w:t>, který bude obsahovat soupis prodávajícím odevzdan</w:t>
      </w:r>
      <w:r w:rsidR="009D084A">
        <w:t>ého</w:t>
      </w:r>
      <w:r w:rsidRPr="00D91227">
        <w:t xml:space="preserve"> a kupujícím převzat</w:t>
      </w:r>
      <w:r w:rsidR="009D084A">
        <w:t>ého zboží</w:t>
      </w:r>
      <w:r w:rsidRPr="00D91227">
        <w:t>, včetně dokladů, které se k</w:t>
      </w:r>
      <w:r w:rsidR="009D084A">
        <w:t>e zboží</w:t>
      </w:r>
      <w:r w:rsidRPr="00D91227">
        <w:t xml:space="preserve"> vztahují, jsou potřebné k nabytí vlastnického práva a k jeho řádnému užívání.</w:t>
      </w:r>
    </w:p>
    <w:p w:rsidR="00D91227" w:rsidRPr="00D91227" w:rsidRDefault="00D91227" w:rsidP="00D91227">
      <w:pPr>
        <w:pStyle w:val="SBSSmlouva"/>
        <w:numPr>
          <w:ilvl w:val="1"/>
          <w:numId w:val="15"/>
        </w:numPr>
        <w:ind w:left="426" w:hanging="426"/>
      </w:pPr>
      <w:r w:rsidRPr="00D91227">
        <w:t xml:space="preserve">Kupující při převzetí </w:t>
      </w:r>
      <w:r w:rsidR="00BD46C0">
        <w:t>zboží</w:t>
      </w:r>
      <w:r w:rsidRPr="00D91227">
        <w:t xml:space="preserve"> prohlédne a s vynaložením obvyklé pozornosti provede kontrolu:</w:t>
      </w:r>
    </w:p>
    <w:p w:rsidR="00D91227" w:rsidRPr="00D91227" w:rsidRDefault="00D91227" w:rsidP="00DE55A5">
      <w:pPr>
        <w:pStyle w:val="SBSSmlouva"/>
        <w:numPr>
          <w:ilvl w:val="1"/>
          <w:numId w:val="38"/>
        </w:numPr>
        <w:ind w:left="1134" w:hanging="425"/>
        <w:contextualSpacing/>
      </w:pPr>
      <w:r w:rsidRPr="00D91227">
        <w:t>dodaného provedení a množství,</w:t>
      </w:r>
    </w:p>
    <w:p w:rsidR="00D91227" w:rsidRPr="00D91227" w:rsidRDefault="00D91227" w:rsidP="00DE55A5">
      <w:pPr>
        <w:pStyle w:val="SBSSmlouva"/>
        <w:numPr>
          <w:ilvl w:val="1"/>
          <w:numId w:val="38"/>
        </w:numPr>
        <w:ind w:left="1134" w:hanging="425"/>
        <w:contextualSpacing/>
      </w:pPr>
      <w:r w:rsidRPr="00D91227">
        <w:t>zjevných jakostních vlastností,</w:t>
      </w:r>
    </w:p>
    <w:p w:rsidR="00D91227" w:rsidRPr="00D91227" w:rsidRDefault="00D91227" w:rsidP="00DE55A5">
      <w:pPr>
        <w:pStyle w:val="SBSSmlouva"/>
        <w:numPr>
          <w:ilvl w:val="1"/>
          <w:numId w:val="38"/>
        </w:numPr>
        <w:ind w:left="1134" w:hanging="425"/>
        <w:contextualSpacing/>
      </w:pPr>
      <w:r w:rsidRPr="00D91227">
        <w:t>dodaných dokladů.</w:t>
      </w:r>
    </w:p>
    <w:p w:rsidR="00BD46C0" w:rsidRDefault="00D91227" w:rsidP="00D91227">
      <w:pPr>
        <w:pStyle w:val="SBSSmlouva"/>
        <w:numPr>
          <w:ilvl w:val="1"/>
          <w:numId w:val="15"/>
        </w:numPr>
        <w:ind w:left="426" w:hanging="426"/>
      </w:pPr>
      <w:r w:rsidRPr="00D91227">
        <w:t xml:space="preserve">V případě vad zjištěných při </w:t>
      </w:r>
      <w:r w:rsidR="00BD46C0">
        <w:t>předání zboží</w:t>
      </w:r>
      <w:r w:rsidRPr="00D91227">
        <w:t xml:space="preserve"> může kupující odmítnout převzetí jeho vadné části nebo celého předmětu </w:t>
      </w:r>
      <w:r w:rsidR="009D084A">
        <w:t>plnění</w:t>
      </w:r>
      <w:r w:rsidRPr="00D91227">
        <w:t>, což s důvody uvede v</w:t>
      </w:r>
      <w:r>
        <w:t> dodacím listu.</w:t>
      </w:r>
    </w:p>
    <w:p w:rsidR="00B40CE3" w:rsidRPr="00D91227" w:rsidRDefault="00B40CE3" w:rsidP="00B40CE3">
      <w:pPr>
        <w:pStyle w:val="SBSSmlouva"/>
        <w:numPr>
          <w:ilvl w:val="1"/>
          <w:numId w:val="15"/>
        </w:numPr>
      </w:pPr>
      <w:r>
        <w:t>Prodávající zajistí na své ná</w:t>
      </w:r>
      <w:r w:rsidRPr="00B40CE3">
        <w:t>klady zpětný odběr prázdných náplní a poskytne odběrateli potvrzení o jejich ekologické recyklaci a likvidaci</w:t>
      </w:r>
      <w:r>
        <w:t>.</w:t>
      </w:r>
    </w:p>
    <w:p w:rsidR="00D91227" w:rsidRPr="009B6E94" w:rsidRDefault="00D91227" w:rsidP="00D91227">
      <w:pPr>
        <w:pStyle w:val="JVS2"/>
        <w:numPr>
          <w:ilvl w:val="0"/>
          <w:numId w:val="3"/>
        </w:numPr>
        <w:ind w:left="426" w:hanging="284"/>
      </w:pPr>
      <w:r w:rsidRPr="00D91227">
        <w:t>Práva z vadného plnění a záruka za jakost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t>Práva kupujícího z vadného plnění se řídí příslušnými ustanoveními občanského zákoníku.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t xml:space="preserve">Prodávající poskytuje na </w:t>
      </w:r>
      <w:r w:rsidR="00DE55A5">
        <w:t>zboží</w:t>
      </w:r>
      <w:r>
        <w:t xml:space="preserve"> podle čl. II., odst. 1. záruku za jakost ve smyslu § 2113 a </w:t>
      </w:r>
      <w:proofErr w:type="spellStart"/>
      <w:r>
        <w:t>násl</w:t>
      </w:r>
      <w:proofErr w:type="spellEnd"/>
      <w:r>
        <w:t xml:space="preserve">. občanského zákoníku v době trvání 6 měsíců. 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t xml:space="preserve">Záruční doba běží od odevzdání </w:t>
      </w:r>
      <w:r w:rsidR="00DE55A5">
        <w:t>zboží</w:t>
      </w:r>
      <w:r>
        <w:t xml:space="preserve"> kupujícímu. Záruční doba se staví po dobu, po kterou nemůže kupující </w:t>
      </w:r>
      <w:r w:rsidR="00DE55A5">
        <w:t>zboží</w:t>
      </w:r>
      <w:r>
        <w:t xml:space="preserve"> řádně užívat pro vady, za které nese odpovědnost prodávající.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lastRenderedPageBreak/>
        <w:t xml:space="preserve">V případě zjištění vady na </w:t>
      </w:r>
      <w:r w:rsidR="00DE55A5">
        <w:t>zboží</w:t>
      </w:r>
      <w:r>
        <w:t xml:space="preserve"> v záruční době, oznámí kupující prodávajícímu její výskyt, popíše, jak se projevuje a sdělí, že požaduje zahájení bezplatného odstranění vady </w:t>
      </w:r>
      <w:r w:rsidR="0091479D">
        <w:t xml:space="preserve">výměnou zboží </w:t>
      </w:r>
      <w:r>
        <w:t xml:space="preserve">v místě plnění uvedeném v odst. </w:t>
      </w:r>
      <w:r w:rsidR="00640399">
        <w:t>4</w:t>
      </w:r>
      <w:r>
        <w:t xml:space="preserve"> článku IV. této smlouvy a to nejpozději do konce následujícího pracovního dne po nahlášení vady kupujícím (NBD).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t>Veškeré vady zboží je kupující povinen uplatnit u prodávajícího bez zbytečného odkladu poté, kdy vadu zjistil, a to na</w:t>
      </w:r>
      <w:r w:rsidR="00640399">
        <w:t xml:space="preserve"> adrese </w:t>
      </w:r>
      <w:proofErr w:type="spellStart"/>
      <w:r w:rsidR="00640399">
        <w:t>ServiceDesk</w:t>
      </w:r>
      <w:proofErr w:type="spellEnd"/>
      <w:r w:rsidR="00640399">
        <w:t xml:space="preserve"> nebo emailu uvedené v čl. IV. odst. 2., této smlouvy,</w:t>
      </w:r>
      <w:r>
        <w:t xml:space="preserve"> formou písemného oznámení s uvedením co nejpodrobnější specifikace zjištěné vady. 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t xml:space="preserve">Na </w:t>
      </w:r>
      <w:r w:rsidR="00DE55A5">
        <w:t>zboží</w:t>
      </w:r>
      <w:r>
        <w:t xml:space="preserve"> opraven</w:t>
      </w:r>
      <w:r w:rsidR="00DE55A5">
        <w:t>é</w:t>
      </w:r>
      <w:r>
        <w:t xml:space="preserve"> nebo vyměněn</w:t>
      </w:r>
      <w:r w:rsidR="00DE55A5">
        <w:t>é</w:t>
      </w:r>
      <w:r>
        <w:t xml:space="preserve"> v záruční době, která je součástí předmětu </w:t>
      </w:r>
      <w:r w:rsidR="00DE55A5">
        <w:t>plnění</w:t>
      </w:r>
      <w:r>
        <w:t>, běží záruční doba ve stejné délce jako je sjednána v odst. 2. tohoto článku této smlouvy.</w:t>
      </w:r>
    </w:p>
    <w:p w:rsidR="00D91227" w:rsidRDefault="00D91227" w:rsidP="00D91227">
      <w:pPr>
        <w:pStyle w:val="SBSSmlouva"/>
        <w:numPr>
          <w:ilvl w:val="1"/>
          <w:numId w:val="16"/>
        </w:numPr>
        <w:ind w:left="426" w:hanging="426"/>
      </w:pPr>
      <w:r>
        <w:t xml:space="preserve">Prodávající prohlašuje, že na </w:t>
      </w:r>
      <w:r w:rsidR="00DE55A5">
        <w:t>zboží</w:t>
      </w:r>
      <w:r>
        <w:t xml:space="preserve"> neváznou žádné dluhy, zástavní práva, jiné právní povinnosti vůči třetím osobám ani jiné závady</w:t>
      </w:r>
      <w:r w:rsidR="00DE55A5">
        <w:t>.</w:t>
      </w:r>
    </w:p>
    <w:bookmarkEnd w:id="0"/>
    <w:p w:rsidR="00DE1E4B" w:rsidRPr="009B6E94" w:rsidRDefault="00120D17" w:rsidP="00012D88">
      <w:pPr>
        <w:pStyle w:val="JVS2"/>
        <w:numPr>
          <w:ilvl w:val="0"/>
          <w:numId w:val="3"/>
        </w:numPr>
        <w:ind w:left="426" w:hanging="284"/>
      </w:pPr>
      <w:r w:rsidRPr="009B6E94">
        <w:t>Platební podmínky</w:t>
      </w:r>
    </w:p>
    <w:p w:rsidR="001D2228" w:rsidRPr="001D2228" w:rsidRDefault="00722144" w:rsidP="007E15E1">
      <w:pPr>
        <w:pStyle w:val="SBSSmlouva"/>
        <w:numPr>
          <w:ilvl w:val="1"/>
          <w:numId w:val="8"/>
        </w:numPr>
        <w:ind w:left="426" w:hanging="426"/>
      </w:pPr>
      <w:r>
        <w:t>Zálohy nejsou sjednány.</w:t>
      </w:r>
    </w:p>
    <w:p w:rsidR="007E3CCB" w:rsidRDefault="00874F53" w:rsidP="007E15E1">
      <w:pPr>
        <w:pStyle w:val="SBSSmlouva"/>
        <w:numPr>
          <w:ilvl w:val="1"/>
          <w:numId w:val="8"/>
        </w:numPr>
        <w:ind w:left="426" w:hanging="426"/>
      </w:pPr>
      <w:r w:rsidRPr="00722B69">
        <w:t xml:space="preserve">Podkladem pro úhradu smluvní </w:t>
      </w:r>
      <w:r w:rsidR="004F495E">
        <w:t>cen</w:t>
      </w:r>
      <w:r w:rsidR="001D2228">
        <w:t xml:space="preserve">y </w:t>
      </w:r>
      <w:r w:rsidRPr="00722B69">
        <w:t>je vyúčtování nazvané faktura (dále jen „faktura“), které bude mít náležitosti daňového dokladu dle § 2</w:t>
      </w:r>
      <w:r w:rsidR="00B71836">
        <w:t>9</w:t>
      </w:r>
      <w:r w:rsidRPr="00722B69">
        <w:t xml:space="preserve"> zákona č. 235/2004 Sb., o dani z přidané hodnoty, v</w:t>
      </w:r>
      <w:r w:rsidR="001D2228">
        <w:t>e znění pozdějších předpisů</w:t>
      </w:r>
      <w:r w:rsidRPr="00722B69">
        <w:t>.</w:t>
      </w:r>
    </w:p>
    <w:p w:rsidR="00722144" w:rsidRDefault="00722144" w:rsidP="007E15E1">
      <w:pPr>
        <w:pStyle w:val="SBSSmlouva"/>
        <w:numPr>
          <w:ilvl w:val="1"/>
          <w:numId w:val="8"/>
        </w:numPr>
        <w:ind w:left="426" w:hanging="426"/>
      </w:pPr>
      <w:r w:rsidRPr="00722144">
        <w:t xml:space="preserve">Faktura bude vystavena do 10 dnů po podpisu </w:t>
      </w:r>
      <w:r>
        <w:t>dodacího listu</w:t>
      </w:r>
      <w:r w:rsidRPr="00722144">
        <w:t xml:space="preserve"> kupujícím</w:t>
      </w:r>
    </w:p>
    <w:p w:rsidR="00874F53" w:rsidRPr="00722B69" w:rsidRDefault="00874F53" w:rsidP="007E15E1">
      <w:pPr>
        <w:pStyle w:val="SBSSmlouva"/>
        <w:numPr>
          <w:ilvl w:val="1"/>
          <w:numId w:val="8"/>
        </w:numPr>
        <w:ind w:left="426" w:hanging="426"/>
      </w:pPr>
      <w:r w:rsidRPr="00722B69">
        <w:t xml:space="preserve">Kromě náležitostí stanovených platnými právními předpisy pro daňový doklad je </w:t>
      </w:r>
      <w:r w:rsidR="00CA4783">
        <w:t>prodávající</w:t>
      </w:r>
      <w:r w:rsidRPr="00722B69">
        <w:t xml:space="preserve"> povin</w:t>
      </w:r>
      <w:r w:rsidR="00C42E47">
        <w:t>e</w:t>
      </w:r>
      <w:r w:rsidRPr="00722B69">
        <w:t>n ve faktuře uvést i tyto údaje: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číslo a datum vystavení faktury,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číslo s</w:t>
      </w:r>
      <w:r w:rsidR="009B3237">
        <w:rPr>
          <w:sz w:val="22"/>
          <w:szCs w:val="22"/>
        </w:rPr>
        <w:t>mlouvy a datum jejího uzavření,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 xml:space="preserve">předmět </w:t>
      </w:r>
      <w:r w:rsidR="0091479D">
        <w:rPr>
          <w:sz w:val="22"/>
          <w:szCs w:val="22"/>
        </w:rPr>
        <w:t>plnění</w:t>
      </w:r>
      <w:r w:rsidRPr="004F1443">
        <w:rPr>
          <w:sz w:val="22"/>
          <w:szCs w:val="22"/>
        </w:rPr>
        <w:t xml:space="preserve"> a jeho přesnou specifikaci ve slovním vyjádření (nestačí pouze odkaz na číslo uzavřené smlouvy),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označení banky a číslo účtu, na který musí být zaplaceno,</w:t>
      </w:r>
    </w:p>
    <w:p w:rsidR="00874F53" w:rsidRPr="004F1443" w:rsidRDefault="00DE1D21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dobu</w:t>
      </w:r>
      <w:r w:rsidR="00874F53" w:rsidRPr="004F1443">
        <w:rPr>
          <w:sz w:val="22"/>
          <w:szCs w:val="22"/>
        </w:rPr>
        <w:t xml:space="preserve"> splatnosti faktury,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>název, sídlo, IČ</w:t>
      </w:r>
      <w:r w:rsidR="0014340E">
        <w:rPr>
          <w:sz w:val="22"/>
          <w:szCs w:val="22"/>
        </w:rPr>
        <w:t>O</w:t>
      </w:r>
      <w:r w:rsidRPr="004F1443">
        <w:rPr>
          <w:sz w:val="22"/>
          <w:szCs w:val="22"/>
        </w:rPr>
        <w:t xml:space="preserve"> a DIČ </w:t>
      </w:r>
      <w:r w:rsidR="00CA4783">
        <w:rPr>
          <w:sz w:val="22"/>
          <w:szCs w:val="22"/>
        </w:rPr>
        <w:t>kupující</w:t>
      </w:r>
      <w:r w:rsidR="00722144">
        <w:rPr>
          <w:sz w:val="22"/>
          <w:szCs w:val="22"/>
        </w:rPr>
        <w:t>ho</w:t>
      </w:r>
      <w:r w:rsidR="00FC6492" w:rsidRPr="004F1443">
        <w:rPr>
          <w:sz w:val="22"/>
          <w:szCs w:val="22"/>
        </w:rPr>
        <w:t xml:space="preserve"> </w:t>
      </w:r>
      <w:r w:rsidRPr="004F1443">
        <w:rPr>
          <w:sz w:val="22"/>
          <w:szCs w:val="22"/>
        </w:rPr>
        <w:t xml:space="preserve">a </w:t>
      </w:r>
      <w:r w:rsidR="00CA4783">
        <w:rPr>
          <w:sz w:val="22"/>
          <w:szCs w:val="22"/>
        </w:rPr>
        <w:t>prodávající</w:t>
      </w:r>
      <w:r w:rsidR="00722144">
        <w:rPr>
          <w:sz w:val="22"/>
          <w:szCs w:val="22"/>
        </w:rPr>
        <w:t>ho</w:t>
      </w:r>
      <w:r w:rsidRPr="004F1443">
        <w:rPr>
          <w:sz w:val="22"/>
          <w:szCs w:val="22"/>
        </w:rPr>
        <w:t>,</w:t>
      </w:r>
    </w:p>
    <w:p w:rsidR="00874F53" w:rsidRPr="004F1443" w:rsidRDefault="00874F53" w:rsidP="0014340E">
      <w:pPr>
        <w:numPr>
          <w:ilvl w:val="1"/>
          <w:numId w:val="1"/>
        </w:numPr>
        <w:tabs>
          <w:tab w:val="clear" w:pos="1440"/>
          <w:tab w:val="left" w:pos="426"/>
          <w:tab w:val="num" w:pos="1134"/>
        </w:tabs>
        <w:spacing w:before="120"/>
        <w:ind w:left="1134" w:hanging="425"/>
        <w:jc w:val="both"/>
        <w:rPr>
          <w:sz w:val="22"/>
          <w:szCs w:val="22"/>
        </w:rPr>
      </w:pPr>
      <w:r w:rsidRPr="004F1443">
        <w:rPr>
          <w:sz w:val="22"/>
          <w:szCs w:val="22"/>
        </w:rPr>
        <w:t xml:space="preserve">jméno a </w:t>
      </w:r>
      <w:r w:rsidR="0014340E">
        <w:rPr>
          <w:sz w:val="22"/>
          <w:szCs w:val="22"/>
        </w:rPr>
        <w:t xml:space="preserve">příjmení </w:t>
      </w:r>
      <w:r w:rsidR="00231E29">
        <w:rPr>
          <w:sz w:val="22"/>
          <w:szCs w:val="22"/>
        </w:rPr>
        <w:t xml:space="preserve">osoby, která fakturu vystavila, včetně jejího </w:t>
      </w:r>
      <w:r w:rsidR="00DE1D21">
        <w:rPr>
          <w:sz w:val="22"/>
          <w:szCs w:val="22"/>
        </w:rPr>
        <w:t>kontaktního telefonu.</w:t>
      </w:r>
    </w:p>
    <w:p w:rsidR="00874F53" w:rsidRDefault="001D2228" w:rsidP="007E15E1">
      <w:pPr>
        <w:pStyle w:val="SBSSmlouva"/>
        <w:numPr>
          <w:ilvl w:val="1"/>
          <w:numId w:val="8"/>
        </w:numPr>
        <w:ind w:left="426" w:hanging="426"/>
      </w:pPr>
      <w:r>
        <w:t>Doba</w:t>
      </w:r>
      <w:r w:rsidR="00874F53" w:rsidRPr="00722B69">
        <w:t xml:space="preserve"> splatnosti faktury činí </w:t>
      </w:r>
      <w:r w:rsidR="009B3237">
        <w:t>15</w:t>
      </w:r>
      <w:r w:rsidR="005A1C02" w:rsidRPr="00722B69">
        <w:t xml:space="preserve"> </w:t>
      </w:r>
      <w:r w:rsidR="00874F53" w:rsidRPr="00722B69">
        <w:t xml:space="preserve">kalendářních dnů po jejím doručení </w:t>
      </w:r>
      <w:r w:rsidR="00CA4783">
        <w:t>kupující</w:t>
      </w:r>
      <w:r w:rsidR="0091479D">
        <w:t>mu</w:t>
      </w:r>
      <w:r w:rsidR="00874F53" w:rsidRPr="00722B69">
        <w:t>.</w:t>
      </w:r>
      <w:r w:rsidR="009B3237">
        <w:t xml:space="preserve"> Pro ostatní platby </w:t>
      </w:r>
      <w:r w:rsidR="009B3237" w:rsidRPr="00722B69">
        <w:t>(např. úroků z prodlení, smluv</w:t>
      </w:r>
      <w:r w:rsidR="009B3237">
        <w:t xml:space="preserve">ních pokut, náhrady škody aj.) </w:t>
      </w:r>
      <w:r w:rsidR="009B3237" w:rsidRPr="00722B69">
        <w:t xml:space="preserve">smluvní strany </w:t>
      </w:r>
      <w:r w:rsidR="009B3237">
        <w:t>sjednávají</w:t>
      </w:r>
      <w:r w:rsidR="00874F53" w:rsidRPr="00722B69">
        <w:t xml:space="preserve"> </w:t>
      </w:r>
      <w:r w:rsidR="00137FA2">
        <w:t>1</w:t>
      </w:r>
      <w:r w:rsidR="00FE6EF3">
        <w:t xml:space="preserve">0 denní </w:t>
      </w:r>
      <w:r>
        <w:t>dob</w:t>
      </w:r>
      <w:r w:rsidR="00986AC5">
        <w:t>u</w:t>
      </w:r>
      <w:r w:rsidR="009B3237">
        <w:t xml:space="preserve"> splatnosti.</w:t>
      </w:r>
    </w:p>
    <w:p w:rsidR="00D45563" w:rsidRPr="00D45563" w:rsidRDefault="00D45563" w:rsidP="007E15E1">
      <w:pPr>
        <w:pStyle w:val="SBSSmlouva"/>
        <w:numPr>
          <w:ilvl w:val="1"/>
          <w:numId w:val="8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26" w:hanging="426"/>
        <w:rPr>
          <w:rFonts w:cs="Arial"/>
          <w:szCs w:val="22"/>
        </w:rPr>
      </w:pPr>
      <w:r w:rsidRPr="00D45563">
        <w:rPr>
          <w:rFonts w:cs="Arial"/>
          <w:szCs w:val="22"/>
        </w:rPr>
        <w:t xml:space="preserve">Faktura bude zpracována v souladu s vyhláškou č. 410/2009 Sb., kterou se provádějí některá ustanovení zákona č. 563/1991 Sb., o účetnictví, ve znění pozdějších předpisů, pro některé vybrané účetní jednotky, ve znění pozdějších předpisů. Rovněž bude ve faktuře uplatněn </w:t>
      </w:r>
      <w:r w:rsidR="00137FA2">
        <w:rPr>
          <w:rFonts w:cs="Arial"/>
          <w:szCs w:val="22"/>
        </w:rPr>
        <w:t xml:space="preserve">aktuální </w:t>
      </w:r>
      <w:r w:rsidRPr="00D45563">
        <w:rPr>
          <w:rFonts w:cs="Arial"/>
          <w:szCs w:val="22"/>
        </w:rPr>
        <w:t>Pokyn GFŘ k jednotnému postupu při uplatňování některých ustanovení zákona č. 586/1992 Sb., o daních z příjmů, ve znění pozdějších předpisů</w:t>
      </w:r>
      <w:r w:rsidR="00137FA2">
        <w:rPr>
          <w:rFonts w:cs="Arial"/>
          <w:szCs w:val="22"/>
        </w:rPr>
        <w:t>.</w:t>
      </w:r>
    </w:p>
    <w:p w:rsidR="00874F53" w:rsidRPr="00722B69" w:rsidRDefault="00874F53" w:rsidP="007E15E1">
      <w:pPr>
        <w:pStyle w:val="SBSSmlouva"/>
        <w:numPr>
          <w:ilvl w:val="1"/>
          <w:numId w:val="8"/>
        </w:numPr>
        <w:ind w:left="426" w:hanging="426"/>
      </w:pPr>
      <w:r w:rsidRPr="00722B69">
        <w:t xml:space="preserve">Nebude-li faktura obsahovat některou povinnou nebo dohodnutou náležitost nebo bude chybně vyúčtována </w:t>
      </w:r>
      <w:r w:rsidR="00C41F2F">
        <w:t>cena</w:t>
      </w:r>
      <w:r w:rsidR="00C41F2F" w:rsidRPr="00722B69">
        <w:t xml:space="preserve"> </w:t>
      </w:r>
      <w:r w:rsidRPr="00722B69">
        <w:t xml:space="preserve">nebo DPH, je </w:t>
      </w:r>
      <w:r w:rsidR="00CA4783">
        <w:t>kupující</w:t>
      </w:r>
      <w:r w:rsidRPr="00722B69">
        <w:t xml:space="preserve"> oprávněn fakturu před uplynutím </w:t>
      </w:r>
      <w:r w:rsidR="00374AE0">
        <w:t>doby</w:t>
      </w:r>
      <w:r w:rsidRPr="00722B69">
        <w:t xml:space="preserve"> splatnosti vrátit druhé smluvní straně k provedení opravy s vyznačením důvodu vrácení. </w:t>
      </w:r>
      <w:r w:rsidR="00CA4783">
        <w:t>Prodávající</w:t>
      </w:r>
      <w:r w:rsidR="004F495E" w:rsidRPr="00722B69">
        <w:t xml:space="preserve"> </w:t>
      </w:r>
      <w:r w:rsidRPr="00722B69">
        <w:t xml:space="preserve">provede opravu vystavením nové faktury. Od doby odeslání </w:t>
      </w:r>
      <w:r w:rsidR="000D4ACF">
        <w:t>chybné</w:t>
      </w:r>
      <w:r w:rsidRPr="00722B69">
        <w:t xml:space="preserve"> faktury přestává běžet původní </w:t>
      </w:r>
      <w:r w:rsidR="00374AE0">
        <w:t>doba</w:t>
      </w:r>
      <w:r w:rsidRPr="00722B69">
        <w:t xml:space="preserve"> splatnosti. Celá </w:t>
      </w:r>
      <w:r w:rsidR="001072B7">
        <w:t>doba</w:t>
      </w:r>
      <w:r w:rsidR="001072B7" w:rsidRPr="00722B69">
        <w:t xml:space="preserve"> </w:t>
      </w:r>
      <w:r w:rsidRPr="00722B69">
        <w:t xml:space="preserve">splatnosti běží opět ode dne doručení nově vyhotovené faktury </w:t>
      </w:r>
      <w:r w:rsidR="00CA4783">
        <w:t>kupující</w:t>
      </w:r>
      <w:r w:rsidR="0091479D">
        <w:t>mu</w:t>
      </w:r>
      <w:r w:rsidR="000D4ACF">
        <w:t>.</w:t>
      </w:r>
      <w:r w:rsidRPr="00722B69">
        <w:t xml:space="preserve"> </w:t>
      </w:r>
    </w:p>
    <w:p w:rsidR="00874F53" w:rsidRDefault="00D96C22" w:rsidP="007E15E1">
      <w:pPr>
        <w:pStyle w:val="SBSSmlouva"/>
        <w:numPr>
          <w:ilvl w:val="1"/>
          <w:numId w:val="8"/>
        </w:numPr>
        <w:ind w:left="426" w:hanging="426"/>
      </w:pPr>
      <w:r w:rsidRPr="00D96C22">
        <w:lastRenderedPageBreak/>
        <w:t xml:space="preserve">Faktura bude doručena do datové schránky </w:t>
      </w:r>
      <w:r w:rsidR="00CA4783">
        <w:t>kupující</w:t>
      </w:r>
      <w:r w:rsidR="0091479D">
        <w:t>ho</w:t>
      </w:r>
      <w:r w:rsidRPr="00D96C22">
        <w:t xml:space="preserve"> nebo</w:t>
      </w:r>
      <w:r w:rsidR="001D49A0">
        <w:t xml:space="preserve"> na emailovou adresu </w:t>
      </w:r>
      <w:r w:rsidR="00694EA4" w:rsidRPr="00694EA4">
        <w:t>…………</w:t>
      </w:r>
      <w:r w:rsidR="001D49A0">
        <w:t xml:space="preserve"> nebo</w:t>
      </w:r>
      <w:r w:rsidRPr="00D96C22">
        <w:t xml:space="preserve"> </w:t>
      </w:r>
      <w:r w:rsidR="00874F53" w:rsidRPr="00D96C22">
        <w:t xml:space="preserve">osobně proti podpisu zmocněné osoby nebo jako doporučené psaní prostřednictvím </w:t>
      </w:r>
      <w:r w:rsidR="00CB0338">
        <w:t>držitele poštovní licence</w:t>
      </w:r>
      <w:r w:rsidR="00874F53" w:rsidRPr="00D96C22">
        <w:t>.</w:t>
      </w:r>
    </w:p>
    <w:p w:rsidR="00874F53" w:rsidRPr="00722B69" w:rsidRDefault="00374AE0" w:rsidP="007E15E1">
      <w:pPr>
        <w:pStyle w:val="SBSSmlouva"/>
        <w:numPr>
          <w:ilvl w:val="1"/>
          <w:numId w:val="8"/>
        </w:numPr>
        <w:ind w:left="426" w:hanging="426"/>
        <w:rPr>
          <w:rFonts w:cs="Arial"/>
        </w:rPr>
      </w:pPr>
      <w:r w:rsidRPr="00722B69">
        <w:t xml:space="preserve">Strany se dohodly, že platba bude provedena na číslo účtu uvedené </w:t>
      </w:r>
      <w:r w:rsidR="00CA4783">
        <w:t>prodávající</w:t>
      </w:r>
      <w:r w:rsidRPr="00722B69">
        <w:t>m ve faktuře bez ohledu n</w:t>
      </w:r>
      <w:r>
        <w:t>a číslo účtu uvedené v této smlouvě</w:t>
      </w:r>
      <w:r w:rsidRPr="00722B69">
        <w:t>.</w:t>
      </w:r>
      <w:r>
        <w:t xml:space="preserve"> </w:t>
      </w:r>
      <w:r w:rsidRPr="00920151">
        <w:t>Musí se však jednat o číslo účtu zveřejněné způsobem umožňujícím dálkový přístup podle § 96 zákona č. 235/2004 Sb., o dani z přidané hodnoty, ve znění pozdějších předpisů. Zároveň se musí jednat o účet vedený v</w:t>
      </w:r>
      <w:r>
        <w:t> </w:t>
      </w:r>
      <w:r w:rsidRPr="00920151">
        <w:t>tuzemsku</w:t>
      </w:r>
      <w:r>
        <w:t>.</w:t>
      </w:r>
    </w:p>
    <w:p w:rsidR="00874F53" w:rsidRDefault="00874F53" w:rsidP="007E15E1">
      <w:pPr>
        <w:pStyle w:val="SBSSmlouva"/>
        <w:numPr>
          <w:ilvl w:val="1"/>
          <w:numId w:val="8"/>
        </w:numPr>
        <w:ind w:left="426" w:hanging="426"/>
      </w:pPr>
      <w:r w:rsidRPr="00722B69">
        <w:t xml:space="preserve">Povinnost zaplatit je splněna dnem odepsání příslušné částky z účtu </w:t>
      </w:r>
      <w:r w:rsidR="00CA4783">
        <w:t>kupující</w:t>
      </w:r>
      <w:r w:rsidR="0091479D">
        <w:t>ho</w:t>
      </w:r>
      <w:r w:rsidRPr="000D4ACF">
        <w:t>.</w:t>
      </w:r>
    </w:p>
    <w:p w:rsidR="00374AE0" w:rsidRPr="00722B69" w:rsidRDefault="00374AE0" w:rsidP="007E15E1">
      <w:pPr>
        <w:pStyle w:val="SBSSmlouva"/>
        <w:numPr>
          <w:ilvl w:val="1"/>
          <w:numId w:val="8"/>
        </w:numPr>
        <w:ind w:left="426" w:hanging="426"/>
        <w:rPr>
          <w:rFonts w:cs="Arial"/>
        </w:rPr>
      </w:pPr>
      <w:r w:rsidRPr="00920151">
        <w:t xml:space="preserve">Pokud se stane </w:t>
      </w:r>
      <w:r w:rsidR="00CA4783">
        <w:t>prodávající</w:t>
      </w:r>
      <w:r w:rsidRPr="00920151">
        <w:t xml:space="preserve"> nespolehlivým plátcem daně dle § 106a zákona č. 235/2004 Sb., o dani z přidané hodnoty, ve znění pozdějších předpisů, je </w:t>
      </w:r>
      <w:r w:rsidR="00CA4783">
        <w:t>kupující</w:t>
      </w:r>
      <w:r w:rsidRPr="00920151">
        <w:t xml:space="preserve"> oprávněn uhradit </w:t>
      </w:r>
      <w:r w:rsidR="00CA4783">
        <w:t>prodávající</w:t>
      </w:r>
      <w:r w:rsidR="0091479D">
        <w:t>mu</w:t>
      </w:r>
      <w:r w:rsidRPr="00920151">
        <w:t xml:space="preserve"> za zdanitelné plnění částku bez DPH a úhradu samotné DPH provést přímo na příslušný účet daného finančního úřadu, dle § 109a zákona o dani z přidané hodnoty. Zaplacení částky ve výši daně na účet správce daně </w:t>
      </w:r>
      <w:r w:rsidR="00CA4783">
        <w:t>prodávající</w:t>
      </w:r>
      <w:r w:rsidR="0091479D">
        <w:t>ho</w:t>
      </w:r>
      <w:r w:rsidRPr="00920151">
        <w:t xml:space="preserve"> a zaplacení ceny bez DPH </w:t>
      </w:r>
      <w:r w:rsidR="00CA4783">
        <w:t>prodávající</w:t>
      </w:r>
      <w:r w:rsidR="0091479D">
        <w:t>ho</w:t>
      </w:r>
      <w:r w:rsidRPr="00920151">
        <w:t xml:space="preserve"> bude považováno za splnění závazku </w:t>
      </w:r>
      <w:r w:rsidR="00CA4783">
        <w:t>kupující</w:t>
      </w:r>
      <w:r w:rsidR="0091479D">
        <w:t>ho</w:t>
      </w:r>
      <w:r w:rsidRPr="00920151">
        <w:t xml:space="preserve"> uhradit sjednanou cenu</w:t>
      </w:r>
      <w:r>
        <w:t>.</w:t>
      </w:r>
    </w:p>
    <w:p w:rsidR="006C5547" w:rsidRPr="009B6E94" w:rsidRDefault="0091479D" w:rsidP="00012D88">
      <w:pPr>
        <w:pStyle w:val="JVS2"/>
        <w:numPr>
          <w:ilvl w:val="0"/>
          <w:numId w:val="3"/>
        </w:numPr>
        <w:ind w:left="426" w:hanging="284"/>
      </w:pPr>
      <w:r>
        <w:t>Sankční ujednání</w:t>
      </w:r>
    </w:p>
    <w:p w:rsidR="0091479D" w:rsidRPr="0091479D" w:rsidRDefault="0091479D" w:rsidP="0091479D">
      <w:pPr>
        <w:pStyle w:val="SBSSmlouva"/>
        <w:numPr>
          <w:ilvl w:val="1"/>
          <w:numId w:val="12"/>
        </w:numPr>
        <w:ind w:left="426" w:hanging="426"/>
        <w:rPr>
          <w:rFonts w:cs="Arial"/>
          <w:szCs w:val="22"/>
        </w:rPr>
      </w:pPr>
      <w:r w:rsidRPr="0091479D">
        <w:rPr>
          <w:rFonts w:cs="Arial"/>
          <w:szCs w:val="22"/>
        </w:rPr>
        <w:t xml:space="preserve">Prodávající je povinen zaplatit kupujícímu smluvní pokutu ve výši 0,2 % z celkové ceny bez DPH nedodaného </w:t>
      </w:r>
      <w:r w:rsidR="003B2653">
        <w:rPr>
          <w:rFonts w:cs="Arial"/>
          <w:szCs w:val="22"/>
        </w:rPr>
        <w:t xml:space="preserve">zboží </w:t>
      </w:r>
      <w:r w:rsidRPr="0091479D">
        <w:rPr>
          <w:rFonts w:cs="Arial"/>
          <w:szCs w:val="22"/>
        </w:rPr>
        <w:t>za každý i započatý den prodlení s odevzdáním zboží.</w:t>
      </w:r>
    </w:p>
    <w:p w:rsidR="0091479D" w:rsidRPr="0091479D" w:rsidRDefault="0091479D" w:rsidP="0091479D">
      <w:pPr>
        <w:pStyle w:val="SBSSmlouva"/>
        <w:numPr>
          <w:ilvl w:val="1"/>
          <w:numId w:val="12"/>
        </w:numPr>
        <w:ind w:left="426" w:hanging="426"/>
        <w:rPr>
          <w:rFonts w:cs="Arial"/>
          <w:szCs w:val="22"/>
        </w:rPr>
      </w:pPr>
      <w:r w:rsidRPr="0091479D">
        <w:rPr>
          <w:rFonts w:cs="Arial"/>
          <w:szCs w:val="22"/>
        </w:rPr>
        <w:t>Nebude-li faktura uhrazena v době splatnosti, je kupující povinen zaplatit prodávajícímu úrok z prodlení ve výši 0,015 % z dlužné částky za každý i započatý den prodlení.</w:t>
      </w:r>
    </w:p>
    <w:p w:rsidR="0091479D" w:rsidRPr="0091479D" w:rsidRDefault="0091479D" w:rsidP="0091479D">
      <w:pPr>
        <w:pStyle w:val="SBSSmlouva"/>
        <w:numPr>
          <w:ilvl w:val="1"/>
          <w:numId w:val="12"/>
        </w:numPr>
        <w:ind w:left="426" w:hanging="426"/>
        <w:rPr>
          <w:rFonts w:cs="Arial"/>
          <w:szCs w:val="22"/>
        </w:rPr>
      </w:pPr>
      <w:r w:rsidRPr="0091479D">
        <w:rPr>
          <w:rFonts w:cs="Arial"/>
          <w:szCs w:val="22"/>
        </w:rPr>
        <w:t>V případě nedodržení termínů dle čl. V., odst. 4., k odstranění vady, která se projevila v</w:t>
      </w:r>
      <w:r>
        <w:rPr>
          <w:rFonts w:cs="Arial"/>
          <w:szCs w:val="22"/>
        </w:rPr>
        <w:t> </w:t>
      </w:r>
      <w:r w:rsidRPr="0091479D">
        <w:rPr>
          <w:rFonts w:cs="Arial"/>
          <w:szCs w:val="22"/>
        </w:rPr>
        <w:t xml:space="preserve">záruční době, je prodávající povinen zaplatit kupujícímu smluvní pokutu ve výši </w:t>
      </w:r>
      <w:r w:rsidR="00C73DDC">
        <w:rPr>
          <w:rFonts w:cs="Arial"/>
          <w:szCs w:val="22"/>
        </w:rPr>
        <w:t>500</w:t>
      </w:r>
      <w:r w:rsidRPr="0091479D">
        <w:rPr>
          <w:rFonts w:cs="Arial"/>
          <w:szCs w:val="22"/>
        </w:rPr>
        <w:t>,- Kč za každý i započatý den prodlení a za každý jednotlivý případ</w:t>
      </w:r>
      <w:r w:rsidR="009D084A">
        <w:rPr>
          <w:rFonts w:cs="Arial"/>
          <w:szCs w:val="22"/>
        </w:rPr>
        <w:t xml:space="preserve"> reklamovaného kusu zboží</w:t>
      </w:r>
      <w:r w:rsidRPr="0091479D">
        <w:rPr>
          <w:rFonts w:cs="Arial"/>
          <w:szCs w:val="22"/>
        </w:rPr>
        <w:t>.</w:t>
      </w:r>
    </w:p>
    <w:p w:rsidR="0091479D" w:rsidRPr="0091479D" w:rsidRDefault="0091479D" w:rsidP="0091479D">
      <w:pPr>
        <w:pStyle w:val="SBSSmlouva"/>
        <w:numPr>
          <w:ilvl w:val="1"/>
          <w:numId w:val="12"/>
        </w:numPr>
        <w:ind w:left="426" w:hanging="426"/>
        <w:rPr>
          <w:rFonts w:cs="Arial"/>
          <w:szCs w:val="22"/>
        </w:rPr>
      </w:pPr>
      <w:r w:rsidRPr="0091479D">
        <w:rPr>
          <w:rFonts w:cs="Arial"/>
          <w:szCs w:val="22"/>
        </w:rPr>
        <w:t>Smluvní pokuty sjednané touto smlouvou zaplatí povinná strana nezávisle na zavinění a na tom, zda a v jaké výši vznikne druhé straně škoda, kterou lze vymáhat samostatně.</w:t>
      </w:r>
    </w:p>
    <w:p w:rsidR="00E94DA7" w:rsidRPr="00093592" w:rsidRDefault="0091479D" w:rsidP="00093592">
      <w:pPr>
        <w:pStyle w:val="SBSSmlouva"/>
        <w:numPr>
          <w:ilvl w:val="1"/>
          <w:numId w:val="12"/>
        </w:numPr>
        <w:ind w:left="426" w:hanging="426"/>
        <w:rPr>
          <w:rFonts w:cs="Arial"/>
          <w:szCs w:val="22"/>
        </w:rPr>
      </w:pPr>
      <w:r w:rsidRPr="0091479D">
        <w:rPr>
          <w:rFonts w:cs="Arial"/>
          <w:szCs w:val="22"/>
        </w:rPr>
        <w:t>Smluvní pokuty je kupující oprávněn započíst proti pohledávce prodávajícího</w:t>
      </w:r>
      <w:r w:rsidR="00093592">
        <w:rPr>
          <w:rFonts w:cs="Arial"/>
          <w:szCs w:val="22"/>
        </w:rPr>
        <w:t>.</w:t>
      </w:r>
    </w:p>
    <w:p w:rsidR="00625E0C" w:rsidRPr="009B6E94" w:rsidRDefault="00625E0C" w:rsidP="00012D88">
      <w:pPr>
        <w:pStyle w:val="JVS2"/>
        <w:numPr>
          <w:ilvl w:val="0"/>
          <w:numId w:val="3"/>
        </w:numPr>
        <w:ind w:left="426" w:hanging="284"/>
      </w:pPr>
      <w:r w:rsidRPr="009B6E94">
        <w:t>Závěrečná ustanovení</w:t>
      </w:r>
    </w:p>
    <w:p w:rsidR="00093592" w:rsidRDefault="00093592" w:rsidP="007E15E1">
      <w:pPr>
        <w:pStyle w:val="SBSSmlouva"/>
        <w:numPr>
          <w:ilvl w:val="1"/>
          <w:numId w:val="14"/>
        </w:numPr>
        <w:ind w:left="426" w:hanging="426"/>
      </w:pPr>
      <w:r>
        <w:t>S</w:t>
      </w:r>
      <w:r w:rsidRPr="00093592">
        <w:t>mlouva nabývá účinnosti dnem jejího uveřejnění v celostátním Registru smluv</w:t>
      </w:r>
      <w:r>
        <w:t>.</w:t>
      </w:r>
    </w:p>
    <w:p w:rsidR="00093592" w:rsidRDefault="00093592" w:rsidP="007E15E1">
      <w:pPr>
        <w:pStyle w:val="SBSSmlouva"/>
        <w:numPr>
          <w:ilvl w:val="1"/>
          <w:numId w:val="14"/>
        </w:numPr>
        <w:ind w:left="426" w:hanging="426"/>
      </w:pPr>
      <w:r w:rsidRPr="00093592">
        <w:t xml:space="preserve">Smlouva </w:t>
      </w:r>
      <w:r w:rsidR="00422EDF">
        <w:t>j</w:t>
      </w:r>
      <w:r w:rsidRPr="00093592">
        <w:t xml:space="preserve">e uzavřena na dobu </w:t>
      </w:r>
      <w:r w:rsidR="00637D97">
        <w:t>1</w:t>
      </w:r>
      <w:r w:rsidRPr="00093592">
        <w:t xml:space="preserve">2 měsíců od nabytí účinnosti, nebo do doby kdy dojde k dosažení částky zaplacené objednatelem za plnění této smlouvy uvedené v čl. </w:t>
      </w:r>
      <w:r w:rsidR="00162EDB">
        <w:t>III</w:t>
      </w:r>
      <w:r w:rsidRPr="00093592">
        <w:t>. odst. 1. této smlouvy, podle toho která skutečnost nastane dříve</w:t>
      </w:r>
      <w:r w:rsidR="00681F06">
        <w:t>.</w:t>
      </w:r>
    </w:p>
    <w:p w:rsidR="00782BDA" w:rsidRDefault="00782BDA" w:rsidP="007E15E1">
      <w:pPr>
        <w:pStyle w:val="SBSSmlouva"/>
        <w:numPr>
          <w:ilvl w:val="1"/>
          <w:numId w:val="14"/>
        </w:numPr>
        <w:ind w:left="426" w:hanging="426"/>
        <w:rPr>
          <w:rFonts w:cs="Arial"/>
          <w:szCs w:val="22"/>
        </w:rPr>
      </w:pPr>
      <w:r w:rsidRPr="00997FD5">
        <w:t>Dle § 1765 zák. č. 89/2012 Sb., občanský zákoník smluvní strany na sebe převzaly nebezpečí změny okolností. Před uzavřením smlouvy strany zvážily plně hospodářskou, ekonomickou a faktickou situaci a jsou si plně vědomy okolností smlouvy, jakož i okolností, které mohou po uzavření této smlouvy nastat.</w:t>
      </w:r>
    </w:p>
    <w:p w:rsidR="00782BDA" w:rsidRDefault="009C346D" w:rsidP="007E15E1">
      <w:pPr>
        <w:pStyle w:val="SBSSmlouva"/>
        <w:numPr>
          <w:ilvl w:val="1"/>
          <w:numId w:val="14"/>
        </w:numPr>
        <w:ind w:left="426" w:hanging="426"/>
        <w:rPr>
          <w:rFonts w:cs="Arial"/>
          <w:szCs w:val="22"/>
        </w:rPr>
      </w:pPr>
      <w:r>
        <w:t>Smluvní strany se dále dohodly</w:t>
      </w:r>
      <w:r w:rsidR="00782BDA" w:rsidRPr="00997FD5">
        <w:t xml:space="preserve"> ve smyslu § 1740 odst. 2 a 3</w:t>
      </w:r>
      <w:r>
        <w:t xml:space="preserve"> občanského zákoníku</w:t>
      </w:r>
      <w:r w:rsidR="00782BDA" w:rsidRPr="00997FD5">
        <w:t>, že vylučují přijetí nabídky, která vyjadřuje obsah návrhu smlouvy jinými slovy, i přijetí nabídky s dodatkem nebo odchylkou, i když dodatek či odchylka podstatně nemění podmínky nabídky</w:t>
      </w:r>
      <w:r w:rsidR="00782BDA">
        <w:t>.</w:t>
      </w:r>
    </w:p>
    <w:p w:rsidR="00782BDA" w:rsidRDefault="00782BDA" w:rsidP="007E15E1">
      <w:pPr>
        <w:pStyle w:val="SBSSmlouva"/>
        <w:numPr>
          <w:ilvl w:val="1"/>
          <w:numId w:val="14"/>
        </w:numPr>
        <w:ind w:left="426" w:hanging="426"/>
        <w:rPr>
          <w:rFonts w:cs="Arial"/>
          <w:szCs w:val="22"/>
        </w:rPr>
      </w:pPr>
      <w:r w:rsidRPr="00997FD5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</w:t>
      </w:r>
      <w:r>
        <w:t>.</w:t>
      </w:r>
    </w:p>
    <w:p w:rsidR="00C914C7" w:rsidRDefault="00C914C7" w:rsidP="007E15E1">
      <w:pPr>
        <w:pStyle w:val="SBSSmlouva"/>
        <w:numPr>
          <w:ilvl w:val="1"/>
          <w:numId w:val="14"/>
        </w:numPr>
        <w:ind w:left="426" w:hanging="426"/>
      </w:pPr>
      <w:r w:rsidRPr="00C914C7">
        <w:lastRenderedPageBreak/>
        <w:t>Změnit nebo doplnit tuto smlouvu mohou smluvní strany</w:t>
      </w:r>
      <w:r w:rsidR="00515B46">
        <w:t xml:space="preserve"> </w:t>
      </w:r>
      <w:r w:rsidRPr="00C914C7">
        <w:t>pouze formou písemných dodatků, které budou vzestupně číslovány, výslovně prohlášeny za dodatek této smlouvy a podepsány oprávněnými zástupci smluvních st</w:t>
      </w:r>
      <w:r w:rsidR="006B3B47">
        <w:t xml:space="preserve">ran. </w:t>
      </w:r>
      <w:r w:rsidR="006B3B47" w:rsidRPr="00997FD5">
        <w:t>Za písemnou formu nebude pro tento účel považována výměna e-</w:t>
      </w:r>
      <w:proofErr w:type="spellStart"/>
      <w:r w:rsidR="006B3B47" w:rsidRPr="00997FD5">
        <w:t>mailových</w:t>
      </w:r>
      <w:proofErr w:type="spellEnd"/>
      <w:r w:rsidR="006B3B47" w:rsidRPr="00997FD5">
        <w:t xml:space="preserve"> zpráv či jiných elektronických zpráv</w:t>
      </w:r>
      <w:r w:rsidR="006B3B47">
        <w:t>.</w:t>
      </w:r>
    </w:p>
    <w:p w:rsidR="00162EDB" w:rsidRDefault="00162EDB" w:rsidP="007E15E1">
      <w:pPr>
        <w:pStyle w:val="SBSSmlouva"/>
        <w:numPr>
          <w:ilvl w:val="1"/>
          <w:numId w:val="14"/>
        </w:numPr>
        <w:ind w:left="426" w:hanging="426"/>
      </w:pPr>
      <w:r w:rsidRPr="00162EDB">
        <w:t>Vady zboží, které jej činí neupotřebitelnými nebo pokud nemá vlastnosti, které si kupující vymínil nebo o kterých ho prodávající ujistil, se považují za podstatné porušení smlouvy a kupující může z tohoto důvodu od smlouvy okamžitě odstoupit</w:t>
      </w:r>
      <w:r>
        <w:t>.</w:t>
      </w:r>
    </w:p>
    <w:p w:rsidR="003C0C0B" w:rsidRDefault="00C914C7" w:rsidP="007E15E1">
      <w:pPr>
        <w:pStyle w:val="SBSSmlouva"/>
        <w:numPr>
          <w:ilvl w:val="1"/>
          <w:numId w:val="14"/>
        </w:numPr>
        <w:ind w:left="426" w:hanging="426"/>
      </w:pPr>
      <w:r w:rsidRPr="00C914C7">
        <w:t xml:space="preserve">Smluvní vztah lze ukončit písemnou dohodou. </w:t>
      </w:r>
    </w:p>
    <w:p w:rsidR="000B6745" w:rsidRPr="009F79D4" w:rsidRDefault="003C0C0B" w:rsidP="009F79D4">
      <w:pPr>
        <w:pStyle w:val="SBSSmlouva"/>
        <w:numPr>
          <w:ilvl w:val="1"/>
          <w:numId w:val="14"/>
        </w:numPr>
        <w:ind w:left="426" w:hanging="426"/>
        <w:rPr>
          <w:szCs w:val="22"/>
        </w:rPr>
      </w:pPr>
      <w:r w:rsidRPr="008341EA">
        <w:t xml:space="preserve">Smlouvu lze rovněž ukončit jednostranným odstoupením od smlouvy v případě, kdy jedna strana poruší smlouvu podstatným způsobem. Podstatným porušením této smlouvy se rozumí zejména </w:t>
      </w:r>
      <w:r w:rsidR="00162EDB" w:rsidRPr="00162EDB">
        <w:t xml:space="preserve">porušení ustanovení čl. II., odst. </w:t>
      </w:r>
      <w:r w:rsidR="00162EDB">
        <w:t>2</w:t>
      </w:r>
      <w:r w:rsidR="00162EDB" w:rsidRPr="00162EDB">
        <w:t xml:space="preserve">. a čl. IV. odst. </w:t>
      </w:r>
      <w:r w:rsidR="00162EDB">
        <w:t>3</w:t>
      </w:r>
      <w:r w:rsidRPr="008341EA">
        <w:t>, přičemž strana, která smlouvu porušila, neprovedla nápravu ani po písemném upoz</w:t>
      </w:r>
      <w:r w:rsidR="00DE56C7">
        <w:t>ornění ve lhůtě třiceti (30</w:t>
      </w:r>
      <w:r w:rsidR="006B3B47">
        <w:t xml:space="preserve">) </w:t>
      </w:r>
      <w:r w:rsidRPr="008341EA">
        <w:t>dnů.</w:t>
      </w:r>
    </w:p>
    <w:p w:rsidR="006B3B47" w:rsidRDefault="006B3B47" w:rsidP="007E15E1">
      <w:pPr>
        <w:pStyle w:val="SBSSmlouva"/>
        <w:numPr>
          <w:ilvl w:val="1"/>
          <w:numId w:val="14"/>
        </w:numPr>
        <w:ind w:left="426" w:hanging="426"/>
        <w:rPr>
          <w:rFonts w:cs="Arial"/>
          <w:szCs w:val="22"/>
        </w:rPr>
      </w:pPr>
      <w:r w:rsidRPr="00BF7661">
        <w:t>Ukáže-li se některé z ustanovení této smlouvy zdánlivým (nicotným), posoudí se vliv této vady na ostatní ustanovení smlouvy obdobně podle § 576 občanského zákoníku</w:t>
      </w:r>
      <w:r>
        <w:t>.</w:t>
      </w:r>
    </w:p>
    <w:p w:rsidR="003C0C0B" w:rsidRPr="007B6F53" w:rsidRDefault="009F79D4" w:rsidP="007E15E1">
      <w:pPr>
        <w:pStyle w:val="SBSSmlouva"/>
        <w:numPr>
          <w:ilvl w:val="1"/>
          <w:numId w:val="14"/>
        </w:numPr>
        <w:ind w:left="426" w:hanging="426"/>
      </w:pPr>
      <w:r w:rsidRPr="009F79D4">
        <w:t>Prodávající nemůže bez souhlasu kupujícího postoupit kterákoliv svá práva, ani převést kterékoliv své povinnosti plynoucí z této smlouvy třetí osobě, ani není oprávněn tuto smlouvu postoupit</w:t>
      </w:r>
      <w:r w:rsidR="00600162">
        <w:t>.</w:t>
      </w:r>
    </w:p>
    <w:p w:rsidR="003C0C0B" w:rsidRDefault="00C914C7" w:rsidP="007E15E1">
      <w:pPr>
        <w:pStyle w:val="SBSSmlouva"/>
        <w:numPr>
          <w:ilvl w:val="1"/>
          <w:numId w:val="14"/>
        </w:numPr>
        <w:ind w:left="426" w:hanging="426"/>
      </w:pPr>
      <w:r w:rsidRPr="00092A95">
        <w:t>Vše, co bylo dohodnuto před uzavřením smlouvy, je</w:t>
      </w:r>
      <w:r w:rsidRPr="003C0C0B">
        <w:t xml:space="preserve"> právně irelevantní a mezi smluvními stranami platí jen to, co je dohodnuto v této písemné smlouvě.</w:t>
      </w:r>
      <w:r w:rsidR="003C0C0B" w:rsidRPr="003C0C0B">
        <w:t xml:space="preserve"> </w:t>
      </w:r>
    </w:p>
    <w:p w:rsidR="003C0C0B" w:rsidRPr="007B6F53" w:rsidRDefault="003C0C0B" w:rsidP="007E15E1">
      <w:pPr>
        <w:pStyle w:val="SBSSmlouva"/>
        <w:numPr>
          <w:ilvl w:val="1"/>
          <w:numId w:val="14"/>
        </w:numPr>
        <w:ind w:left="426" w:hanging="426"/>
      </w:pPr>
      <w:r w:rsidRPr="007B6F53">
        <w:t>Písemnosti se považují za doručené i v případě, že kterákoliv ze stran její doručení odmítne či jinak znemožní.</w:t>
      </w:r>
    </w:p>
    <w:p w:rsidR="00795BFE" w:rsidRDefault="000F104E" w:rsidP="007E15E1">
      <w:pPr>
        <w:pStyle w:val="SBSSmlouva"/>
        <w:numPr>
          <w:ilvl w:val="1"/>
          <w:numId w:val="14"/>
        </w:numPr>
        <w:ind w:left="426" w:hanging="426"/>
      </w:pPr>
      <w:r>
        <w:t>Smlouva je vyhotovena v</w:t>
      </w:r>
      <w:r w:rsidR="006B3B47">
        <w:t>e</w:t>
      </w:r>
      <w:r>
        <w:t> </w:t>
      </w:r>
      <w:r w:rsidR="00E26F00">
        <w:t>dvou</w:t>
      </w:r>
      <w:r w:rsidR="00384FA4" w:rsidRPr="003C0C0B">
        <w:t xml:space="preserve"> </w:t>
      </w:r>
      <w:r w:rsidR="00C914C7" w:rsidRPr="003C0C0B">
        <w:t>stejnopisech s platností originálu podepsaných oprávněnými zástupci smluvních stran, přičemž</w:t>
      </w:r>
      <w:r>
        <w:t xml:space="preserve"> </w:t>
      </w:r>
      <w:r w:rsidR="00F35669">
        <w:t>každá strana obdrží jedno</w:t>
      </w:r>
      <w:bookmarkStart w:id="2" w:name="_GoBack"/>
      <w:bookmarkEnd w:id="2"/>
      <w:r w:rsidR="00C914C7" w:rsidRPr="003C0C0B">
        <w:t xml:space="preserve"> vyhotovení.</w:t>
      </w:r>
    </w:p>
    <w:p w:rsidR="00795BFE" w:rsidRDefault="00795BFE" w:rsidP="007E15E1">
      <w:pPr>
        <w:pStyle w:val="SBSSmlouva"/>
        <w:numPr>
          <w:ilvl w:val="1"/>
          <w:numId w:val="14"/>
        </w:numPr>
        <w:ind w:left="426" w:hanging="426"/>
      </w:pPr>
      <w:r w:rsidRPr="009C6C9F">
        <w:t>Smluvní strany shodně prohlašují, že si tuto smlouvu před jejím podepsáním přečetly, a že s jejím obsahem souhlasí.</w:t>
      </w:r>
    </w:p>
    <w:p w:rsidR="006B3B47" w:rsidRDefault="00795BFE" w:rsidP="007E15E1">
      <w:pPr>
        <w:pStyle w:val="SBSSmlouva"/>
        <w:numPr>
          <w:ilvl w:val="1"/>
          <w:numId w:val="14"/>
        </w:numPr>
        <w:ind w:left="426" w:hanging="426"/>
      </w:pPr>
      <w:r>
        <w:t>Nedílnou součástí této smlouvy jsou následující přílohy</w:t>
      </w:r>
      <w:r w:rsidR="006B3B47">
        <w:t>:</w:t>
      </w:r>
    </w:p>
    <w:p w:rsidR="006B3B47" w:rsidRDefault="009A7FC5" w:rsidP="00883DA1">
      <w:pPr>
        <w:pStyle w:val="SBSSmlouva"/>
        <w:numPr>
          <w:ilvl w:val="0"/>
          <w:numId w:val="0"/>
        </w:numPr>
        <w:spacing w:before="60"/>
        <w:ind w:left="709"/>
      </w:pPr>
      <w:r>
        <w:t>Příloha č. 1 –</w:t>
      </w:r>
      <w:r w:rsidR="00DE56C7">
        <w:t xml:space="preserve"> S</w:t>
      </w:r>
      <w:r w:rsidR="00D42D06">
        <w:t>pecifikace</w:t>
      </w:r>
      <w:r w:rsidR="00DE56C7">
        <w:t xml:space="preserve"> předmětu plnění</w:t>
      </w:r>
    </w:p>
    <w:p w:rsidR="00BD6DC5" w:rsidRPr="009F79D4" w:rsidRDefault="00BD6DC5" w:rsidP="0058420D">
      <w:pPr>
        <w:pStyle w:val="SBSSmlouva"/>
        <w:numPr>
          <w:ilvl w:val="0"/>
          <w:numId w:val="0"/>
        </w:numPr>
        <w:spacing w:before="0"/>
        <w:rPr>
          <w:szCs w:val="22"/>
        </w:rPr>
      </w:pPr>
    </w:p>
    <w:p w:rsidR="009A7FC5" w:rsidRPr="009F79D4" w:rsidRDefault="009A7FC5" w:rsidP="0058420D">
      <w:pPr>
        <w:pStyle w:val="SBSSmlouva"/>
        <w:numPr>
          <w:ilvl w:val="0"/>
          <w:numId w:val="0"/>
        </w:numPr>
        <w:spacing w:before="0"/>
        <w:rPr>
          <w:szCs w:val="22"/>
        </w:rPr>
      </w:pPr>
    </w:p>
    <w:p w:rsidR="0058420D" w:rsidRPr="009F79D4" w:rsidRDefault="0058420D" w:rsidP="0058420D">
      <w:pPr>
        <w:pStyle w:val="SBSSmlouva"/>
        <w:numPr>
          <w:ilvl w:val="0"/>
          <w:numId w:val="0"/>
        </w:numPr>
        <w:spacing w:before="0"/>
        <w:rPr>
          <w:szCs w:val="22"/>
        </w:rPr>
      </w:pPr>
    </w:p>
    <w:p w:rsidR="0058420D" w:rsidRPr="009F79D4" w:rsidRDefault="0058420D" w:rsidP="0058420D">
      <w:pPr>
        <w:pStyle w:val="SBSSmlouva"/>
        <w:numPr>
          <w:ilvl w:val="0"/>
          <w:numId w:val="0"/>
        </w:numPr>
        <w:spacing w:before="0"/>
        <w:rPr>
          <w:szCs w:val="22"/>
        </w:rPr>
      </w:pPr>
    </w:p>
    <w:p w:rsidR="008F3CF3" w:rsidRPr="009F79D4" w:rsidRDefault="008F3CF3" w:rsidP="008F3CF3">
      <w:pPr>
        <w:tabs>
          <w:tab w:val="left" w:pos="0"/>
          <w:tab w:val="left" w:pos="4990"/>
        </w:tabs>
        <w:rPr>
          <w:rFonts w:cs="Arial"/>
          <w:b/>
          <w:sz w:val="22"/>
          <w:szCs w:val="22"/>
        </w:rPr>
      </w:pPr>
      <w:r w:rsidRPr="009F79D4">
        <w:rPr>
          <w:rFonts w:cs="Arial"/>
          <w:b/>
          <w:sz w:val="22"/>
          <w:szCs w:val="22"/>
        </w:rPr>
        <w:t xml:space="preserve">Za </w:t>
      </w:r>
      <w:r w:rsidR="009F79D4" w:rsidRPr="009F79D4">
        <w:rPr>
          <w:rFonts w:cs="Arial"/>
          <w:b/>
          <w:sz w:val="22"/>
          <w:szCs w:val="22"/>
        </w:rPr>
        <w:t>kupujícího</w:t>
      </w:r>
      <w:r w:rsidRPr="009F79D4">
        <w:rPr>
          <w:rFonts w:cs="Arial"/>
          <w:b/>
          <w:sz w:val="22"/>
          <w:szCs w:val="22"/>
        </w:rPr>
        <w:tab/>
        <w:t xml:space="preserve">Za </w:t>
      </w:r>
      <w:r w:rsidR="00CA4783" w:rsidRPr="009F79D4">
        <w:rPr>
          <w:rFonts w:cs="Arial"/>
          <w:b/>
          <w:sz w:val="22"/>
          <w:szCs w:val="22"/>
        </w:rPr>
        <w:t>prodávající</w:t>
      </w:r>
      <w:r w:rsidR="009F79D4" w:rsidRPr="009F79D4">
        <w:rPr>
          <w:rFonts w:cs="Arial"/>
          <w:b/>
          <w:sz w:val="22"/>
          <w:szCs w:val="22"/>
        </w:rPr>
        <w:t>ho</w:t>
      </w:r>
    </w:p>
    <w:p w:rsidR="008F3CF3" w:rsidRPr="009F79D4" w:rsidRDefault="008F3CF3" w:rsidP="00B60EA6">
      <w:pPr>
        <w:tabs>
          <w:tab w:val="left" w:pos="0"/>
          <w:tab w:val="left" w:leader="underscore" w:pos="4536"/>
          <w:tab w:val="left" w:leader="underscore" w:pos="9356"/>
        </w:tabs>
        <w:rPr>
          <w:sz w:val="22"/>
          <w:szCs w:val="22"/>
        </w:rPr>
      </w:pPr>
      <w:r w:rsidRPr="009F79D4">
        <w:rPr>
          <w:sz w:val="22"/>
          <w:szCs w:val="22"/>
        </w:rPr>
        <w:tab/>
      </w:r>
      <w:r w:rsidR="00B60EA6">
        <w:rPr>
          <w:sz w:val="22"/>
          <w:szCs w:val="22"/>
        </w:rPr>
        <w:tab/>
      </w:r>
    </w:p>
    <w:p w:rsidR="008F3CF3" w:rsidRPr="009F79D4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9F79D4" w:rsidRDefault="00B60EA6" w:rsidP="00B60EA6">
      <w:pPr>
        <w:tabs>
          <w:tab w:val="left" w:pos="0"/>
          <w:tab w:val="left" w:leader="underscore" w:pos="4536"/>
          <w:tab w:val="left" w:leader="underscore" w:pos="935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</w:t>
      </w:r>
      <w:r>
        <w:rPr>
          <w:rFonts w:cs="Arial"/>
          <w:sz w:val="22"/>
          <w:szCs w:val="22"/>
        </w:rPr>
        <w:tab/>
      </w:r>
      <w:r w:rsidR="008F3CF3" w:rsidRPr="009F79D4"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</w:p>
    <w:p w:rsidR="008F3CF3" w:rsidRPr="009F79D4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 w:val="22"/>
          <w:szCs w:val="22"/>
        </w:rPr>
      </w:pPr>
    </w:p>
    <w:p w:rsidR="008F3CF3" w:rsidRPr="009F79D4" w:rsidRDefault="00B60EA6" w:rsidP="00B60EA6">
      <w:pPr>
        <w:tabs>
          <w:tab w:val="left" w:pos="0"/>
          <w:tab w:val="left" w:leader="underscore" w:pos="4536"/>
          <w:tab w:val="left" w:leader="underscore" w:pos="9356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Místo: </w:t>
      </w:r>
      <w:r>
        <w:rPr>
          <w:rFonts w:cs="Arial"/>
          <w:sz w:val="22"/>
          <w:szCs w:val="22"/>
        </w:rPr>
        <w:tab/>
        <w:t>Místo:</w:t>
      </w:r>
      <w:r w:rsidR="008F3CF3" w:rsidRPr="009F79D4">
        <w:rPr>
          <w:rFonts w:cs="Arial"/>
          <w:sz w:val="22"/>
          <w:szCs w:val="22"/>
        </w:rPr>
        <w:tab/>
      </w:r>
    </w:p>
    <w:p w:rsidR="008F3CF3" w:rsidRPr="009F79D4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9F79D4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9F79D4" w:rsidRDefault="008F3CF3" w:rsidP="008F3CF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8F3CF3" w:rsidRPr="009F79D4" w:rsidRDefault="00B60EA6" w:rsidP="00B60EA6">
      <w:pPr>
        <w:tabs>
          <w:tab w:val="left" w:pos="0"/>
          <w:tab w:val="left" w:leader="underscore" w:pos="4536"/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F3CF3" w:rsidRPr="009F79D4" w:rsidRDefault="00E26F00" w:rsidP="008F3CF3">
      <w:pPr>
        <w:tabs>
          <w:tab w:val="left" w:pos="0"/>
          <w:tab w:val="left" w:pos="4990"/>
        </w:tabs>
        <w:rPr>
          <w:b/>
          <w:sz w:val="22"/>
          <w:szCs w:val="22"/>
        </w:rPr>
      </w:pPr>
      <w:r w:rsidRPr="009F79D4">
        <w:rPr>
          <w:b/>
          <w:sz w:val="22"/>
          <w:szCs w:val="22"/>
        </w:rPr>
        <w:t>Ing. Michal Hrotík</w:t>
      </w:r>
      <w:r w:rsidR="00773A37" w:rsidRPr="009F79D4">
        <w:rPr>
          <w:b/>
          <w:sz w:val="22"/>
          <w:szCs w:val="22"/>
        </w:rPr>
        <w:tab/>
      </w:r>
      <w:r w:rsidR="00AD601D" w:rsidRPr="009F79D4">
        <w:rPr>
          <w:b/>
          <w:sz w:val="22"/>
          <w:szCs w:val="22"/>
        </w:rPr>
        <w:tab/>
      </w:r>
      <w:r w:rsidR="00B60EA6">
        <w:rPr>
          <w:b/>
          <w:sz w:val="22"/>
          <w:szCs w:val="22"/>
        </w:rPr>
        <w:t xml:space="preserve">Ing. Roman Karásek, David </w:t>
      </w:r>
      <w:proofErr w:type="spellStart"/>
      <w:r w:rsidR="00B60EA6">
        <w:rPr>
          <w:b/>
          <w:sz w:val="22"/>
          <w:szCs w:val="22"/>
        </w:rPr>
        <w:t>Kneis</w:t>
      </w:r>
      <w:proofErr w:type="spellEnd"/>
    </w:p>
    <w:p w:rsidR="001008B8" w:rsidRPr="009F79D4" w:rsidRDefault="00E26F00" w:rsidP="0058420D">
      <w:pPr>
        <w:tabs>
          <w:tab w:val="left" w:pos="0"/>
          <w:tab w:val="left" w:pos="4990"/>
        </w:tabs>
        <w:rPr>
          <w:sz w:val="22"/>
          <w:szCs w:val="22"/>
        </w:rPr>
      </w:pPr>
      <w:r w:rsidRPr="009F79D4">
        <w:rPr>
          <w:sz w:val="22"/>
          <w:szCs w:val="22"/>
        </w:rPr>
        <w:t>člen představenstva</w:t>
      </w:r>
      <w:r w:rsidR="00AD601D" w:rsidRPr="009F79D4">
        <w:rPr>
          <w:sz w:val="22"/>
          <w:szCs w:val="22"/>
        </w:rPr>
        <w:tab/>
      </w:r>
      <w:r w:rsidR="00B60EA6">
        <w:rPr>
          <w:sz w:val="22"/>
          <w:szCs w:val="22"/>
        </w:rPr>
        <w:tab/>
        <w:t>členové představenstva</w:t>
      </w:r>
    </w:p>
    <w:p w:rsidR="001008B8" w:rsidRPr="009F79D4" w:rsidRDefault="001008B8" w:rsidP="0058420D">
      <w:pPr>
        <w:tabs>
          <w:tab w:val="left" w:pos="0"/>
          <w:tab w:val="left" w:pos="4990"/>
        </w:tabs>
        <w:rPr>
          <w:sz w:val="22"/>
          <w:szCs w:val="22"/>
        </w:rPr>
      </w:pPr>
    </w:p>
    <w:p w:rsidR="001008B8" w:rsidRDefault="00CB4FA1" w:rsidP="0058420D">
      <w:pPr>
        <w:tabs>
          <w:tab w:val="left" w:pos="0"/>
          <w:tab w:val="left" w:pos="4990"/>
        </w:tabs>
        <w:rPr>
          <w:szCs w:val="22"/>
        </w:rPr>
        <w:sectPr w:rsidR="001008B8" w:rsidSect="00917BFF">
          <w:headerReference w:type="default" r:id="rId8"/>
          <w:footerReference w:type="default" r:id="rId9"/>
          <w:pgSz w:w="11906" w:h="16838"/>
          <w:pgMar w:top="1758" w:right="1106" w:bottom="1418" w:left="1259" w:header="709" w:footer="786" w:gutter="0"/>
          <w:cols w:space="708"/>
          <w:docGrid w:linePitch="360"/>
        </w:sectPr>
      </w:pPr>
      <w:r>
        <w:rPr>
          <w:szCs w:val="22"/>
        </w:rPr>
        <w:tab/>
      </w:r>
      <w:r w:rsidR="008F3CF3" w:rsidRPr="005E4788">
        <w:rPr>
          <w:szCs w:val="22"/>
        </w:rPr>
        <w:t xml:space="preserve"> </w:t>
      </w:r>
      <w:r w:rsidR="008F3CF3" w:rsidRPr="005E4788">
        <w:rPr>
          <w:szCs w:val="22"/>
        </w:rPr>
        <w:tab/>
      </w:r>
      <w:r w:rsidR="0025231A">
        <w:rPr>
          <w:szCs w:val="22"/>
        </w:rPr>
        <w:br w:type="page"/>
      </w:r>
    </w:p>
    <w:p w:rsidR="00DE56C7" w:rsidRPr="00426536" w:rsidRDefault="00DE56C7" w:rsidP="00C73DDC">
      <w:pPr>
        <w:spacing w:after="240"/>
        <w:jc w:val="right"/>
        <w:outlineLvl w:val="0"/>
        <w:rPr>
          <w:rFonts w:ascii="Times New Roman" w:hAnsi="Times New Roman"/>
          <w:sz w:val="24"/>
          <w:szCs w:val="24"/>
        </w:rPr>
      </w:pPr>
      <w:r>
        <w:lastRenderedPageBreak/>
        <w:t xml:space="preserve">Příloha </w:t>
      </w:r>
      <w:r w:rsidR="00D5594E">
        <w:t>č. 1 ke smlouvě č.:</w:t>
      </w:r>
      <w:r w:rsidR="00D5594E">
        <w:tab/>
        <w:t>__________</w:t>
      </w:r>
    </w:p>
    <w:p w:rsidR="00DE56C7" w:rsidRDefault="00DE56C7" w:rsidP="00DE56C7">
      <w:pPr>
        <w:pStyle w:val="Default"/>
        <w:spacing w:before="120" w:after="240"/>
        <w:rPr>
          <w:i/>
          <w:sz w:val="22"/>
          <w:szCs w:val="22"/>
        </w:rPr>
      </w:pPr>
      <w:r w:rsidRPr="00E35A7D">
        <w:rPr>
          <w:sz w:val="36"/>
          <w:szCs w:val="40"/>
        </w:rPr>
        <w:t>Specifikace předmětu plnění</w:t>
      </w:r>
    </w:p>
    <w:p w:rsidR="00DA4A35" w:rsidRPr="00DA4A35" w:rsidRDefault="00DA4A35" w:rsidP="00DE56C7">
      <w:pPr>
        <w:pStyle w:val="Default"/>
        <w:spacing w:before="120" w:after="240"/>
        <w:rPr>
          <w:sz w:val="36"/>
          <w:szCs w:val="40"/>
        </w:rPr>
      </w:pPr>
      <w:r>
        <w:rPr>
          <w:sz w:val="22"/>
          <w:szCs w:val="22"/>
        </w:rPr>
        <w:t>Vzorový koš originálních tonerů a náplní</w:t>
      </w:r>
    </w:p>
    <w:tbl>
      <w:tblPr>
        <w:tblStyle w:val="Svtlseznamzvraznn1"/>
        <w:tblW w:w="695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47"/>
        <w:gridCol w:w="1339"/>
        <w:gridCol w:w="1788"/>
        <w:gridCol w:w="1782"/>
      </w:tblGrid>
      <w:tr w:rsidR="00005232" w:rsidRPr="0040150B" w:rsidTr="004727C9">
        <w:trPr>
          <w:cnfStyle w:val="100000000000"/>
          <w:trHeight w:val="616"/>
        </w:trPr>
        <w:tc>
          <w:tcPr>
            <w:cnfStyle w:val="001000000000"/>
            <w:tcW w:w="2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005232" w:rsidRPr="0040150B" w:rsidRDefault="00005232" w:rsidP="009D08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(Objednací číslo)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005232" w:rsidRPr="0040150B" w:rsidRDefault="00005232" w:rsidP="009D084A">
            <w:pPr>
              <w:jc w:val="center"/>
              <w:cnfStyle w:val="1000000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50B"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005232" w:rsidRPr="004727C9" w:rsidRDefault="006A4F43" w:rsidP="009D084A">
            <w:pPr>
              <w:jc w:val="center"/>
              <w:cnfStyle w:val="1000000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Jednotková cena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005232" w:rsidRPr="0040150B" w:rsidRDefault="00005232" w:rsidP="009D084A">
            <w:pPr>
              <w:jc w:val="center"/>
              <w:cnfStyle w:val="1000000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150B">
              <w:rPr>
                <w:rFonts w:ascii="Calibri" w:hAnsi="Calibri" w:cs="Calibri"/>
                <w:color w:val="000000"/>
                <w:sz w:val="22"/>
                <w:szCs w:val="22"/>
              </w:rPr>
              <w:t>Cena celkem bez DPH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1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900,-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4727C9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19 000,-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537,-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4727C9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5 370,-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603,-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4727C9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6 030,-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789,-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4727C9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31 560,-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874,-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2146EF">
            <w:pPr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2146E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960,-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280,-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51 200,-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35 400,-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35 400,-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35 400,-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582,-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35 820,-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37 600,-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37 600,-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760,-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37 600,-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190,-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9E60E8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71 400,-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9E60E8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69 000</w:t>
            </w:r>
            <w:r w:rsidR="002146EF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9E60E8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="002146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146EF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380,-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55 200,-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919,-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191 900,-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886,-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132 020,-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886,-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132 020,-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886,-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132 020,-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943,-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77 720,-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943,-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58 290,-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943,-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58 290,-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047,-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61 410,-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152,-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20 760,-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152,-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20 760,-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152,-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20 760,-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005232" w:rsidRPr="004727C9" w:rsidTr="004727C9">
        <w:trPr>
          <w:cnfStyle w:val="000000100000"/>
          <w:trHeight w:val="308"/>
        </w:trPr>
        <w:tc>
          <w:tcPr>
            <w:cnfStyle w:val="001000000000"/>
            <w:tcW w:w="2047" w:type="dxa"/>
            <w:tcBorders>
              <w:top w:val="single" w:sz="2" w:space="0" w:color="auto"/>
              <w:left w:val="none" w:sz="0" w:space="0" w:color="auto"/>
              <w:bottom w:val="single" w:sz="1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  <w:hideMark/>
          </w:tcPr>
          <w:p w:rsidR="00005232" w:rsidRPr="00005232" w:rsidRDefault="00005232" w:rsidP="006E3513">
            <w:pPr>
              <w:jc w:val="center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52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05232" w:rsidRPr="004727C9" w:rsidRDefault="00005232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727C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7C9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800,-</w:t>
            </w:r>
            <w:r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</w:t>
            </w:r>
          </w:p>
        </w:tc>
        <w:tc>
          <w:tcPr>
            <w:tcW w:w="1782" w:type="dxa"/>
            <w:tcBorders>
              <w:top w:val="single" w:sz="2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:rsidR="00005232" w:rsidRPr="004727C9" w:rsidRDefault="002146EF" w:rsidP="006E3513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19 000,-</w:t>
            </w:r>
            <w:r w:rsidR="00005232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  <w:tr w:rsidR="006E3513" w:rsidRPr="004727C9" w:rsidTr="004727C9">
        <w:trPr>
          <w:trHeight w:val="308"/>
        </w:trPr>
        <w:tc>
          <w:tcPr>
            <w:cnfStyle w:val="001000000000"/>
            <w:tcW w:w="20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6E3513" w:rsidRPr="00E32024" w:rsidRDefault="006E3513" w:rsidP="004F5645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3513" w:rsidRPr="004727C9" w:rsidRDefault="006E3513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27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Cena celkem bez DPH: 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3513" w:rsidRPr="004727C9" w:rsidRDefault="004727C9" w:rsidP="006E3513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1 578 690,-</w:t>
            </w:r>
            <w:r w:rsidR="006E3513" w:rsidRPr="004727C9">
              <w:rPr>
                <w:rFonts w:ascii="Calibri" w:hAnsi="Calibri" w:cs="Calibri"/>
                <w:color w:val="000000"/>
                <w:sz w:val="22"/>
                <w:szCs w:val="22"/>
              </w:rPr>
              <w:t>          </w:t>
            </w:r>
          </w:p>
        </w:tc>
      </w:tr>
    </w:tbl>
    <w:p w:rsidR="0040150B" w:rsidRDefault="0040150B" w:rsidP="00832630"/>
    <w:p w:rsidR="00AF5766" w:rsidRDefault="00AF5766" w:rsidP="00832630"/>
    <w:p w:rsidR="009C12E9" w:rsidRPr="00832630" w:rsidRDefault="009D084A" w:rsidP="00832630">
      <w:r>
        <w:t xml:space="preserve">* </w:t>
      </w:r>
      <w:r w:rsidR="00AF5766">
        <w:t xml:space="preserve">Předpokládaný odběr zboží po dobu trvání smlouvy tj. </w:t>
      </w:r>
      <w:r w:rsidR="00637D97">
        <w:t>1</w:t>
      </w:r>
      <w:r w:rsidR="00AF5766">
        <w:t>2 měsíců.</w:t>
      </w:r>
    </w:p>
    <w:sectPr w:rsidR="009C12E9" w:rsidRPr="00832630" w:rsidSect="00917BFF">
      <w:headerReference w:type="default" r:id="rId10"/>
      <w:footerReference w:type="default" r:id="rId11"/>
      <w:pgSz w:w="11906" w:h="16838"/>
      <w:pgMar w:top="1385" w:right="1106" w:bottom="1276" w:left="1259" w:header="709" w:footer="66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2F063C" w16cid:durableId="1F059190"/>
  <w16cid:commentId w16cid:paraId="370F1778" w16cid:durableId="1F05924C"/>
  <w16cid:commentId w16cid:paraId="5904311B" w16cid:durableId="1F0593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DA" w:rsidRDefault="00DF60DA">
      <w:r>
        <w:separator/>
      </w:r>
    </w:p>
  </w:endnote>
  <w:endnote w:type="continuationSeparator" w:id="0">
    <w:p w:rsidR="00DF60DA" w:rsidRDefault="00DF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31" w:rsidRPr="00B82413" w:rsidRDefault="00216E31" w:rsidP="001008B8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4915535</wp:posOffset>
          </wp:positionH>
          <wp:positionV relativeFrom="paragraph">
            <wp:posOffset>-133985</wp:posOffset>
          </wp:positionV>
          <wp:extent cx="1266825" cy="3429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1AB6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="00361AB6" w:rsidRPr="004B331E">
      <w:rPr>
        <w:rStyle w:val="slostrnky"/>
        <w:rFonts w:cs="Arial"/>
        <w:color w:val="003C69"/>
        <w:sz w:val="16"/>
      </w:rPr>
      <w:fldChar w:fldCharType="separate"/>
    </w:r>
    <w:r w:rsidR="00694EA4">
      <w:rPr>
        <w:rStyle w:val="slostrnky"/>
        <w:rFonts w:cs="Arial"/>
        <w:noProof/>
        <w:color w:val="003C69"/>
        <w:sz w:val="16"/>
      </w:rPr>
      <w:t>6</w:t>
    </w:r>
    <w:r w:rsidR="00361AB6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="00361AB6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361AB6" w:rsidRPr="004B331E">
      <w:rPr>
        <w:rStyle w:val="slostrnky"/>
        <w:rFonts w:cs="Arial"/>
        <w:color w:val="003C69"/>
        <w:sz w:val="16"/>
      </w:rPr>
      <w:fldChar w:fldCharType="separate"/>
    </w:r>
    <w:r w:rsidR="00694EA4">
      <w:rPr>
        <w:rStyle w:val="slostrnky"/>
        <w:rFonts w:cs="Arial"/>
        <w:noProof/>
        <w:color w:val="003C69"/>
        <w:sz w:val="16"/>
      </w:rPr>
      <w:t>7</w:t>
    </w:r>
    <w:r w:rsidR="00361AB6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Kupní s</w:t>
    </w:r>
    <w:r w:rsidRPr="00B82413">
      <w:rPr>
        <w:rStyle w:val="slostrnky"/>
        <w:rFonts w:cs="Arial"/>
        <w:b/>
        <w:color w:val="003C69"/>
        <w:sz w:val="16"/>
      </w:rPr>
      <w:t>mlouva</w:t>
    </w:r>
    <w:r>
      <w:rPr>
        <w:rStyle w:val="slostrnky"/>
        <w:rFonts w:cs="Arial"/>
        <w:b/>
        <w:color w:val="003C69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31" w:rsidRPr="00B82413" w:rsidRDefault="00216E31" w:rsidP="001008B8">
    <w:pPr>
      <w:pStyle w:val="Zpat"/>
      <w:tabs>
        <w:tab w:val="clear" w:pos="4536"/>
        <w:tab w:val="clear" w:pos="9072"/>
        <w:tab w:val="center" w:pos="180"/>
        <w:tab w:val="left" w:pos="3060"/>
        <w:tab w:val="left" w:pos="8175"/>
      </w:tabs>
      <w:ind w:left="-28" w:right="4140" w:hanging="539"/>
      <w:rPr>
        <w:rFonts w:cs="Arial"/>
        <w:b/>
        <w:color w:val="003C69"/>
        <w:sz w:val="16"/>
      </w:rPr>
    </w:pPr>
    <w:r>
      <w:rPr>
        <w:rFonts w:cs="Arial"/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5067935</wp:posOffset>
          </wp:positionH>
          <wp:positionV relativeFrom="paragraph">
            <wp:posOffset>-95885</wp:posOffset>
          </wp:positionV>
          <wp:extent cx="1266825" cy="34290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1AB6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="00361AB6" w:rsidRPr="004B331E">
      <w:rPr>
        <w:rStyle w:val="slostrnky"/>
        <w:rFonts w:cs="Arial"/>
        <w:color w:val="003C69"/>
        <w:sz w:val="16"/>
      </w:rPr>
      <w:fldChar w:fldCharType="separate"/>
    </w:r>
    <w:r w:rsidR="00694EA4">
      <w:rPr>
        <w:rStyle w:val="slostrnky"/>
        <w:rFonts w:cs="Arial"/>
        <w:noProof/>
        <w:color w:val="003C69"/>
        <w:sz w:val="16"/>
      </w:rPr>
      <w:t>7</w:t>
    </w:r>
    <w:r w:rsidR="00361AB6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="00361AB6"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="00361AB6" w:rsidRPr="004B331E">
      <w:rPr>
        <w:rStyle w:val="slostrnky"/>
        <w:rFonts w:cs="Arial"/>
        <w:color w:val="003C69"/>
        <w:sz w:val="16"/>
      </w:rPr>
      <w:fldChar w:fldCharType="separate"/>
    </w:r>
    <w:r w:rsidR="00694EA4">
      <w:rPr>
        <w:rStyle w:val="slostrnky"/>
        <w:rFonts w:cs="Arial"/>
        <w:noProof/>
        <w:color w:val="003C69"/>
        <w:sz w:val="16"/>
      </w:rPr>
      <w:t>7</w:t>
    </w:r>
    <w:r w:rsidR="00361AB6"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ab/>
    </w:r>
    <w:r w:rsidR="00123BC6">
      <w:rPr>
        <w:rStyle w:val="slostrnky"/>
        <w:rFonts w:cs="Arial"/>
        <w:b/>
        <w:color w:val="003C69"/>
        <w:sz w:val="16"/>
      </w:rPr>
      <w:t>Kupní s</w:t>
    </w:r>
    <w:r w:rsidRPr="00B82413">
      <w:rPr>
        <w:rStyle w:val="slostrnky"/>
        <w:rFonts w:cs="Arial"/>
        <w:b/>
        <w:color w:val="003C69"/>
        <w:sz w:val="16"/>
      </w:rPr>
      <w:t>mlouva</w:t>
    </w:r>
    <w:r>
      <w:rPr>
        <w:rStyle w:val="slostrnky"/>
        <w:rFonts w:cs="Arial"/>
        <w:b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DA" w:rsidRDefault="00DF60DA">
      <w:r>
        <w:separator/>
      </w:r>
    </w:p>
  </w:footnote>
  <w:footnote w:type="continuationSeparator" w:id="0">
    <w:p w:rsidR="00DF60DA" w:rsidRDefault="00DF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31" w:rsidRPr="00154FA5" w:rsidRDefault="00361AB6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4578" type="#_x0000_t202" style="position:absolute;margin-left:361.2pt;margin-top:-1.6pt;width:120.8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Tx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" filled="f" stroked="f">
          <v:textbox>
            <w:txbxContent>
              <w:p w:rsidR="00216E31" w:rsidRPr="00B14CE8" w:rsidRDefault="00216E31" w:rsidP="0010105F">
                <w:pPr>
                  <w:jc w:val="right"/>
                  <w:rPr>
                    <w:b/>
                    <w:color w:val="003C69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</w:t>
                </w:r>
                <w:r w:rsidRPr="00B14CE8">
                  <w:rPr>
                    <w:b/>
                    <w:color w:val="003C69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216E31">
      <w:rPr>
        <w:rFonts w:cs="Arial"/>
        <w:b/>
        <w:noProof/>
        <w:color w:val="003C69"/>
      </w:rPr>
      <w:t>OVANET a.s.</w:t>
    </w:r>
  </w:p>
  <w:p w:rsidR="00216E31" w:rsidRPr="00154FA5" w:rsidRDefault="00216E31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>
      <w:rPr>
        <w:rFonts w:cs="Arial"/>
        <w:noProof/>
        <w:color w:val="003C69"/>
      </w:rPr>
      <w:t>Hájkova 1100/13, 702 00 Ostrava</w:t>
    </w:r>
  </w:p>
  <w:p w:rsidR="00216E31" w:rsidRPr="00B82413" w:rsidRDefault="00216E31" w:rsidP="00B824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31" w:rsidRPr="00154FA5" w:rsidRDefault="00361AB6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577" type="#_x0000_t202" style="position:absolute;margin-left:431.25pt;margin-top:-1.55pt;width:329.05pt;height: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ipuAIAAMA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" filled="f" stroked="f">
          <v:textbox>
            <w:txbxContent>
              <w:p w:rsidR="00216E31" w:rsidRPr="000F2BF5" w:rsidRDefault="00216E31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</w:t>
                </w:r>
                <w:r w:rsidRPr="000F2BF5">
                  <w:rPr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216E31">
      <w:rPr>
        <w:rFonts w:cs="Arial"/>
        <w:b/>
        <w:noProof/>
        <w:color w:val="003C69"/>
      </w:rPr>
      <w:t>OVANET a.s.</w:t>
    </w:r>
  </w:p>
  <w:p w:rsidR="00216E31" w:rsidRPr="00154FA5" w:rsidRDefault="00216E31" w:rsidP="00B82413">
    <w:pPr>
      <w:pStyle w:val="Zhlav"/>
      <w:tabs>
        <w:tab w:val="clear" w:pos="4536"/>
        <w:tab w:val="clear" w:pos="9072"/>
      </w:tabs>
      <w:spacing w:after="120"/>
      <w:rPr>
        <w:rFonts w:cs="Arial"/>
        <w:noProof/>
        <w:color w:val="003C69"/>
      </w:rPr>
    </w:pPr>
    <w:r w:rsidRPr="007F787C">
      <w:rPr>
        <w:rFonts w:cs="Arial"/>
        <w:noProof/>
        <w:color w:val="003C69"/>
      </w:rPr>
      <w:t>Hájkova 1100/13, 702 00 Ostrava</w:t>
    </w:r>
    <w:r w:rsidRPr="00154FA5">
      <w:rPr>
        <w:rFonts w:cs="Arial"/>
        <w:noProof/>
        <w:color w:val="003C69"/>
      </w:rPr>
      <w:t xml:space="preserve"> </w:t>
    </w:r>
  </w:p>
  <w:p w:rsidR="00216E31" w:rsidRPr="00B82413" w:rsidRDefault="00216E31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1511FB9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00DAB"/>
    <w:multiLevelType w:val="multilevel"/>
    <w:tmpl w:val="9BDA76EE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3E63300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B37C0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83A94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26E1B"/>
    <w:multiLevelType w:val="multilevel"/>
    <w:tmpl w:val="7C70443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0F8A45EE"/>
    <w:multiLevelType w:val="hybridMultilevel"/>
    <w:tmpl w:val="03400618"/>
    <w:lvl w:ilvl="0" w:tplc="C4F201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8029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468760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3D32EE9"/>
    <w:multiLevelType w:val="hybridMultilevel"/>
    <w:tmpl w:val="A064BB90"/>
    <w:lvl w:ilvl="0" w:tplc="CA989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5370BE5"/>
    <w:multiLevelType w:val="multilevel"/>
    <w:tmpl w:val="5E045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6BA00BC"/>
    <w:multiLevelType w:val="hybridMultilevel"/>
    <w:tmpl w:val="BBE49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02DB2"/>
    <w:multiLevelType w:val="multilevel"/>
    <w:tmpl w:val="FC2CD8B4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1DBF6F31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C633A6"/>
    <w:multiLevelType w:val="hybridMultilevel"/>
    <w:tmpl w:val="6110092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7261895"/>
    <w:multiLevelType w:val="hybridMultilevel"/>
    <w:tmpl w:val="9D30A5BC"/>
    <w:lvl w:ilvl="0" w:tplc="9DC4EB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41675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D2689"/>
    <w:multiLevelType w:val="hybridMultilevel"/>
    <w:tmpl w:val="9D14A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01EAF"/>
    <w:multiLevelType w:val="hybridMultilevel"/>
    <w:tmpl w:val="B3B49BC0"/>
    <w:lvl w:ilvl="0" w:tplc="C7AEF0FE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2E6D3A2F"/>
    <w:multiLevelType w:val="hybridMultilevel"/>
    <w:tmpl w:val="1F042D1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16531"/>
    <w:multiLevelType w:val="multilevel"/>
    <w:tmpl w:val="AC78F602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0255FE3"/>
    <w:multiLevelType w:val="hybridMultilevel"/>
    <w:tmpl w:val="84D43384"/>
    <w:lvl w:ilvl="0" w:tplc="CDCC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6">
    <w:nsid w:val="5DC3505B"/>
    <w:multiLevelType w:val="multilevel"/>
    <w:tmpl w:val="9326A20E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27">
    <w:nsid w:val="62B7419E"/>
    <w:multiLevelType w:val="hybridMultilevel"/>
    <w:tmpl w:val="8C9A880A"/>
    <w:lvl w:ilvl="0" w:tplc="F14EF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C4162B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17209"/>
    <w:multiLevelType w:val="multilevel"/>
    <w:tmpl w:val="AC78F602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683F0B2C"/>
    <w:multiLevelType w:val="hybridMultilevel"/>
    <w:tmpl w:val="531EF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20346"/>
    <w:multiLevelType w:val="hybridMultilevel"/>
    <w:tmpl w:val="8C32D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25"/>
  </w:num>
  <w:num w:numId="5">
    <w:abstractNumId w:val="15"/>
  </w:num>
  <w:num w:numId="6">
    <w:abstractNumId w:val="6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7"/>
  </w:num>
  <w:num w:numId="22">
    <w:abstractNumId w:val="18"/>
  </w:num>
  <w:num w:numId="23">
    <w:abstractNumId w:val="20"/>
  </w:num>
  <w:num w:numId="24">
    <w:abstractNumId w:val="12"/>
  </w:num>
  <w:num w:numId="25">
    <w:abstractNumId w:val="5"/>
  </w:num>
  <w:num w:numId="26">
    <w:abstractNumId w:val="30"/>
  </w:num>
  <w:num w:numId="27">
    <w:abstractNumId w:val="8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9"/>
  </w:num>
  <w:num w:numId="33">
    <w:abstractNumId w:val="23"/>
  </w:num>
  <w:num w:numId="34">
    <w:abstractNumId w:val="22"/>
  </w:num>
  <w:num w:numId="35">
    <w:abstractNumId w:val="21"/>
  </w:num>
  <w:num w:numId="36">
    <w:abstractNumId w:val="13"/>
  </w:num>
  <w:num w:numId="37">
    <w:abstractNumId w:val="29"/>
  </w:num>
  <w:num w:numId="38">
    <w:abstractNumId w:val="10"/>
  </w:num>
  <w:num w:numId="39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6"/>
  </w:num>
  <w:num w:numId="42">
    <w:abstractNumId w:val="31"/>
  </w:num>
  <w:num w:numId="43">
    <w:abstractNumId w:val="6"/>
  </w:num>
  <w:num w:numId="44">
    <w:abstractNumId w:val="6"/>
  </w:num>
  <w:num w:numId="45">
    <w:abstractNumId w:val="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48F9"/>
    <w:rsid w:val="00005232"/>
    <w:rsid w:val="00005520"/>
    <w:rsid w:val="00006492"/>
    <w:rsid w:val="0001150D"/>
    <w:rsid w:val="00011699"/>
    <w:rsid w:val="00012D88"/>
    <w:rsid w:val="00025367"/>
    <w:rsid w:val="000320D1"/>
    <w:rsid w:val="00033350"/>
    <w:rsid w:val="00033A3E"/>
    <w:rsid w:val="00033E0B"/>
    <w:rsid w:val="00034C9F"/>
    <w:rsid w:val="00035119"/>
    <w:rsid w:val="00040729"/>
    <w:rsid w:val="00043108"/>
    <w:rsid w:val="00045250"/>
    <w:rsid w:val="000466C0"/>
    <w:rsid w:val="00051FAC"/>
    <w:rsid w:val="000530BD"/>
    <w:rsid w:val="00054D05"/>
    <w:rsid w:val="0006371D"/>
    <w:rsid w:val="00064BCE"/>
    <w:rsid w:val="000657B7"/>
    <w:rsid w:val="00071B8E"/>
    <w:rsid w:val="00071FE4"/>
    <w:rsid w:val="00072046"/>
    <w:rsid w:val="00076ADF"/>
    <w:rsid w:val="00076B59"/>
    <w:rsid w:val="0007756F"/>
    <w:rsid w:val="00077C1B"/>
    <w:rsid w:val="00077E8B"/>
    <w:rsid w:val="00077FE8"/>
    <w:rsid w:val="00080503"/>
    <w:rsid w:val="00081ECD"/>
    <w:rsid w:val="00082828"/>
    <w:rsid w:val="00082DAB"/>
    <w:rsid w:val="000840BE"/>
    <w:rsid w:val="00085D3D"/>
    <w:rsid w:val="0009196A"/>
    <w:rsid w:val="00092A95"/>
    <w:rsid w:val="00093592"/>
    <w:rsid w:val="000956B2"/>
    <w:rsid w:val="000968C2"/>
    <w:rsid w:val="00096A9F"/>
    <w:rsid w:val="00096B7E"/>
    <w:rsid w:val="00097D3E"/>
    <w:rsid w:val="000A0421"/>
    <w:rsid w:val="000B2FBC"/>
    <w:rsid w:val="000B4423"/>
    <w:rsid w:val="000B4BF1"/>
    <w:rsid w:val="000B502C"/>
    <w:rsid w:val="000B6745"/>
    <w:rsid w:val="000B79FB"/>
    <w:rsid w:val="000C10DF"/>
    <w:rsid w:val="000C79DD"/>
    <w:rsid w:val="000C7DE1"/>
    <w:rsid w:val="000D4AAD"/>
    <w:rsid w:val="000D4ACF"/>
    <w:rsid w:val="000D6C93"/>
    <w:rsid w:val="000D7069"/>
    <w:rsid w:val="000E0363"/>
    <w:rsid w:val="000E11E1"/>
    <w:rsid w:val="000E186D"/>
    <w:rsid w:val="000E1DF9"/>
    <w:rsid w:val="000E57F9"/>
    <w:rsid w:val="000E7404"/>
    <w:rsid w:val="000F104E"/>
    <w:rsid w:val="000F165E"/>
    <w:rsid w:val="000F1F96"/>
    <w:rsid w:val="000F2BF5"/>
    <w:rsid w:val="000F3F02"/>
    <w:rsid w:val="001008B8"/>
    <w:rsid w:val="0010105F"/>
    <w:rsid w:val="001042B5"/>
    <w:rsid w:val="00104840"/>
    <w:rsid w:val="001070E9"/>
    <w:rsid w:val="00107117"/>
    <w:rsid w:val="001072B7"/>
    <w:rsid w:val="001105DF"/>
    <w:rsid w:val="00111AEB"/>
    <w:rsid w:val="001126D3"/>
    <w:rsid w:val="00114BA8"/>
    <w:rsid w:val="00115A10"/>
    <w:rsid w:val="0011617D"/>
    <w:rsid w:val="001163A2"/>
    <w:rsid w:val="001165D7"/>
    <w:rsid w:val="001170BE"/>
    <w:rsid w:val="001177F2"/>
    <w:rsid w:val="00117D47"/>
    <w:rsid w:val="00120D17"/>
    <w:rsid w:val="0012195E"/>
    <w:rsid w:val="00123BC6"/>
    <w:rsid w:val="00124187"/>
    <w:rsid w:val="00132BA3"/>
    <w:rsid w:val="00137276"/>
    <w:rsid w:val="00137D4D"/>
    <w:rsid w:val="00137FA2"/>
    <w:rsid w:val="00140401"/>
    <w:rsid w:val="0014340E"/>
    <w:rsid w:val="00143618"/>
    <w:rsid w:val="001446E1"/>
    <w:rsid w:val="00144EEB"/>
    <w:rsid w:val="0014556C"/>
    <w:rsid w:val="00150E6A"/>
    <w:rsid w:val="001537FF"/>
    <w:rsid w:val="00153BF0"/>
    <w:rsid w:val="00155744"/>
    <w:rsid w:val="001557BD"/>
    <w:rsid w:val="00156079"/>
    <w:rsid w:val="00157792"/>
    <w:rsid w:val="00160DD5"/>
    <w:rsid w:val="00162EDB"/>
    <w:rsid w:val="0016458C"/>
    <w:rsid w:val="001659FB"/>
    <w:rsid w:val="00166E95"/>
    <w:rsid w:val="00171CE6"/>
    <w:rsid w:val="0017427A"/>
    <w:rsid w:val="00174EAD"/>
    <w:rsid w:val="00177EF3"/>
    <w:rsid w:val="001808C9"/>
    <w:rsid w:val="00182F34"/>
    <w:rsid w:val="00187738"/>
    <w:rsid w:val="001905D0"/>
    <w:rsid w:val="0019398A"/>
    <w:rsid w:val="00194E89"/>
    <w:rsid w:val="00196DD9"/>
    <w:rsid w:val="001978E0"/>
    <w:rsid w:val="001A1488"/>
    <w:rsid w:val="001A191D"/>
    <w:rsid w:val="001A5BE1"/>
    <w:rsid w:val="001B09A6"/>
    <w:rsid w:val="001B0C20"/>
    <w:rsid w:val="001B3F74"/>
    <w:rsid w:val="001B58C8"/>
    <w:rsid w:val="001B7623"/>
    <w:rsid w:val="001C15B1"/>
    <w:rsid w:val="001C6452"/>
    <w:rsid w:val="001C7378"/>
    <w:rsid w:val="001C7C86"/>
    <w:rsid w:val="001D2228"/>
    <w:rsid w:val="001D49A0"/>
    <w:rsid w:val="001D6C9E"/>
    <w:rsid w:val="001E0628"/>
    <w:rsid w:val="001E5840"/>
    <w:rsid w:val="001E71F8"/>
    <w:rsid w:val="001F30F4"/>
    <w:rsid w:val="001F4CB6"/>
    <w:rsid w:val="001F57F2"/>
    <w:rsid w:val="001F5973"/>
    <w:rsid w:val="001F74A0"/>
    <w:rsid w:val="00200484"/>
    <w:rsid w:val="0020230D"/>
    <w:rsid w:val="002052F0"/>
    <w:rsid w:val="002057CE"/>
    <w:rsid w:val="00206806"/>
    <w:rsid w:val="00207959"/>
    <w:rsid w:val="002113CD"/>
    <w:rsid w:val="0021213D"/>
    <w:rsid w:val="00212438"/>
    <w:rsid w:val="002146EF"/>
    <w:rsid w:val="0021653C"/>
    <w:rsid w:val="00216E31"/>
    <w:rsid w:val="0021715E"/>
    <w:rsid w:val="00222323"/>
    <w:rsid w:val="00223C13"/>
    <w:rsid w:val="00227646"/>
    <w:rsid w:val="00231E29"/>
    <w:rsid w:val="002320D9"/>
    <w:rsid w:val="00232D69"/>
    <w:rsid w:val="002339F0"/>
    <w:rsid w:val="00234F8B"/>
    <w:rsid w:val="002352AC"/>
    <w:rsid w:val="002352DB"/>
    <w:rsid w:val="002365A9"/>
    <w:rsid w:val="0025231A"/>
    <w:rsid w:val="002551C8"/>
    <w:rsid w:val="00256084"/>
    <w:rsid w:val="00257005"/>
    <w:rsid w:val="002573ED"/>
    <w:rsid w:val="00257D6A"/>
    <w:rsid w:val="00264975"/>
    <w:rsid w:val="00267C49"/>
    <w:rsid w:val="00272711"/>
    <w:rsid w:val="00273F15"/>
    <w:rsid w:val="00274E28"/>
    <w:rsid w:val="00275150"/>
    <w:rsid w:val="00276198"/>
    <w:rsid w:val="00277647"/>
    <w:rsid w:val="00277891"/>
    <w:rsid w:val="00277D4A"/>
    <w:rsid w:val="00280152"/>
    <w:rsid w:val="00292B9C"/>
    <w:rsid w:val="00295DB8"/>
    <w:rsid w:val="002B20E3"/>
    <w:rsid w:val="002B4617"/>
    <w:rsid w:val="002B50A4"/>
    <w:rsid w:val="002B511C"/>
    <w:rsid w:val="002B6AD8"/>
    <w:rsid w:val="002C2A4B"/>
    <w:rsid w:val="002C5A51"/>
    <w:rsid w:val="002D0D5C"/>
    <w:rsid w:val="002D11FA"/>
    <w:rsid w:val="002D3496"/>
    <w:rsid w:val="002D5C76"/>
    <w:rsid w:val="002D6EC3"/>
    <w:rsid w:val="002E09F8"/>
    <w:rsid w:val="002E0F4B"/>
    <w:rsid w:val="002E328E"/>
    <w:rsid w:val="002E6016"/>
    <w:rsid w:val="002E7DF1"/>
    <w:rsid w:val="002F4AA4"/>
    <w:rsid w:val="002F4F62"/>
    <w:rsid w:val="002F54F8"/>
    <w:rsid w:val="00300CEA"/>
    <w:rsid w:val="00300F8F"/>
    <w:rsid w:val="00302127"/>
    <w:rsid w:val="003037B8"/>
    <w:rsid w:val="00305114"/>
    <w:rsid w:val="003146C8"/>
    <w:rsid w:val="00314FDE"/>
    <w:rsid w:val="00315DB2"/>
    <w:rsid w:val="0032167C"/>
    <w:rsid w:val="00323491"/>
    <w:rsid w:val="00331888"/>
    <w:rsid w:val="00334EF8"/>
    <w:rsid w:val="003359D2"/>
    <w:rsid w:val="00336523"/>
    <w:rsid w:val="003377FE"/>
    <w:rsid w:val="003606E4"/>
    <w:rsid w:val="00361AB6"/>
    <w:rsid w:val="003626BD"/>
    <w:rsid w:val="00363279"/>
    <w:rsid w:val="00363B39"/>
    <w:rsid w:val="00363DC4"/>
    <w:rsid w:val="00365726"/>
    <w:rsid w:val="003661E6"/>
    <w:rsid w:val="0036786C"/>
    <w:rsid w:val="00374AE0"/>
    <w:rsid w:val="00377C35"/>
    <w:rsid w:val="003813E3"/>
    <w:rsid w:val="00382FD6"/>
    <w:rsid w:val="00384FA4"/>
    <w:rsid w:val="00385149"/>
    <w:rsid w:val="00385D1E"/>
    <w:rsid w:val="00386C29"/>
    <w:rsid w:val="003901FE"/>
    <w:rsid w:val="003938E9"/>
    <w:rsid w:val="00393926"/>
    <w:rsid w:val="00394908"/>
    <w:rsid w:val="003969E7"/>
    <w:rsid w:val="00396FF3"/>
    <w:rsid w:val="00397C03"/>
    <w:rsid w:val="003A4D07"/>
    <w:rsid w:val="003A66D2"/>
    <w:rsid w:val="003B0CF6"/>
    <w:rsid w:val="003B0E21"/>
    <w:rsid w:val="003B2653"/>
    <w:rsid w:val="003B4FB5"/>
    <w:rsid w:val="003B5B5C"/>
    <w:rsid w:val="003B6065"/>
    <w:rsid w:val="003C0C0B"/>
    <w:rsid w:val="003C0D19"/>
    <w:rsid w:val="003C3033"/>
    <w:rsid w:val="003C3B90"/>
    <w:rsid w:val="003D0897"/>
    <w:rsid w:val="003D0DEE"/>
    <w:rsid w:val="003D1CD0"/>
    <w:rsid w:val="003D39F9"/>
    <w:rsid w:val="003D3A34"/>
    <w:rsid w:val="003D4294"/>
    <w:rsid w:val="003E0207"/>
    <w:rsid w:val="003E2EAE"/>
    <w:rsid w:val="003E4990"/>
    <w:rsid w:val="003E4B6A"/>
    <w:rsid w:val="003E636E"/>
    <w:rsid w:val="003F6523"/>
    <w:rsid w:val="0040150B"/>
    <w:rsid w:val="00401FD1"/>
    <w:rsid w:val="0040303C"/>
    <w:rsid w:val="00403B93"/>
    <w:rsid w:val="00404D29"/>
    <w:rsid w:val="00407B2E"/>
    <w:rsid w:val="004161ED"/>
    <w:rsid w:val="0042023B"/>
    <w:rsid w:val="00422CD4"/>
    <w:rsid w:val="00422EDF"/>
    <w:rsid w:val="00424001"/>
    <w:rsid w:val="00425341"/>
    <w:rsid w:val="00427B45"/>
    <w:rsid w:val="0043135C"/>
    <w:rsid w:val="00431E59"/>
    <w:rsid w:val="00435CA3"/>
    <w:rsid w:val="0044049A"/>
    <w:rsid w:val="0044224B"/>
    <w:rsid w:val="00442478"/>
    <w:rsid w:val="004434A3"/>
    <w:rsid w:val="004448E9"/>
    <w:rsid w:val="0044532C"/>
    <w:rsid w:val="00452020"/>
    <w:rsid w:val="00453717"/>
    <w:rsid w:val="0045394A"/>
    <w:rsid w:val="004554BB"/>
    <w:rsid w:val="00457CFC"/>
    <w:rsid w:val="0046099A"/>
    <w:rsid w:val="00461A24"/>
    <w:rsid w:val="00461C9A"/>
    <w:rsid w:val="00463252"/>
    <w:rsid w:val="00466C0A"/>
    <w:rsid w:val="00466C8B"/>
    <w:rsid w:val="00466F03"/>
    <w:rsid w:val="004727C9"/>
    <w:rsid w:val="00475747"/>
    <w:rsid w:val="00475A77"/>
    <w:rsid w:val="004824D8"/>
    <w:rsid w:val="00491321"/>
    <w:rsid w:val="00495D65"/>
    <w:rsid w:val="004A2010"/>
    <w:rsid w:val="004A32C0"/>
    <w:rsid w:val="004B0361"/>
    <w:rsid w:val="004B176B"/>
    <w:rsid w:val="004B19C2"/>
    <w:rsid w:val="004B1F48"/>
    <w:rsid w:val="004B351D"/>
    <w:rsid w:val="004B41CA"/>
    <w:rsid w:val="004B59AE"/>
    <w:rsid w:val="004C06DF"/>
    <w:rsid w:val="004C101D"/>
    <w:rsid w:val="004C5998"/>
    <w:rsid w:val="004C6786"/>
    <w:rsid w:val="004C7829"/>
    <w:rsid w:val="004D058F"/>
    <w:rsid w:val="004D1482"/>
    <w:rsid w:val="004D5A65"/>
    <w:rsid w:val="004E01AA"/>
    <w:rsid w:val="004E2BE4"/>
    <w:rsid w:val="004E2DBD"/>
    <w:rsid w:val="004E3545"/>
    <w:rsid w:val="004E4B39"/>
    <w:rsid w:val="004E7CA2"/>
    <w:rsid w:val="004F1443"/>
    <w:rsid w:val="004F3549"/>
    <w:rsid w:val="004F3901"/>
    <w:rsid w:val="004F3BD8"/>
    <w:rsid w:val="004F3D37"/>
    <w:rsid w:val="004F495E"/>
    <w:rsid w:val="004F5645"/>
    <w:rsid w:val="004F5CE5"/>
    <w:rsid w:val="004F621B"/>
    <w:rsid w:val="004F70BC"/>
    <w:rsid w:val="004F79CB"/>
    <w:rsid w:val="00504446"/>
    <w:rsid w:val="00504D7C"/>
    <w:rsid w:val="00506945"/>
    <w:rsid w:val="00514742"/>
    <w:rsid w:val="00515B46"/>
    <w:rsid w:val="005217E7"/>
    <w:rsid w:val="005226D1"/>
    <w:rsid w:val="005260F0"/>
    <w:rsid w:val="0052702A"/>
    <w:rsid w:val="005310AD"/>
    <w:rsid w:val="00531932"/>
    <w:rsid w:val="005350EB"/>
    <w:rsid w:val="00544EC7"/>
    <w:rsid w:val="0055193D"/>
    <w:rsid w:val="005538EF"/>
    <w:rsid w:val="00553F5A"/>
    <w:rsid w:val="00555CCA"/>
    <w:rsid w:val="00560E4D"/>
    <w:rsid w:val="00561671"/>
    <w:rsid w:val="005644A2"/>
    <w:rsid w:val="005706B0"/>
    <w:rsid w:val="00570E36"/>
    <w:rsid w:val="005721DD"/>
    <w:rsid w:val="005730E8"/>
    <w:rsid w:val="00576822"/>
    <w:rsid w:val="005769B4"/>
    <w:rsid w:val="0058420D"/>
    <w:rsid w:val="00584420"/>
    <w:rsid w:val="00585FE5"/>
    <w:rsid w:val="0058723C"/>
    <w:rsid w:val="00592B24"/>
    <w:rsid w:val="00592CE0"/>
    <w:rsid w:val="00597B24"/>
    <w:rsid w:val="005A1C02"/>
    <w:rsid w:val="005A3349"/>
    <w:rsid w:val="005A412A"/>
    <w:rsid w:val="005A4B63"/>
    <w:rsid w:val="005A59F3"/>
    <w:rsid w:val="005A6B53"/>
    <w:rsid w:val="005B0C95"/>
    <w:rsid w:val="005B1112"/>
    <w:rsid w:val="005B1230"/>
    <w:rsid w:val="005B3F7E"/>
    <w:rsid w:val="005C0594"/>
    <w:rsid w:val="005C1A6C"/>
    <w:rsid w:val="005C2094"/>
    <w:rsid w:val="005C5DA2"/>
    <w:rsid w:val="005D02FA"/>
    <w:rsid w:val="005D5FFA"/>
    <w:rsid w:val="005D7875"/>
    <w:rsid w:val="005E2F0F"/>
    <w:rsid w:val="005E4788"/>
    <w:rsid w:val="005E4DEB"/>
    <w:rsid w:val="005F0E26"/>
    <w:rsid w:val="005F1749"/>
    <w:rsid w:val="005F305D"/>
    <w:rsid w:val="005F4253"/>
    <w:rsid w:val="00600162"/>
    <w:rsid w:val="00604477"/>
    <w:rsid w:val="006067DC"/>
    <w:rsid w:val="00607958"/>
    <w:rsid w:val="00610D9D"/>
    <w:rsid w:val="0061150D"/>
    <w:rsid w:val="006121A8"/>
    <w:rsid w:val="00613685"/>
    <w:rsid w:val="00615B86"/>
    <w:rsid w:val="006210A2"/>
    <w:rsid w:val="00623A4C"/>
    <w:rsid w:val="00623CDC"/>
    <w:rsid w:val="00625E0C"/>
    <w:rsid w:val="00630767"/>
    <w:rsid w:val="00633DA5"/>
    <w:rsid w:val="00634518"/>
    <w:rsid w:val="00635FE7"/>
    <w:rsid w:val="006362EA"/>
    <w:rsid w:val="00637D97"/>
    <w:rsid w:val="00637F34"/>
    <w:rsid w:val="00640399"/>
    <w:rsid w:val="006431F0"/>
    <w:rsid w:val="00645C3F"/>
    <w:rsid w:val="006472BF"/>
    <w:rsid w:val="00647E87"/>
    <w:rsid w:val="00650660"/>
    <w:rsid w:val="00650964"/>
    <w:rsid w:val="00653E7F"/>
    <w:rsid w:val="006556D6"/>
    <w:rsid w:val="00655A6A"/>
    <w:rsid w:val="0066014F"/>
    <w:rsid w:val="00662541"/>
    <w:rsid w:val="00664EFF"/>
    <w:rsid w:val="00665F10"/>
    <w:rsid w:val="00666A52"/>
    <w:rsid w:val="00671969"/>
    <w:rsid w:val="006740D6"/>
    <w:rsid w:val="006758D5"/>
    <w:rsid w:val="00675F6F"/>
    <w:rsid w:val="00676155"/>
    <w:rsid w:val="00676BA5"/>
    <w:rsid w:val="00680B38"/>
    <w:rsid w:val="00681F06"/>
    <w:rsid w:val="00683E5D"/>
    <w:rsid w:val="0068408A"/>
    <w:rsid w:val="00687FDD"/>
    <w:rsid w:val="00694EA4"/>
    <w:rsid w:val="006A0B75"/>
    <w:rsid w:val="006A0E3F"/>
    <w:rsid w:val="006A2509"/>
    <w:rsid w:val="006A4333"/>
    <w:rsid w:val="006A4F43"/>
    <w:rsid w:val="006A61E6"/>
    <w:rsid w:val="006B3B47"/>
    <w:rsid w:val="006C42AB"/>
    <w:rsid w:val="006C47E8"/>
    <w:rsid w:val="006C49A3"/>
    <w:rsid w:val="006C4DEF"/>
    <w:rsid w:val="006C5547"/>
    <w:rsid w:val="006C7045"/>
    <w:rsid w:val="006D0048"/>
    <w:rsid w:val="006D25CB"/>
    <w:rsid w:val="006D4C85"/>
    <w:rsid w:val="006E2735"/>
    <w:rsid w:val="006E3513"/>
    <w:rsid w:val="006E7DE0"/>
    <w:rsid w:val="006F185E"/>
    <w:rsid w:val="006F188D"/>
    <w:rsid w:val="006F3965"/>
    <w:rsid w:val="006F5C7B"/>
    <w:rsid w:val="006F65BA"/>
    <w:rsid w:val="00703236"/>
    <w:rsid w:val="007036C8"/>
    <w:rsid w:val="00706CD0"/>
    <w:rsid w:val="00712FF1"/>
    <w:rsid w:val="00714362"/>
    <w:rsid w:val="0072094C"/>
    <w:rsid w:val="00722144"/>
    <w:rsid w:val="0072284F"/>
    <w:rsid w:val="00722B69"/>
    <w:rsid w:val="0072343C"/>
    <w:rsid w:val="00725265"/>
    <w:rsid w:val="0073054C"/>
    <w:rsid w:val="0073410A"/>
    <w:rsid w:val="00734EC3"/>
    <w:rsid w:val="00736FB4"/>
    <w:rsid w:val="00740CA6"/>
    <w:rsid w:val="00740FDE"/>
    <w:rsid w:val="007425A3"/>
    <w:rsid w:val="007454E9"/>
    <w:rsid w:val="00750A5E"/>
    <w:rsid w:val="00754198"/>
    <w:rsid w:val="00761701"/>
    <w:rsid w:val="00761FA5"/>
    <w:rsid w:val="00763AA3"/>
    <w:rsid w:val="007664CB"/>
    <w:rsid w:val="00766F9E"/>
    <w:rsid w:val="0077210F"/>
    <w:rsid w:val="00773A37"/>
    <w:rsid w:val="00774372"/>
    <w:rsid w:val="0077680A"/>
    <w:rsid w:val="00777797"/>
    <w:rsid w:val="00782BDA"/>
    <w:rsid w:val="007837FB"/>
    <w:rsid w:val="00786858"/>
    <w:rsid w:val="00790DA8"/>
    <w:rsid w:val="0079124D"/>
    <w:rsid w:val="00795BFE"/>
    <w:rsid w:val="00797C40"/>
    <w:rsid w:val="007A0189"/>
    <w:rsid w:val="007A3176"/>
    <w:rsid w:val="007A640F"/>
    <w:rsid w:val="007B6E39"/>
    <w:rsid w:val="007B6F53"/>
    <w:rsid w:val="007C2EB6"/>
    <w:rsid w:val="007D13ED"/>
    <w:rsid w:val="007D2643"/>
    <w:rsid w:val="007D4453"/>
    <w:rsid w:val="007E15E1"/>
    <w:rsid w:val="007E21D7"/>
    <w:rsid w:val="007E3CCB"/>
    <w:rsid w:val="007E463D"/>
    <w:rsid w:val="007F17D8"/>
    <w:rsid w:val="007F398A"/>
    <w:rsid w:val="007F4D4A"/>
    <w:rsid w:val="007F6CD7"/>
    <w:rsid w:val="007F787C"/>
    <w:rsid w:val="00801D7F"/>
    <w:rsid w:val="00802A0C"/>
    <w:rsid w:val="008036C6"/>
    <w:rsid w:val="00806526"/>
    <w:rsid w:val="00816A82"/>
    <w:rsid w:val="00817C03"/>
    <w:rsid w:val="00817DF4"/>
    <w:rsid w:val="008205F8"/>
    <w:rsid w:val="00821DBD"/>
    <w:rsid w:val="00823496"/>
    <w:rsid w:val="00823DA7"/>
    <w:rsid w:val="00824D0A"/>
    <w:rsid w:val="00832630"/>
    <w:rsid w:val="0083444F"/>
    <w:rsid w:val="00836914"/>
    <w:rsid w:val="00840532"/>
    <w:rsid w:val="008421D3"/>
    <w:rsid w:val="00842C17"/>
    <w:rsid w:val="00843015"/>
    <w:rsid w:val="00844903"/>
    <w:rsid w:val="008520B2"/>
    <w:rsid w:val="00855C7D"/>
    <w:rsid w:val="00856AD9"/>
    <w:rsid w:val="0086257C"/>
    <w:rsid w:val="00862A37"/>
    <w:rsid w:val="00863260"/>
    <w:rsid w:val="00863FF4"/>
    <w:rsid w:val="00866C14"/>
    <w:rsid w:val="0087026B"/>
    <w:rsid w:val="00871C08"/>
    <w:rsid w:val="008721E7"/>
    <w:rsid w:val="008742BB"/>
    <w:rsid w:val="00874F0E"/>
    <w:rsid w:val="00874F53"/>
    <w:rsid w:val="00877F41"/>
    <w:rsid w:val="00883CD8"/>
    <w:rsid w:val="00883DA1"/>
    <w:rsid w:val="00891121"/>
    <w:rsid w:val="00894941"/>
    <w:rsid w:val="00895214"/>
    <w:rsid w:val="008A4142"/>
    <w:rsid w:val="008A52C7"/>
    <w:rsid w:val="008A7537"/>
    <w:rsid w:val="008B59EC"/>
    <w:rsid w:val="008C216C"/>
    <w:rsid w:val="008C6881"/>
    <w:rsid w:val="008C6A66"/>
    <w:rsid w:val="008C7D31"/>
    <w:rsid w:val="008D18CD"/>
    <w:rsid w:val="008D4D10"/>
    <w:rsid w:val="008D77CF"/>
    <w:rsid w:val="008E0361"/>
    <w:rsid w:val="008E4894"/>
    <w:rsid w:val="008E4AB1"/>
    <w:rsid w:val="008E67B4"/>
    <w:rsid w:val="008F05F4"/>
    <w:rsid w:val="008F24EC"/>
    <w:rsid w:val="008F3CF3"/>
    <w:rsid w:val="008F66DF"/>
    <w:rsid w:val="009005D0"/>
    <w:rsid w:val="0091479D"/>
    <w:rsid w:val="00916E04"/>
    <w:rsid w:val="00917BFF"/>
    <w:rsid w:val="009259BA"/>
    <w:rsid w:val="00930C02"/>
    <w:rsid w:val="00931B4B"/>
    <w:rsid w:val="0093346C"/>
    <w:rsid w:val="0094283F"/>
    <w:rsid w:val="0094407E"/>
    <w:rsid w:val="0094455D"/>
    <w:rsid w:val="00947B9C"/>
    <w:rsid w:val="00950287"/>
    <w:rsid w:val="009502F2"/>
    <w:rsid w:val="0095105C"/>
    <w:rsid w:val="00951B25"/>
    <w:rsid w:val="009537F6"/>
    <w:rsid w:val="00956676"/>
    <w:rsid w:val="009573D9"/>
    <w:rsid w:val="0095773F"/>
    <w:rsid w:val="0096044C"/>
    <w:rsid w:val="00960D6D"/>
    <w:rsid w:val="00960EE0"/>
    <w:rsid w:val="0096150E"/>
    <w:rsid w:val="009615DF"/>
    <w:rsid w:val="00961993"/>
    <w:rsid w:val="00962091"/>
    <w:rsid w:val="00962271"/>
    <w:rsid w:val="00962AB5"/>
    <w:rsid w:val="00966550"/>
    <w:rsid w:val="00966D39"/>
    <w:rsid w:val="00973015"/>
    <w:rsid w:val="00975169"/>
    <w:rsid w:val="00975DF5"/>
    <w:rsid w:val="00986AC5"/>
    <w:rsid w:val="0098719E"/>
    <w:rsid w:val="009904AD"/>
    <w:rsid w:val="00991493"/>
    <w:rsid w:val="009935E8"/>
    <w:rsid w:val="00996946"/>
    <w:rsid w:val="009A54AE"/>
    <w:rsid w:val="009A7FC5"/>
    <w:rsid w:val="009B0CE1"/>
    <w:rsid w:val="009B2458"/>
    <w:rsid w:val="009B3237"/>
    <w:rsid w:val="009B6E94"/>
    <w:rsid w:val="009C115E"/>
    <w:rsid w:val="009C118A"/>
    <w:rsid w:val="009C11FE"/>
    <w:rsid w:val="009C12E9"/>
    <w:rsid w:val="009C346D"/>
    <w:rsid w:val="009C508D"/>
    <w:rsid w:val="009C57D7"/>
    <w:rsid w:val="009D084A"/>
    <w:rsid w:val="009D084E"/>
    <w:rsid w:val="009D4240"/>
    <w:rsid w:val="009D7338"/>
    <w:rsid w:val="009D7C98"/>
    <w:rsid w:val="009E1ED5"/>
    <w:rsid w:val="009E3D94"/>
    <w:rsid w:val="009E60E8"/>
    <w:rsid w:val="009F2789"/>
    <w:rsid w:val="009F42F1"/>
    <w:rsid w:val="009F5ECF"/>
    <w:rsid w:val="009F69DC"/>
    <w:rsid w:val="009F79D4"/>
    <w:rsid w:val="00A0294D"/>
    <w:rsid w:val="00A02F32"/>
    <w:rsid w:val="00A03867"/>
    <w:rsid w:val="00A121D8"/>
    <w:rsid w:val="00A13DC8"/>
    <w:rsid w:val="00A1415F"/>
    <w:rsid w:val="00A145D2"/>
    <w:rsid w:val="00A2127D"/>
    <w:rsid w:val="00A22754"/>
    <w:rsid w:val="00A23D28"/>
    <w:rsid w:val="00A261BC"/>
    <w:rsid w:val="00A27B7D"/>
    <w:rsid w:val="00A27EDF"/>
    <w:rsid w:val="00A309FF"/>
    <w:rsid w:val="00A30BE9"/>
    <w:rsid w:val="00A32B88"/>
    <w:rsid w:val="00A34E23"/>
    <w:rsid w:val="00A36219"/>
    <w:rsid w:val="00A37B2B"/>
    <w:rsid w:val="00A37E44"/>
    <w:rsid w:val="00A40897"/>
    <w:rsid w:val="00A40967"/>
    <w:rsid w:val="00A4222F"/>
    <w:rsid w:val="00A444B0"/>
    <w:rsid w:val="00A44674"/>
    <w:rsid w:val="00A474CA"/>
    <w:rsid w:val="00A50201"/>
    <w:rsid w:val="00A531EF"/>
    <w:rsid w:val="00A61CE1"/>
    <w:rsid w:val="00A61D7D"/>
    <w:rsid w:val="00A61FEF"/>
    <w:rsid w:val="00A640E3"/>
    <w:rsid w:val="00A64A4F"/>
    <w:rsid w:val="00A71971"/>
    <w:rsid w:val="00A719AA"/>
    <w:rsid w:val="00A7787D"/>
    <w:rsid w:val="00A81461"/>
    <w:rsid w:val="00A83587"/>
    <w:rsid w:val="00A94D96"/>
    <w:rsid w:val="00A965C1"/>
    <w:rsid w:val="00A97AD2"/>
    <w:rsid w:val="00AA1AF9"/>
    <w:rsid w:val="00AA5206"/>
    <w:rsid w:val="00AA5580"/>
    <w:rsid w:val="00AA5673"/>
    <w:rsid w:val="00AA6A50"/>
    <w:rsid w:val="00AA7A9A"/>
    <w:rsid w:val="00AA7AA3"/>
    <w:rsid w:val="00AA7B11"/>
    <w:rsid w:val="00AB17D3"/>
    <w:rsid w:val="00AB259D"/>
    <w:rsid w:val="00AB5630"/>
    <w:rsid w:val="00AB76E5"/>
    <w:rsid w:val="00AC0A43"/>
    <w:rsid w:val="00AC1D5B"/>
    <w:rsid w:val="00AC30C5"/>
    <w:rsid w:val="00AC31F6"/>
    <w:rsid w:val="00AC66FA"/>
    <w:rsid w:val="00AC678F"/>
    <w:rsid w:val="00AD4947"/>
    <w:rsid w:val="00AD4EA6"/>
    <w:rsid w:val="00AD601D"/>
    <w:rsid w:val="00AD63B1"/>
    <w:rsid w:val="00AD7F3C"/>
    <w:rsid w:val="00AE0D85"/>
    <w:rsid w:val="00AE2AAF"/>
    <w:rsid w:val="00AE3015"/>
    <w:rsid w:val="00AE625B"/>
    <w:rsid w:val="00AE6BD1"/>
    <w:rsid w:val="00AE769A"/>
    <w:rsid w:val="00AF2BE4"/>
    <w:rsid w:val="00AF4A6D"/>
    <w:rsid w:val="00AF5766"/>
    <w:rsid w:val="00AF6E47"/>
    <w:rsid w:val="00B0519D"/>
    <w:rsid w:val="00B05464"/>
    <w:rsid w:val="00B14CE8"/>
    <w:rsid w:val="00B15D73"/>
    <w:rsid w:val="00B206E3"/>
    <w:rsid w:val="00B216BD"/>
    <w:rsid w:val="00B22726"/>
    <w:rsid w:val="00B2757E"/>
    <w:rsid w:val="00B34213"/>
    <w:rsid w:val="00B36F09"/>
    <w:rsid w:val="00B40CE3"/>
    <w:rsid w:val="00B448C2"/>
    <w:rsid w:val="00B50432"/>
    <w:rsid w:val="00B50FE4"/>
    <w:rsid w:val="00B51C9B"/>
    <w:rsid w:val="00B53C1D"/>
    <w:rsid w:val="00B56674"/>
    <w:rsid w:val="00B60EA6"/>
    <w:rsid w:val="00B6129E"/>
    <w:rsid w:val="00B63132"/>
    <w:rsid w:val="00B653CC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76872"/>
    <w:rsid w:val="00B82413"/>
    <w:rsid w:val="00B8361C"/>
    <w:rsid w:val="00B83B92"/>
    <w:rsid w:val="00B93083"/>
    <w:rsid w:val="00B945AB"/>
    <w:rsid w:val="00B95265"/>
    <w:rsid w:val="00B96489"/>
    <w:rsid w:val="00B96794"/>
    <w:rsid w:val="00BA1776"/>
    <w:rsid w:val="00BA3DA9"/>
    <w:rsid w:val="00BB0DF2"/>
    <w:rsid w:val="00BB3C70"/>
    <w:rsid w:val="00BC0207"/>
    <w:rsid w:val="00BC1B08"/>
    <w:rsid w:val="00BC5E49"/>
    <w:rsid w:val="00BD0799"/>
    <w:rsid w:val="00BD109E"/>
    <w:rsid w:val="00BD163A"/>
    <w:rsid w:val="00BD2725"/>
    <w:rsid w:val="00BD41B3"/>
    <w:rsid w:val="00BD46C0"/>
    <w:rsid w:val="00BD60AF"/>
    <w:rsid w:val="00BD615C"/>
    <w:rsid w:val="00BD68A0"/>
    <w:rsid w:val="00BD6A88"/>
    <w:rsid w:val="00BD6DC5"/>
    <w:rsid w:val="00BE29A5"/>
    <w:rsid w:val="00BE3978"/>
    <w:rsid w:val="00BE7986"/>
    <w:rsid w:val="00BF22BC"/>
    <w:rsid w:val="00BF5FED"/>
    <w:rsid w:val="00BF6C99"/>
    <w:rsid w:val="00C00C92"/>
    <w:rsid w:val="00C01495"/>
    <w:rsid w:val="00C0157F"/>
    <w:rsid w:val="00C0290B"/>
    <w:rsid w:val="00C05356"/>
    <w:rsid w:val="00C058EE"/>
    <w:rsid w:val="00C06CE8"/>
    <w:rsid w:val="00C10A67"/>
    <w:rsid w:val="00C10BDF"/>
    <w:rsid w:val="00C13594"/>
    <w:rsid w:val="00C13815"/>
    <w:rsid w:val="00C143E4"/>
    <w:rsid w:val="00C156D4"/>
    <w:rsid w:val="00C16235"/>
    <w:rsid w:val="00C17F7F"/>
    <w:rsid w:val="00C23BDF"/>
    <w:rsid w:val="00C23CEE"/>
    <w:rsid w:val="00C27891"/>
    <w:rsid w:val="00C326C8"/>
    <w:rsid w:val="00C330FF"/>
    <w:rsid w:val="00C41F2F"/>
    <w:rsid w:val="00C42C33"/>
    <w:rsid w:val="00C42E47"/>
    <w:rsid w:val="00C45C4D"/>
    <w:rsid w:val="00C45F3A"/>
    <w:rsid w:val="00C46D61"/>
    <w:rsid w:val="00C501EB"/>
    <w:rsid w:val="00C55995"/>
    <w:rsid w:val="00C5627E"/>
    <w:rsid w:val="00C57A75"/>
    <w:rsid w:val="00C61735"/>
    <w:rsid w:val="00C700F7"/>
    <w:rsid w:val="00C7037D"/>
    <w:rsid w:val="00C70D96"/>
    <w:rsid w:val="00C70EE1"/>
    <w:rsid w:val="00C7117A"/>
    <w:rsid w:val="00C73DDC"/>
    <w:rsid w:val="00C7459B"/>
    <w:rsid w:val="00C7473F"/>
    <w:rsid w:val="00C75DDF"/>
    <w:rsid w:val="00C82EAC"/>
    <w:rsid w:val="00C83738"/>
    <w:rsid w:val="00C85E3D"/>
    <w:rsid w:val="00C85F22"/>
    <w:rsid w:val="00C86F0B"/>
    <w:rsid w:val="00C914C7"/>
    <w:rsid w:val="00C9234A"/>
    <w:rsid w:val="00C943A7"/>
    <w:rsid w:val="00C96F30"/>
    <w:rsid w:val="00CA1166"/>
    <w:rsid w:val="00CA4783"/>
    <w:rsid w:val="00CA7728"/>
    <w:rsid w:val="00CB0338"/>
    <w:rsid w:val="00CB073C"/>
    <w:rsid w:val="00CB1A0A"/>
    <w:rsid w:val="00CB1AC3"/>
    <w:rsid w:val="00CB2368"/>
    <w:rsid w:val="00CB31F9"/>
    <w:rsid w:val="00CB3BFF"/>
    <w:rsid w:val="00CB4FA1"/>
    <w:rsid w:val="00CB6CAB"/>
    <w:rsid w:val="00CB7BD8"/>
    <w:rsid w:val="00CC3B74"/>
    <w:rsid w:val="00CD11D2"/>
    <w:rsid w:val="00CD15A1"/>
    <w:rsid w:val="00CD7CDE"/>
    <w:rsid w:val="00CE081C"/>
    <w:rsid w:val="00CE1BC9"/>
    <w:rsid w:val="00CE411B"/>
    <w:rsid w:val="00CE6096"/>
    <w:rsid w:val="00CE7494"/>
    <w:rsid w:val="00CE7BA8"/>
    <w:rsid w:val="00CF204F"/>
    <w:rsid w:val="00D00AF0"/>
    <w:rsid w:val="00D01083"/>
    <w:rsid w:val="00D0123B"/>
    <w:rsid w:val="00D04E7B"/>
    <w:rsid w:val="00D06AB3"/>
    <w:rsid w:val="00D10041"/>
    <w:rsid w:val="00D1701C"/>
    <w:rsid w:val="00D20702"/>
    <w:rsid w:val="00D2263D"/>
    <w:rsid w:val="00D24B58"/>
    <w:rsid w:val="00D2790F"/>
    <w:rsid w:val="00D31CBE"/>
    <w:rsid w:val="00D33FA6"/>
    <w:rsid w:val="00D35D76"/>
    <w:rsid w:val="00D42D06"/>
    <w:rsid w:val="00D45563"/>
    <w:rsid w:val="00D47D80"/>
    <w:rsid w:val="00D5296B"/>
    <w:rsid w:val="00D5594E"/>
    <w:rsid w:val="00D61164"/>
    <w:rsid w:val="00D6336C"/>
    <w:rsid w:val="00D677CE"/>
    <w:rsid w:val="00D67C22"/>
    <w:rsid w:val="00D7240C"/>
    <w:rsid w:val="00D73178"/>
    <w:rsid w:val="00D76504"/>
    <w:rsid w:val="00D7695E"/>
    <w:rsid w:val="00D773D4"/>
    <w:rsid w:val="00D8079B"/>
    <w:rsid w:val="00D81413"/>
    <w:rsid w:val="00D82F14"/>
    <w:rsid w:val="00D84332"/>
    <w:rsid w:val="00D84EE6"/>
    <w:rsid w:val="00D851C3"/>
    <w:rsid w:val="00D91227"/>
    <w:rsid w:val="00D915B8"/>
    <w:rsid w:val="00D91DC4"/>
    <w:rsid w:val="00D94CF8"/>
    <w:rsid w:val="00D9555E"/>
    <w:rsid w:val="00D96C22"/>
    <w:rsid w:val="00DA2F07"/>
    <w:rsid w:val="00DA3C24"/>
    <w:rsid w:val="00DA4826"/>
    <w:rsid w:val="00DA4A35"/>
    <w:rsid w:val="00DB4DB9"/>
    <w:rsid w:val="00DB5D88"/>
    <w:rsid w:val="00DB7757"/>
    <w:rsid w:val="00DC00C3"/>
    <w:rsid w:val="00DC33E0"/>
    <w:rsid w:val="00DC50A1"/>
    <w:rsid w:val="00DC7312"/>
    <w:rsid w:val="00DD0F96"/>
    <w:rsid w:val="00DE08FF"/>
    <w:rsid w:val="00DE1249"/>
    <w:rsid w:val="00DE14CF"/>
    <w:rsid w:val="00DE1D21"/>
    <w:rsid w:val="00DE1E4B"/>
    <w:rsid w:val="00DE3436"/>
    <w:rsid w:val="00DE55A5"/>
    <w:rsid w:val="00DE56C7"/>
    <w:rsid w:val="00DE7628"/>
    <w:rsid w:val="00DE7E30"/>
    <w:rsid w:val="00DF361E"/>
    <w:rsid w:val="00DF4BBC"/>
    <w:rsid w:val="00DF4C63"/>
    <w:rsid w:val="00DF60DA"/>
    <w:rsid w:val="00DF62B7"/>
    <w:rsid w:val="00DF6947"/>
    <w:rsid w:val="00DF6DA5"/>
    <w:rsid w:val="00DF7799"/>
    <w:rsid w:val="00E117B8"/>
    <w:rsid w:val="00E120BC"/>
    <w:rsid w:val="00E16FD6"/>
    <w:rsid w:val="00E207DC"/>
    <w:rsid w:val="00E2473B"/>
    <w:rsid w:val="00E262F1"/>
    <w:rsid w:val="00E26F00"/>
    <w:rsid w:val="00E27D23"/>
    <w:rsid w:val="00E32DDA"/>
    <w:rsid w:val="00E36C7E"/>
    <w:rsid w:val="00E378CE"/>
    <w:rsid w:val="00E44439"/>
    <w:rsid w:val="00E50CC7"/>
    <w:rsid w:val="00E50D81"/>
    <w:rsid w:val="00E510C0"/>
    <w:rsid w:val="00E568D4"/>
    <w:rsid w:val="00E66041"/>
    <w:rsid w:val="00E70C4D"/>
    <w:rsid w:val="00E72E06"/>
    <w:rsid w:val="00E773E7"/>
    <w:rsid w:val="00E8132A"/>
    <w:rsid w:val="00E820B5"/>
    <w:rsid w:val="00E85DE3"/>
    <w:rsid w:val="00E91469"/>
    <w:rsid w:val="00E94DA7"/>
    <w:rsid w:val="00E95EEE"/>
    <w:rsid w:val="00EA0905"/>
    <w:rsid w:val="00EA1CEE"/>
    <w:rsid w:val="00EA596C"/>
    <w:rsid w:val="00EA78F2"/>
    <w:rsid w:val="00EB0E9C"/>
    <w:rsid w:val="00EB185E"/>
    <w:rsid w:val="00EB3D32"/>
    <w:rsid w:val="00EC03A0"/>
    <w:rsid w:val="00EC0F78"/>
    <w:rsid w:val="00EC1B6C"/>
    <w:rsid w:val="00ED1C83"/>
    <w:rsid w:val="00ED3992"/>
    <w:rsid w:val="00ED6888"/>
    <w:rsid w:val="00ED6D59"/>
    <w:rsid w:val="00ED743B"/>
    <w:rsid w:val="00EE3607"/>
    <w:rsid w:val="00EE3AB8"/>
    <w:rsid w:val="00EE46FD"/>
    <w:rsid w:val="00EF07B3"/>
    <w:rsid w:val="00F02298"/>
    <w:rsid w:val="00F114DA"/>
    <w:rsid w:val="00F11F21"/>
    <w:rsid w:val="00F166B8"/>
    <w:rsid w:val="00F20A5F"/>
    <w:rsid w:val="00F22DDC"/>
    <w:rsid w:val="00F27540"/>
    <w:rsid w:val="00F35669"/>
    <w:rsid w:val="00F4116C"/>
    <w:rsid w:val="00F50F07"/>
    <w:rsid w:val="00F547B5"/>
    <w:rsid w:val="00F5788B"/>
    <w:rsid w:val="00F62FB2"/>
    <w:rsid w:val="00F634B8"/>
    <w:rsid w:val="00F6664E"/>
    <w:rsid w:val="00F67715"/>
    <w:rsid w:val="00F7252A"/>
    <w:rsid w:val="00F73811"/>
    <w:rsid w:val="00F7590B"/>
    <w:rsid w:val="00F76B93"/>
    <w:rsid w:val="00F77945"/>
    <w:rsid w:val="00F828E2"/>
    <w:rsid w:val="00F8308C"/>
    <w:rsid w:val="00F84180"/>
    <w:rsid w:val="00F85C30"/>
    <w:rsid w:val="00F87FCD"/>
    <w:rsid w:val="00F90E45"/>
    <w:rsid w:val="00F9130D"/>
    <w:rsid w:val="00F91B1A"/>
    <w:rsid w:val="00F970C8"/>
    <w:rsid w:val="00F97C28"/>
    <w:rsid w:val="00FA43A6"/>
    <w:rsid w:val="00FA43CB"/>
    <w:rsid w:val="00FA670F"/>
    <w:rsid w:val="00FA7ABB"/>
    <w:rsid w:val="00FA7CD3"/>
    <w:rsid w:val="00FB1817"/>
    <w:rsid w:val="00FB3D1A"/>
    <w:rsid w:val="00FB6B61"/>
    <w:rsid w:val="00FB75D7"/>
    <w:rsid w:val="00FC4DE9"/>
    <w:rsid w:val="00FC553F"/>
    <w:rsid w:val="00FC6492"/>
    <w:rsid w:val="00FD3B74"/>
    <w:rsid w:val="00FD7033"/>
    <w:rsid w:val="00FE0F1A"/>
    <w:rsid w:val="00FE1F9C"/>
    <w:rsid w:val="00FE2CF0"/>
    <w:rsid w:val="00FE3873"/>
    <w:rsid w:val="00FE4B97"/>
    <w:rsid w:val="00FE5801"/>
    <w:rsid w:val="00FE6EF3"/>
    <w:rsid w:val="00FF048D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14"/>
    <w:rPr>
      <w:rFonts w:ascii="Arial" w:hAnsi="Arial"/>
    </w:rPr>
  </w:style>
  <w:style w:type="paragraph" w:styleId="Nadpis1">
    <w:name w:val="heading 1"/>
    <w:basedOn w:val="Normln"/>
    <w:next w:val="Normln"/>
    <w:uiPriority w:val="9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6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3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4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uiPriority w:val="59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17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WW8Num4z3">
    <w:name w:val="WW8Num4z3"/>
    <w:rsid w:val="008D4D10"/>
    <w:rPr>
      <w:rFonts w:ascii="Symbol" w:hAnsi="Symbol"/>
    </w:rPr>
  </w:style>
  <w:style w:type="table" w:styleId="Svtlseznamzvraznn1">
    <w:name w:val="Light List Accent 1"/>
    <w:basedOn w:val="Normlntabulka"/>
    <w:uiPriority w:val="61"/>
    <w:rsid w:val="00D00AF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BD07-EDF9-4662-BC1E-36855E70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2636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2018-11-30T08:41:00Z</dcterms:created>
  <dcterms:modified xsi:type="dcterms:W3CDTF">2018-11-30T08:41:00Z</dcterms:modified>
</cp:coreProperties>
</file>