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4811F5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BA77E0">
        <w:rPr>
          <w:rFonts w:ascii="Arial" w:hAnsi="Arial" w:cs="Arial"/>
          <w:sz w:val="20"/>
          <w:szCs w:val="20"/>
        </w:rPr>
        <w:t>Ditcom</w:t>
      </w:r>
      <w:proofErr w:type="spellEnd"/>
      <w:r w:rsidR="00BA77E0">
        <w:rPr>
          <w:rFonts w:ascii="Arial" w:hAnsi="Arial" w:cs="Arial"/>
          <w:sz w:val="20"/>
          <w:szCs w:val="20"/>
        </w:rPr>
        <w:t xml:space="preserve"> s.r.o.</w:t>
      </w:r>
      <w:r w:rsidR="008B4F4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9059DA">
        <w:rPr>
          <w:rFonts w:ascii="Arial" w:hAnsi="Arial" w:cs="Arial"/>
          <w:sz w:val="20"/>
          <w:szCs w:val="20"/>
        </w:rPr>
        <w:tab/>
      </w:r>
      <w:r w:rsidR="00BA77E0">
        <w:rPr>
          <w:rFonts w:ascii="Arial" w:hAnsi="Arial" w:cs="Arial"/>
          <w:sz w:val="20"/>
          <w:szCs w:val="20"/>
        </w:rPr>
        <w:t>u Městského soudu v Praze, spisová značka C 89140</w:t>
      </w:r>
      <w:r w:rsidR="00133843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77E0">
        <w:rPr>
          <w:rFonts w:ascii="Arial" w:hAnsi="Arial" w:cs="Arial"/>
          <w:sz w:val="20"/>
          <w:szCs w:val="20"/>
        </w:rPr>
        <w:t xml:space="preserve">Antala Staška 510/38, </w:t>
      </w:r>
      <w:proofErr w:type="gramStart"/>
      <w:r w:rsidR="00BA77E0">
        <w:rPr>
          <w:rFonts w:ascii="Arial" w:hAnsi="Arial" w:cs="Arial"/>
          <w:sz w:val="20"/>
          <w:szCs w:val="20"/>
        </w:rPr>
        <w:t>140 00  Praha</w:t>
      </w:r>
      <w:proofErr w:type="gramEnd"/>
      <w:r w:rsidR="00BA77E0">
        <w:rPr>
          <w:rFonts w:ascii="Arial" w:hAnsi="Arial" w:cs="Arial"/>
          <w:sz w:val="20"/>
          <w:szCs w:val="20"/>
        </w:rPr>
        <w:t xml:space="preserve"> 4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77E0">
        <w:rPr>
          <w:rFonts w:ascii="Arial" w:hAnsi="Arial" w:cs="Arial"/>
          <w:sz w:val="20"/>
          <w:szCs w:val="20"/>
        </w:rPr>
        <w:t>26715031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77E0">
        <w:rPr>
          <w:rFonts w:ascii="Arial" w:hAnsi="Arial" w:cs="Arial"/>
          <w:sz w:val="20"/>
          <w:szCs w:val="20"/>
        </w:rPr>
        <w:t>CZ26715031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BA77E0">
        <w:rPr>
          <w:rFonts w:ascii="Arial" w:hAnsi="Arial" w:cs="Arial"/>
          <w:sz w:val="20"/>
          <w:szCs w:val="20"/>
        </w:rPr>
        <w:t>Ing. Ladislavem Duškem, Ing. Karlem Benešem, Ing. Davidem Benešem</w:t>
      </w:r>
      <w:r w:rsidRPr="00FA2EB9">
        <w:rPr>
          <w:rFonts w:ascii="Arial" w:hAnsi="Arial" w:cs="Arial"/>
          <w:sz w:val="20"/>
          <w:szCs w:val="20"/>
        </w:rPr>
        <w:br/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Dittrichova 1968/21,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6774A9" w:rsidRPr="006774A9">
        <w:rPr>
          <w:rFonts w:ascii="Arial" w:hAnsi="Arial" w:cs="Arial"/>
          <w:color w:val="000000"/>
          <w:sz w:val="20"/>
          <w:szCs w:val="20"/>
        </w:rPr>
        <w:t xml:space="preserve">Servery pro </w:t>
      </w:r>
      <w:proofErr w:type="spellStart"/>
      <w:r w:rsidR="006774A9" w:rsidRPr="006774A9">
        <w:rPr>
          <w:rFonts w:ascii="Arial" w:hAnsi="Arial" w:cs="Arial"/>
          <w:color w:val="000000"/>
          <w:sz w:val="20"/>
          <w:szCs w:val="20"/>
        </w:rPr>
        <w:t>virtualizaci</w:t>
      </w:r>
      <w:proofErr w:type="spellEnd"/>
      <w:r w:rsidR="006774A9">
        <w:rPr>
          <w:rFonts w:ascii="Arial" w:hAnsi="Arial" w:cs="Arial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</w:t>
      </w:r>
      <w:proofErr w:type="spellStart"/>
      <w:r w:rsidR="0072023E"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proofErr w:type="spell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</w:t>
      </w:r>
      <w:proofErr w:type="gramStart"/>
      <w:r w:rsidR="0072023E" w:rsidRPr="00AD4535">
        <w:rPr>
          <w:rFonts w:ascii="Arial" w:hAnsi="Arial" w:cs="Arial"/>
          <w:color w:val="000000"/>
          <w:sz w:val="20"/>
          <w:szCs w:val="20"/>
        </w:rPr>
        <w:t>č.j.</w:t>
      </w:r>
      <w:proofErr w:type="gram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6774A9" w:rsidRPr="006774A9">
        <w:rPr>
          <w:rFonts w:ascii="Arial" w:hAnsi="Arial" w:cs="Arial"/>
          <w:color w:val="000000"/>
          <w:sz w:val="20"/>
          <w:szCs w:val="20"/>
        </w:rPr>
        <w:t>N006/18/V00026266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6774A9">
        <w:rPr>
          <w:rStyle w:val="non-editable-field"/>
          <w:rFonts w:ascii="Arial" w:hAnsi="Arial" w:cs="Arial"/>
          <w:color w:val="000000"/>
          <w:sz w:val="20"/>
          <w:szCs w:val="20"/>
        </w:rPr>
        <w:t>9.11.2018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BA77E0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BA77E0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Default="0025390E" w:rsidP="0025390E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BA77E0" w:rsidP="00BA77E0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Dell </w:t>
            </w:r>
            <w:proofErr w:type="spellStart"/>
            <w:r>
              <w:rPr>
                <w:rFonts w:ascii="Arial" w:hAnsi="Arial" w:cs="Arial"/>
                <w:sz w:val="20"/>
              </w:rPr>
              <w:t>PowerEdge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R440 v požadované konfiguraci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BA77E0" w:rsidP="00BA77E0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309 690,-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BA77E0" w:rsidP="00BA77E0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374 724,90,-</w:t>
            </w:r>
          </w:p>
        </w:tc>
      </w:tr>
    </w:tbl>
    <w:p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A77E0">
        <w:rPr>
          <w:rFonts w:ascii="Arial" w:hAnsi="Arial" w:cs="Arial"/>
          <w:sz w:val="20"/>
          <w:szCs w:val="20"/>
        </w:rPr>
        <w:t>1 548 450,00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A77E0">
        <w:rPr>
          <w:rFonts w:ascii="Arial" w:hAnsi="Arial" w:cs="Arial"/>
          <w:sz w:val="20"/>
          <w:szCs w:val="20"/>
        </w:rPr>
        <w:t>325 174,50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A77E0">
        <w:rPr>
          <w:rFonts w:ascii="Arial" w:hAnsi="Arial" w:cs="Arial"/>
          <w:sz w:val="20"/>
          <w:szCs w:val="20"/>
        </w:rPr>
        <w:t>1 873 624,50</w:t>
      </w:r>
      <w:r w:rsidR="00905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3F2EE9">
        <w:rPr>
          <w:rFonts w:ascii="Arial" w:hAnsi="Arial" w:cs="Arial"/>
          <w:sz w:val="20"/>
          <w:szCs w:val="20"/>
        </w:rPr>
        <w:t>30 dnů</w:t>
      </w:r>
      <w:r w:rsidR="00936F47">
        <w:rPr>
          <w:rFonts w:ascii="Arial" w:hAnsi="Arial" w:cs="Arial"/>
          <w:sz w:val="20"/>
          <w:szCs w:val="20"/>
        </w:rPr>
        <w:t xml:space="preserve"> od podpisu smlouvy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čl.</w:t>
      </w:r>
      <w:proofErr w:type="gramEnd"/>
      <w:r>
        <w:rPr>
          <w:rFonts w:ascii="Arial" w:hAnsi="Arial" w:cs="Arial"/>
          <w:sz w:val="20"/>
          <w:szCs w:val="20"/>
        </w:rPr>
        <w:t xml:space="preserve"> I, odst. 2 této smlouvy bude potvrzeno podepsáním předávacího protokolu.</w:t>
      </w: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lastRenderedPageBreak/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je </w:t>
      </w:r>
      <w:r w:rsidR="0025390E">
        <w:rPr>
          <w:rFonts w:ascii="Arial" w:hAnsi="Arial" w:cs="Arial"/>
          <w:sz w:val="20"/>
          <w:szCs w:val="20"/>
        </w:rPr>
        <w:t>7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662099">
        <w:rPr>
          <w:rFonts w:ascii="Arial" w:hAnsi="Arial" w:cs="Arial"/>
          <w:sz w:val="20"/>
          <w:szCs w:val="20"/>
        </w:rPr>
        <w:t>let</w:t>
      </w:r>
      <w:r w:rsidR="009059DA">
        <w:rPr>
          <w:rFonts w:ascii="Arial" w:hAnsi="Arial" w:cs="Arial"/>
          <w:sz w:val="20"/>
          <w:szCs w:val="20"/>
        </w:rPr>
        <w:t xml:space="preserve"> s opravou následující pracovní den v </w:t>
      </w:r>
      <w:r w:rsidR="009059DA" w:rsidRPr="00B64C27">
        <w:rPr>
          <w:rFonts w:ascii="Arial" w:hAnsi="Arial" w:cs="Arial"/>
          <w:sz w:val="20"/>
          <w:szCs w:val="20"/>
        </w:rPr>
        <w:t xml:space="preserve">místě </w:t>
      </w:r>
      <w:r w:rsidR="00943746" w:rsidRPr="00B64C27">
        <w:rPr>
          <w:rFonts w:ascii="Arial" w:hAnsi="Arial" w:cs="Arial"/>
          <w:sz w:val="20"/>
          <w:szCs w:val="20"/>
        </w:rPr>
        <w:t>instalace daného zařízení</w:t>
      </w:r>
      <w:r w:rsidR="009059DA">
        <w:rPr>
          <w:rFonts w:ascii="Arial" w:hAnsi="Arial" w:cs="Arial"/>
          <w:sz w:val="20"/>
          <w:szCs w:val="20"/>
        </w:rPr>
        <w:t>.</w:t>
      </w:r>
    </w:p>
    <w:p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:rsidR="007B27DE" w:rsidRDefault="007B27DE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:rsidR="00B35DFF" w:rsidRDefault="00B35DFF" w:rsidP="00B35DFF">
      <w:pPr>
        <w:rPr>
          <w:rFonts w:ascii="Arial" w:hAnsi="Arial" w:cs="Arial"/>
          <w:sz w:val="20"/>
          <w:szCs w:val="20"/>
        </w:rPr>
      </w:pPr>
    </w:p>
    <w:p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lastRenderedPageBreak/>
        <w:t>Odstoupení od smlouvy</w:t>
      </w:r>
    </w:p>
    <w:p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/>
    <w:p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D07CF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</w:p>
    <w:p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BA77E0">
        <w:rPr>
          <w:rFonts w:ascii="Arial" w:hAnsi="Arial" w:cs="Arial"/>
          <w:sz w:val="20"/>
          <w:szCs w:val="20"/>
        </w:rPr>
        <w:t>Ing. Ladislav Dušek</w:t>
      </w:r>
      <w:r w:rsidR="00A64068">
        <w:rPr>
          <w:rFonts w:ascii="Arial" w:hAnsi="Arial" w:cs="Arial"/>
          <w:sz w:val="20"/>
          <w:szCs w:val="20"/>
        </w:rPr>
        <w:tab/>
      </w:r>
    </w:p>
    <w:p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BA77E0">
        <w:rPr>
          <w:rFonts w:ascii="Arial" w:hAnsi="Arial" w:cs="Arial"/>
          <w:sz w:val="20"/>
          <w:szCs w:val="20"/>
        </w:rPr>
        <w:t>Ing. Karel Beneš</w:t>
      </w:r>
    </w:p>
    <w:p w:rsidR="00BA77E0" w:rsidRDefault="00BA77E0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jednatelé společnosti</w:t>
      </w:r>
    </w:p>
    <w:p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2560"/>
        <w:gridCol w:w="1060"/>
      </w:tblGrid>
      <w:tr w:rsidR="0048727E" w:rsidRPr="0048727E" w:rsidTr="0048727E">
        <w:trPr>
          <w:trHeight w:val="315"/>
        </w:trPr>
        <w:tc>
          <w:tcPr>
            <w:tcW w:w="9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Servery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48820000-2 - Servery</w:t>
            </w:r>
          </w:p>
        </w:tc>
      </w:tr>
      <w:tr w:rsidR="0048727E" w:rsidRPr="0048727E" w:rsidTr="0048727E">
        <w:trPr>
          <w:trHeight w:val="315"/>
        </w:trPr>
        <w:tc>
          <w:tcPr>
            <w:tcW w:w="62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48727E" w:rsidRPr="0048727E" w:rsidTr="0048727E">
        <w:trPr>
          <w:trHeight w:val="31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5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6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maximální cena serveru vč. příslušenství (1x server, 1x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Management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Arm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, 1x set kolejnic, 2x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ele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>. kabel) bez DPH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E23DB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39</w:t>
            </w:r>
            <w:r w:rsidR="00E23DBE">
              <w:rPr>
                <w:rFonts w:eastAsia="Times New Roman" w:cs="Calibri"/>
                <w:color w:val="000000"/>
                <w:lang w:eastAsia="cs-CZ"/>
              </w:rPr>
              <w:t>5</w:t>
            </w:r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000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určení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MS Hyper-V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virtualizace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provedení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rack-mount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velikost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1U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CPU - kusů v serveru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CPU - počet fyzických jader v jednom procesoru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12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CPU - velikost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cache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16 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CPU - výkon (počet bodů v testu CPU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mark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15 500 bodů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RAM - celkový počet paměťových slotů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16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RAM - počet osazených paměťových slotů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2E35D0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</w:t>
            </w:r>
            <w:r w:rsidR="0048727E" w:rsidRPr="0048727E">
              <w:rPr>
                <w:rFonts w:eastAsia="Times New Roman" w:cs="Calibri"/>
                <w:color w:val="000000"/>
                <w:lang w:eastAsia="cs-CZ"/>
              </w:rPr>
              <w:t xml:space="preserve">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RAM - celková velikost v jednom serveru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2E35D0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512</w:t>
            </w:r>
            <w:r w:rsidR="0048727E" w:rsidRPr="0048727E">
              <w:rPr>
                <w:rFonts w:eastAsia="Times New Roman" w:cs="Calibri"/>
                <w:color w:val="000000"/>
                <w:lang w:eastAsia="cs-CZ"/>
              </w:rPr>
              <w:t xml:space="preserve"> GB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RAM - možnost upgradu 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768 GB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HDD - počet slotů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4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HDD - počet osazených disků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HDD - typ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SAS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HDD - kapacita jednoho disku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300 GB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HDD - otáček za minutu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10000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ot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>.</w:t>
            </w:r>
            <w:r w:rsidRPr="0048727E">
              <w:rPr>
                <w:rFonts w:eastAsia="Times New Roman" w:cs="Calibri"/>
                <w:color w:val="000000"/>
                <w:lang w:eastAsia="cs-CZ"/>
              </w:rPr>
              <w:t>/min.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HDD - zapojení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RAID1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6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HDD - včetně služby ponechání vadného disku v délce trvání záruky na celý server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řadič - podpora RAID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0, 1, 5, 6, 10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řadič - velikost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cache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2 GB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HBA - počet karet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HBA - rychlost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FC16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HBA - počet portů na jedné kartě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LAN - celkový počet portů v jednom serveru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6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LAN - konektory všech rozhraní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RJ-45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LAN - počet 10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portů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4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LAN - počet 1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portů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8727E" w:rsidRPr="0048727E" w:rsidTr="0048727E">
        <w:trPr>
          <w:trHeight w:val="6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LAN - Zadavatel umožňuje nahradit porty 1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za stejný počet portů 10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LAN - 10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karty podporují funkce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SR-IOV, Link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Aggregation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podporuje funkcionalitu Priority-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based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Flow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Control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802.1Qbb –  PFC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podporuje funkcionalitu Data Center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Bridging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eXchange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– DCBX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podporuje funkcionalitu RDMA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iWarp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obsahuje UEFI rozhraní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900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lastRenderedPageBreak/>
              <w:t>vzdálený management - server je vybaven komponentou umožňující připojení k serveru i při vypnutém serveru/nefunkčním OS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9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vzdálený management - komponenta podporuje řízení přístupu pomocí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dvoufaktorové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autentizace s podporou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Active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Directory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nebo LDAP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6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vzdálený management - komponenta je vybavena vlastním síťovým konektorem typu RJ-45 (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Out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of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Band Management)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6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vzdálený management - komponenta podporuje update firmware nehledě na stav a druh operačního systému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6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vzdálený management - komponenta podporuje odesílání logů o jejím využití pomocí protokolu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SysLog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na vzdálený server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integrované zálohování konfigurace hardwarových zařízení serveru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9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integrované zálohování  - podporuje ukládání na dedikované interní zařízení s možností automatické rekonfigurace zařízení v případě jejich výměny vč. základové desky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6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integrované zálohování - možnost automatické obnovy konfigurace hardwarových zařízení v případě jejich výměny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integrované zálohování  - dedikované zařízení je součástí dodávky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integrované zálohování - kapacita dedikovaného zařízení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16 GB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zdroje napájení - počet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zdroje napájení - vyměnitelné za chodu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zdroje napájení - redundantní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ventilátory - vyměnitelné za chodu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ventilátory - redundantní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DVD±RW mechanika - interní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vestavěný LCD display indikující základní informace o systému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vestavěný LCD display - poloha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v předu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vestavěný LCD display indikuje - jméno serveru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vestavěný LCD display indikuje - IP adresu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vestavěný LCD display indikuje - chybové stavy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9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vestavěný LCD display umožňuje spustit vzdáleně příkaz, který umožní identifikovat konkrétní server optickou signalizaci (např. rozblikáním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TPM čip - server obsahuje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TPM čip - verze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2.0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TPM čip - podporuje funkcionalitu šifrování interních disků serveru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9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podpora (stupeň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Certified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Windows) operačních systémů (HCL dle Windows Server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Catalog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- odkaz: https://www.windowsservercatalog.com)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Windows Server 2016 a Windows Server 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podpora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virtualizačních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platforem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Microsoft Hyper-V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dodávka obsahuje operační systém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dodávka obsahuje - napájecí kabely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počet napájecích kabelů ke každému serveru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typ napájecího kabelu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C13/C14, 12A, min. 1 metr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lastRenderedPageBreak/>
              <w:t>dodávka obsahuje - sadu (2 ks) kolejnic pro každý server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kolejnice umožňující kompletní vysunutí zapnutého serveru z racku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dodávka obsahuje -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Management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Arm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pro každý server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600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Management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Arm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 umožňuje kompletní vysunutí zapnutého serveru z racku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6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servery budou dodány do sídla zadavatele již kompletované a zahořené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1200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součástí nabídky bude Prohlášení českého zastoupení výrobce nebo přímo výrobce o tom, že nabízený produkt v rámci této veřejné zakázky, je určený pro trh v České republice a bude podporován výrobcem nebo servisním střediskem výrobce na území České republiky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600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součástí nabídky bude odkaz (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hyperlink</w:t>
            </w:r>
            <w:proofErr w:type="spellEnd"/>
            <w:r w:rsidRPr="0048727E">
              <w:rPr>
                <w:rFonts w:eastAsia="Times New Roman" w:cs="Calibri"/>
                <w:color w:val="000000"/>
                <w:lang w:eastAsia="cs-CZ"/>
              </w:rPr>
              <w:t xml:space="preserve">) na nabízený produkt na stránkách Windows Server </w:t>
            </w:r>
            <w:proofErr w:type="spellStart"/>
            <w:r w:rsidRPr="0048727E">
              <w:rPr>
                <w:rFonts w:eastAsia="Times New Roman" w:cs="Calibri"/>
                <w:color w:val="000000"/>
                <w:lang w:eastAsia="cs-CZ"/>
              </w:rPr>
              <w:t>Catalog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600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podpora a záruka je poskytována výrobcem serveru nebo jeho autorizovaným partnerem nezávisle na dodavateli serveru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600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podpora - poskytovaná minimálně prostřednictvím telefonní linky musí být dostupná v režimu 24x7x365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900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podpora - musí umožňovat získání aktuálních ovladačů a manuálů adresně pro konkrétní zadané produktové, popř. sériové číslo zařízení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záruka - délka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7 let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záruka - rychlost odezvy na nahlášenou závadu do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v den incidentu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záruka - garance opravy nahlášené závady do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následující pracovní den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záruka - místo opravy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v místě fungování serveru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nabídka a Prohlášení musí být v češtině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48727E">
              <w:rPr>
                <w:rFonts w:eastAsia="Times New Roman" w:cs="Calibri"/>
                <w:lang w:eastAsia="cs-CZ"/>
              </w:rPr>
              <w:t>český nebo anglický tištěný manuál součástí dodávky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8727E" w:rsidRPr="0048727E" w:rsidTr="0048727E">
        <w:trPr>
          <w:trHeight w:val="915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zadavatel vylučuje z nabídek technologie firem, které bylo označeny BIS ve výroční zprávě 2013 z 27. 10. 2014 v bodě 2.7 Kybernetická bezpečnost jako potenciálně nebezpečné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27E" w:rsidRPr="0048727E" w:rsidRDefault="0048727E" w:rsidP="0048727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727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BA77E0">
        <w:rPr>
          <w:rFonts w:ascii="Arial" w:hAnsi="Arial" w:cs="Arial"/>
          <w:sz w:val="20"/>
          <w:szCs w:val="20"/>
        </w:rPr>
        <w:t>Ditcom</w:t>
      </w:r>
      <w:proofErr w:type="spellEnd"/>
      <w:r w:rsidR="00BA77E0">
        <w:rPr>
          <w:rFonts w:ascii="Arial" w:hAnsi="Arial" w:cs="Arial"/>
          <w:sz w:val="20"/>
          <w:szCs w:val="20"/>
        </w:rPr>
        <w:t xml:space="preserve"> s.r.o.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77E0">
        <w:rPr>
          <w:rFonts w:ascii="Arial" w:hAnsi="Arial" w:cs="Arial"/>
          <w:sz w:val="20"/>
          <w:szCs w:val="20"/>
        </w:rPr>
        <w:t xml:space="preserve">Antala Staška 510/38, </w:t>
      </w:r>
      <w:proofErr w:type="gramStart"/>
      <w:r w:rsidR="00BA77E0">
        <w:rPr>
          <w:rFonts w:ascii="Arial" w:hAnsi="Arial" w:cs="Arial"/>
          <w:sz w:val="20"/>
          <w:szCs w:val="20"/>
        </w:rPr>
        <w:t>140 00  Praha</w:t>
      </w:r>
      <w:proofErr w:type="gramEnd"/>
      <w:r w:rsidR="00BA77E0">
        <w:rPr>
          <w:rFonts w:ascii="Arial" w:hAnsi="Arial" w:cs="Arial"/>
          <w:sz w:val="20"/>
          <w:szCs w:val="20"/>
        </w:rPr>
        <w:t xml:space="preserve"> 4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77E0">
        <w:rPr>
          <w:rFonts w:ascii="Arial" w:hAnsi="Arial" w:cs="Arial"/>
          <w:sz w:val="20"/>
          <w:szCs w:val="20"/>
        </w:rPr>
        <w:t>26715031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77E0">
        <w:rPr>
          <w:rFonts w:ascii="Arial" w:hAnsi="Arial" w:cs="Arial"/>
          <w:sz w:val="20"/>
          <w:szCs w:val="20"/>
        </w:rPr>
        <w:t>CZ26715031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</w:t>
      </w:r>
      <w:proofErr w:type="spellStart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6774A9" w:rsidRPr="006774A9">
        <w:rPr>
          <w:rFonts w:ascii="Arial" w:hAnsi="Arial" w:cs="Arial"/>
          <w:b w:val="0"/>
          <w:color w:val="000000"/>
          <w:sz w:val="20"/>
        </w:rPr>
        <w:t xml:space="preserve">Servery pro </w:t>
      </w:r>
      <w:proofErr w:type="spellStart"/>
      <w:r w:rsidR="006774A9" w:rsidRPr="006774A9">
        <w:rPr>
          <w:rFonts w:ascii="Arial" w:hAnsi="Arial" w:cs="Arial"/>
          <w:b w:val="0"/>
          <w:color w:val="000000"/>
          <w:sz w:val="20"/>
        </w:rPr>
        <w:t>virtualizaci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</w:t>
      </w:r>
      <w:proofErr w:type="spellStart"/>
      <w:r w:rsidR="00E4038F" w:rsidRPr="00D856F6">
        <w:rPr>
          <w:rFonts w:ascii="Arial" w:hAnsi="Arial" w:cs="Arial"/>
          <w:b w:val="0"/>
          <w:sz w:val="20"/>
        </w:rPr>
        <w:t>CzechTrade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6774A9" w:rsidRPr="006774A9">
        <w:rPr>
          <w:rFonts w:ascii="Arial" w:hAnsi="Arial" w:cs="Arial"/>
          <w:b w:val="0"/>
          <w:color w:val="000000"/>
          <w:sz w:val="20"/>
        </w:rPr>
        <w:t>N006/18/V00026266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6774A9">
        <w:rPr>
          <w:rStyle w:val="non-editable-field"/>
          <w:rFonts w:ascii="Arial" w:hAnsi="Arial" w:cs="Arial"/>
          <w:b w:val="0"/>
          <w:color w:val="000000"/>
          <w:sz w:val="20"/>
        </w:rPr>
        <w:t>9.11.2018</w:t>
      </w:r>
      <w:r w:rsidR="00101B0F">
        <w:rPr>
          <w:rFonts w:ascii="Arial" w:hAnsi="Arial" w:cs="Arial"/>
          <w:b w:val="0"/>
          <w:sz w:val="20"/>
        </w:rPr>
        <w:t xml:space="preserve"> 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pPr w:leftFromText="141" w:rightFromText="141" w:vertAnchor="text" w:horzAnchor="margin" w:tblpXSpec="center" w:tblpY="112"/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:rsidTr="00D856F6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BA77E0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BA77E0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:rsidTr="00D856F6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Default="006774A9" w:rsidP="00BA77E0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Pr="00165DEF" w:rsidRDefault="00BA77E0" w:rsidP="00BA77E0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Dell </w:t>
            </w:r>
            <w:proofErr w:type="spellStart"/>
            <w:r>
              <w:rPr>
                <w:rFonts w:ascii="Arial" w:hAnsi="Arial" w:cs="Arial"/>
                <w:sz w:val="20"/>
              </w:rPr>
              <w:t>PowerEdge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R440 v požadované konfiguraci</w:t>
            </w:r>
          </w:p>
        </w:tc>
      </w:tr>
    </w:tbl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BA77E0">
        <w:trPr>
          <w:trHeight w:val="496"/>
        </w:trPr>
        <w:tc>
          <w:tcPr>
            <w:tcW w:w="9062" w:type="dxa"/>
            <w:gridSpan w:val="3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:rsidTr="003A12C2">
        <w:trPr>
          <w:trHeight w:val="554"/>
        </w:trPr>
        <w:tc>
          <w:tcPr>
            <w:tcW w:w="2405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BA77E0">
        <w:trPr>
          <w:trHeight w:val="496"/>
        </w:trPr>
        <w:tc>
          <w:tcPr>
            <w:tcW w:w="9062" w:type="dxa"/>
            <w:gridSpan w:val="3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BA77E0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BA77E0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:rsidTr="003A12C2">
        <w:trPr>
          <w:trHeight w:val="554"/>
        </w:trPr>
        <w:tc>
          <w:tcPr>
            <w:tcW w:w="2405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086C" w:rsidRDefault="000B086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0B086C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0B086C" w:rsidRDefault="000B086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0B086C" w:rsidRDefault="000B086C" w:rsidP="000B086C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Příloha č. 3: </w:t>
      </w:r>
      <w:r>
        <w:rPr>
          <w:rFonts w:ascii="Arial" w:hAnsi="Arial" w:cs="Arial"/>
          <w:b/>
          <w:sz w:val="20"/>
          <w:szCs w:val="20"/>
          <w:u w:val="single"/>
        </w:rPr>
        <w:t>Nabídnutá specifikace</w:t>
      </w:r>
    </w:p>
    <w:p w:rsidR="000B086C" w:rsidRDefault="000B086C" w:rsidP="000B086C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  <w:gridCol w:w="941"/>
      </w:tblGrid>
      <w:tr w:rsidR="000B086C" w:rsidRPr="000B086C" w:rsidTr="000B086C">
        <w:trPr>
          <w:trHeight w:val="24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b/>
                <w:bCs/>
                <w:color w:val="000000"/>
                <w:sz w:val="18"/>
                <w:szCs w:val="24"/>
                <w:lang w:eastAsia="cs-CZ"/>
              </w:rPr>
            </w:pPr>
            <w:proofErr w:type="spellStart"/>
            <w:r w:rsidRPr="000B086C">
              <w:rPr>
                <w:rFonts w:ascii="TimesNewRomanPSMT" w:eastAsia="Times New Roman" w:hAnsi="TimesNewRomanPSMT"/>
                <w:b/>
                <w:bCs/>
                <w:color w:val="000000"/>
                <w:sz w:val="18"/>
                <w:szCs w:val="24"/>
                <w:lang w:eastAsia="cs-CZ"/>
              </w:rPr>
              <w:t>PowerEdge</w:t>
            </w:r>
            <w:proofErr w:type="spellEnd"/>
            <w:r w:rsidRPr="000B086C">
              <w:rPr>
                <w:rFonts w:ascii="TimesNewRomanPSMT" w:eastAsia="Times New Roman" w:hAnsi="TimesNewRomanPSMT"/>
                <w:b/>
                <w:bCs/>
                <w:color w:val="000000"/>
                <w:sz w:val="18"/>
                <w:szCs w:val="24"/>
                <w:lang w:eastAsia="cs-CZ"/>
              </w:rPr>
              <w:t xml:space="preserve"> R440 Server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3.5" Chassis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with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up to 4 Hot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Plug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Hard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Drives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Trusted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Platform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Module 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Intel®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Xeon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® Gold 5118 2.3G, 12C/24T, 10.4GT/s, 16M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Cache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, Turbo, HT (105W) DDR4-2400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Intel®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Xeon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® Gold 5118 2.3G, 12C/24T, 10.4GT/s, 16M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Cache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, Turbo, HT (105W) DDR4-2400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2 CPU standard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Performance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Optimized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2666MT/s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LRDIMMs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64GB LRDIMM, 2667MT/s,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Quad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Rank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8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No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Operating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Systém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No Media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Required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C3, RAID 1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for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2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HDDs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or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SSDs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(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Matching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Type/Speed/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Capacity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PERC H730P+ RAID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Controller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, 2Gb NV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Cache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, Adapter,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Low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Profile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300GB 15K RPM SAS 12Gbps 512n 2.5in Hot-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plug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Hard Drive, 3.5in HYB CARR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2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Performance BIOS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Setting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UEFI BIOS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Setting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Dual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, Hot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Plug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,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Redundant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Power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Supply (1+1), 550W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Rack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Power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Cord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2M (C13/C14 10A)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2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Riser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Config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3, 2 x 16 LP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iDRAC9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Enterprise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with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OME Server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Configuration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Management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Dual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-Port 1GbE On-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Board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LOM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QLogic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FastLinQ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41164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Quad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Port 10GBASE-T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PCIe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Adapter,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Low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Profile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QLogic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2692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Dual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Port 16Gb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Fibre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Channel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HBA,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Low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Profile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LCD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Bezel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for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x4 and x8 chassis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Quick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Sync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2 (At-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the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-box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mgmt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ReadyRails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Sliding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Rails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With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Cable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Management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Arm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VFlash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Card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Reader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with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16GB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Vflash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SD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card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iDRAC,Legacy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Password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iDRAC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Group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Manager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,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Enabled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No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Internal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Optical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Drive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Motherboard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Order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Configuration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Shipbox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Label (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Ship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Date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, Model,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Processor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Speed, HDD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Size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, RAM)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PowerEdge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R440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Shipping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Material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for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4 HDD chassis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PowerEdge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R440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Shipping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EMEA2 (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English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/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Slovenian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/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Slovakian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/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Polish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/Czech/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Hungar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/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Greek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/Arab)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3Yr Basic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Warranty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-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Next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Business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Day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- Minimum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Warranty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7Yr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ProSupport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and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Next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Business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Day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Onsite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Service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  <w:tr w:rsidR="000B086C" w:rsidRPr="000B086C" w:rsidTr="000B086C">
        <w:trPr>
          <w:trHeight w:val="3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6C" w:rsidRPr="000B086C" w:rsidRDefault="000B086C" w:rsidP="000B086C">
            <w:pPr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</w:pPr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7Yr Data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Protection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-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Keep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</w:t>
            </w:r>
            <w:proofErr w:type="spellStart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>Your</w:t>
            </w:r>
            <w:proofErr w:type="spellEnd"/>
            <w:r w:rsidRPr="000B086C">
              <w:rPr>
                <w:rFonts w:ascii="TimesNewRomanPSMT" w:eastAsia="Times New Roman" w:hAnsi="TimesNewRomanPSMT"/>
                <w:color w:val="000000"/>
                <w:sz w:val="18"/>
                <w:szCs w:val="24"/>
                <w:lang w:eastAsia="cs-CZ"/>
              </w:rPr>
              <w:t xml:space="preserve"> Hard Drive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6C" w:rsidRPr="000B086C" w:rsidRDefault="000B086C" w:rsidP="000B086C">
            <w:pPr>
              <w:jc w:val="center"/>
              <w:rPr>
                <w:rFonts w:eastAsia="Times New Roman"/>
                <w:color w:val="000000"/>
                <w:sz w:val="18"/>
                <w:lang w:eastAsia="cs-CZ"/>
              </w:rPr>
            </w:pPr>
            <w:r w:rsidRPr="000B086C">
              <w:rPr>
                <w:rFonts w:eastAsia="Times New Roman"/>
                <w:color w:val="000000"/>
                <w:sz w:val="18"/>
                <w:lang w:eastAsia="cs-CZ"/>
              </w:rPr>
              <w:t>1</w:t>
            </w:r>
          </w:p>
        </w:tc>
      </w:tr>
    </w:tbl>
    <w:p w:rsidR="000B086C" w:rsidRPr="00D856F6" w:rsidRDefault="000B086C" w:rsidP="000B086C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0B086C" w:rsidRPr="00D856F6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10F" w:rsidRPr="001B5279" w:rsidRDefault="00F4010F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:rsidR="00F4010F" w:rsidRPr="001B5279" w:rsidRDefault="00F4010F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86C" w:rsidRDefault="000B086C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B086C" w:rsidRDefault="000B08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86C" w:rsidRDefault="000B086C">
    <w:pPr>
      <w:pStyle w:val="Zpat"/>
    </w:pPr>
  </w:p>
  <w:p w:rsidR="000B086C" w:rsidRDefault="000B086C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7B27DE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550038"/>
      <w:docPartObj>
        <w:docPartGallery w:val="Page Numbers (Bottom of Page)"/>
        <w:docPartUnique/>
      </w:docPartObj>
    </w:sdtPr>
    <w:sdtEndPr/>
    <w:sdtContent>
      <w:p w:rsidR="000B086C" w:rsidRDefault="000B08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7DE">
          <w:rPr>
            <w:noProof/>
          </w:rPr>
          <w:t>1</w:t>
        </w:r>
        <w:r>
          <w:fldChar w:fldCharType="end"/>
        </w:r>
      </w:p>
    </w:sdtContent>
  </w:sdt>
  <w:p w:rsidR="000B086C" w:rsidRDefault="000B08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10F" w:rsidRPr="001B5279" w:rsidRDefault="00F4010F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:rsidR="00F4010F" w:rsidRPr="001B5279" w:rsidRDefault="00F4010F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86C" w:rsidRPr="00A64068" w:rsidRDefault="000B086C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"/>
  </w:num>
  <w:num w:numId="14">
    <w:abstractNumId w:val="18"/>
  </w:num>
  <w:num w:numId="15">
    <w:abstractNumId w:val="20"/>
  </w:num>
  <w:num w:numId="16">
    <w:abstractNumId w:val="16"/>
  </w:num>
  <w:num w:numId="17">
    <w:abstractNumId w:val="5"/>
  </w:num>
  <w:num w:numId="18">
    <w:abstractNumId w:val="34"/>
  </w:num>
  <w:num w:numId="19">
    <w:abstractNumId w:val="17"/>
  </w:num>
  <w:num w:numId="20">
    <w:abstractNumId w:val="15"/>
  </w:num>
  <w:num w:numId="21">
    <w:abstractNumId w:val="9"/>
  </w:num>
  <w:num w:numId="22">
    <w:abstractNumId w:val="19"/>
  </w:num>
  <w:num w:numId="23">
    <w:abstractNumId w:val="30"/>
  </w:num>
  <w:num w:numId="24">
    <w:abstractNumId w:val="6"/>
  </w:num>
  <w:num w:numId="25">
    <w:abstractNumId w:val="24"/>
  </w:num>
  <w:num w:numId="26">
    <w:abstractNumId w:val="7"/>
  </w:num>
  <w:num w:numId="27">
    <w:abstractNumId w:val="27"/>
  </w:num>
  <w:num w:numId="28">
    <w:abstractNumId w:val="25"/>
  </w:num>
  <w:num w:numId="29">
    <w:abstractNumId w:val="36"/>
  </w:num>
  <w:num w:numId="30">
    <w:abstractNumId w:val="26"/>
  </w:num>
  <w:num w:numId="31">
    <w:abstractNumId w:val="32"/>
  </w:num>
  <w:num w:numId="32">
    <w:abstractNumId w:val="13"/>
  </w:num>
  <w:num w:numId="33">
    <w:abstractNumId w:val="11"/>
  </w:num>
  <w:num w:numId="34">
    <w:abstractNumId w:val="31"/>
  </w:num>
  <w:num w:numId="35">
    <w:abstractNumId w:val="35"/>
  </w:num>
  <w:num w:numId="36">
    <w:abstractNumId w:val="29"/>
  </w:num>
  <w:num w:numId="37">
    <w:abstractNumId w:val="10"/>
  </w:num>
  <w:num w:numId="38">
    <w:abstractNumId w:val="23"/>
  </w:num>
  <w:num w:numId="39">
    <w:abstractNumId w:val="3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724F"/>
    <w:rsid w:val="00094063"/>
    <w:rsid w:val="00096C2E"/>
    <w:rsid w:val="000A0958"/>
    <w:rsid w:val="000B086C"/>
    <w:rsid w:val="000B7546"/>
    <w:rsid w:val="000C0E8D"/>
    <w:rsid w:val="000D2609"/>
    <w:rsid w:val="000D4A89"/>
    <w:rsid w:val="000D6FCC"/>
    <w:rsid w:val="00101B0F"/>
    <w:rsid w:val="001037CF"/>
    <w:rsid w:val="001126F7"/>
    <w:rsid w:val="00114F7D"/>
    <w:rsid w:val="00133843"/>
    <w:rsid w:val="00133DEA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44F55"/>
    <w:rsid w:val="00250494"/>
    <w:rsid w:val="00250C79"/>
    <w:rsid w:val="0025390E"/>
    <w:rsid w:val="00266F65"/>
    <w:rsid w:val="00273043"/>
    <w:rsid w:val="0027407F"/>
    <w:rsid w:val="00280799"/>
    <w:rsid w:val="002905A5"/>
    <w:rsid w:val="002957FD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D1DA4"/>
    <w:rsid w:val="002D5BA9"/>
    <w:rsid w:val="002E35D0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95D2D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8727E"/>
    <w:rsid w:val="00495F75"/>
    <w:rsid w:val="004A757C"/>
    <w:rsid w:val="004A7ABA"/>
    <w:rsid w:val="004C0177"/>
    <w:rsid w:val="004D3F97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6145B3"/>
    <w:rsid w:val="006328B3"/>
    <w:rsid w:val="00641D6B"/>
    <w:rsid w:val="00644F49"/>
    <w:rsid w:val="00650C7D"/>
    <w:rsid w:val="00654D87"/>
    <w:rsid w:val="00662099"/>
    <w:rsid w:val="006774A9"/>
    <w:rsid w:val="0068463E"/>
    <w:rsid w:val="00686295"/>
    <w:rsid w:val="00691613"/>
    <w:rsid w:val="006A3B4D"/>
    <w:rsid w:val="006A3BB8"/>
    <w:rsid w:val="006C4FE6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3A5E"/>
    <w:rsid w:val="007948BA"/>
    <w:rsid w:val="007B27DE"/>
    <w:rsid w:val="007B5C62"/>
    <w:rsid w:val="007C18E0"/>
    <w:rsid w:val="007C4C5F"/>
    <w:rsid w:val="007D3E18"/>
    <w:rsid w:val="007D51B0"/>
    <w:rsid w:val="007F18DA"/>
    <w:rsid w:val="007F2C60"/>
    <w:rsid w:val="0080619D"/>
    <w:rsid w:val="00810DCF"/>
    <w:rsid w:val="00817529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37C72"/>
    <w:rsid w:val="00943746"/>
    <w:rsid w:val="0094457F"/>
    <w:rsid w:val="00951CE5"/>
    <w:rsid w:val="009520F4"/>
    <w:rsid w:val="009554F0"/>
    <w:rsid w:val="009855E6"/>
    <w:rsid w:val="00990E83"/>
    <w:rsid w:val="00991688"/>
    <w:rsid w:val="00993DC2"/>
    <w:rsid w:val="009B10DA"/>
    <w:rsid w:val="009B3205"/>
    <w:rsid w:val="009C1455"/>
    <w:rsid w:val="009C44DE"/>
    <w:rsid w:val="009D414D"/>
    <w:rsid w:val="009E37D2"/>
    <w:rsid w:val="009F0024"/>
    <w:rsid w:val="00A0443A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64C27"/>
    <w:rsid w:val="00B669E6"/>
    <w:rsid w:val="00B707B0"/>
    <w:rsid w:val="00B70BA8"/>
    <w:rsid w:val="00B71854"/>
    <w:rsid w:val="00B74AC9"/>
    <w:rsid w:val="00B80BDD"/>
    <w:rsid w:val="00B83C43"/>
    <w:rsid w:val="00B8585F"/>
    <w:rsid w:val="00B92398"/>
    <w:rsid w:val="00B93504"/>
    <w:rsid w:val="00BA1045"/>
    <w:rsid w:val="00BA77E0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63B04"/>
    <w:rsid w:val="00C65C36"/>
    <w:rsid w:val="00C6686D"/>
    <w:rsid w:val="00C66BAE"/>
    <w:rsid w:val="00C67214"/>
    <w:rsid w:val="00C75F7A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56F6"/>
    <w:rsid w:val="00DA07A2"/>
    <w:rsid w:val="00DB0754"/>
    <w:rsid w:val="00DB1C57"/>
    <w:rsid w:val="00DD08CB"/>
    <w:rsid w:val="00DE477D"/>
    <w:rsid w:val="00DF2BEB"/>
    <w:rsid w:val="00E12754"/>
    <w:rsid w:val="00E1513B"/>
    <w:rsid w:val="00E20017"/>
    <w:rsid w:val="00E23DBE"/>
    <w:rsid w:val="00E25F02"/>
    <w:rsid w:val="00E270EE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D31EC"/>
    <w:rsid w:val="00ED4D8A"/>
    <w:rsid w:val="00EE0CAA"/>
    <w:rsid w:val="00EE5B52"/>
    <w:rsid w:val="00EF19BF"/>
    <w:rsid w:val="00EF2D94"/>
    <w:rsid w:val="00F04CF9"/>
    <w:rsid w:val="00F26A7F"/>
    <w:rsid w:val="00F303B0"/>
    <w:rsid w:val="00F31F6F"/>
    <w:rsid w:val="00F37838"/>
    <w:rsid w:val="00F4010F"/>
    <w:rsid w:val="00F40688"/>
    <w:rsid w:val="00F43145"/>
    <w:rsid w:val="00F674DE"/>
    <w:rsid w:val="00F80123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A5334-AFBC-4985-8616-F52B9D2E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2719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Sokoltová Lenka, Ing., MBA</cp:lastModifiedBy>
  <cp:revision>11</cp:revision>
  <cp:lastPrinted>2018-11-19T14:27:00Z</cp:lastPrinted>
  <dcterms:created xsi:type="dcterms:W3CDTF">2018-11-09T08:12:00Z</dcterms:created>
  <dcterms:modified xsi:type="dcterms:W3CDTF">2018-11-23T09:19:00Z</dcterms:modified>
</cp:coreProperties>
</file>