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D365A3">
        <w:rPr>
          <w:rFonts w:asciiTheme="minorHAnsi" w:hAnsiTheme="minorHAnsi"/>
          <w:b/>
          <w:noProof/>
          <w:sz w:val="32"/>
          <w:szCs w:val="32"/>
        </w:rPr>
        <w:t>03011842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Bevar likvidace s.r.o.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Plzni, oddíl C, vložka 18370</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K Lesu 948</w:t>
      </w:r>
      <w:r w:rsidRPr="00493A28">
        <w:rPr>
          <w:rFonts w:asciiTheme="minorHAnsi" w:hAnsiTheme="minorHAnsi"/>
          <w:sz w:val="22"/>
          <w:szCs w:val="22"/>
        </w:rPr>
        <w:t xml:space="preserve">, </w:t>
      </w:r>
      <w:r w:rsidRPr="003B26AD">
        <w:rPr>
          <w:rFonts w:asciiTheme="minorHAnsi" w:hAnsiTheme="minorHAnsi"/>
          <w:noProof/>
          <w:sz w:val="22"/>
          <w:szCs w:val="22"/>
        </w:rPr>
        <w:t>337 01</w:t>
      </w:r>
      <w:r w:rsidRPr="00493A28">
        <w:rPr>
          <w:rFonts w:asciiTheme="minorHAnsi" w:hAnsiTheme="minorHAnsi"/>
          <w:sz w:val="22"/>
          <w:szCs w:val="22"/>
        </w:rPr>
        <w:t xml:space="preserve"> </w:t>
      </w:r>
      <w:r w:rsidRPr="003B26AD">
        <w:rPr>
          <w:rFonts w:asciiTheme="minorHAnsi" w:hAnsiTheme="minorHAnsi"/>
          <w:noProof/>
          <w:sz w:val="22"/>
          <w:szCs w:val="22"/>
        </w:rPr>
        <w:t>Rokycany</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26409089</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Bedřichem Varmužou</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611E6A">
        <w:rPr>
          <w:rFonts w:asciiTheme="minorHAnsi" w:hAnsiTheme="minorHAnsi"/>
          <w:noProof/>
          <w:sz w:val="22"/>
          <w:szCs w:val="22"/>
        </w:rPr>
        <w:t>xxxxx</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611E6A">
        <w:rPr>
          <w:rFonts w:asciiTheme="minorHAnsi" w:hAnsiTheme="minorHAnsi"/>
          <w:noProof/>
          <w:sz w:val="22"/>
          <w:szCs w:val="22"/>
        </w:rPr>
        <w:t>xxxxx</w:t>
      </w:r>
      <w:bookmarkStart w:id="0" w:name="_GoBack"/>
      <w:bookmarkEnd w:id="0"/>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r>
        <w:rPr>
          <w:rFonts w:asciiTheme="minorHAnsi" w:hAnsiTheme="minorHAnsi"/>
          <w:sz w:val="22"/>
          <w:szCs w:val="22"/>
        </w:rPr>
        <w:t>se dohodly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D365A3">
        <w:rPr>
          <w:rFonts w:asciiTheme="minorHAnsi" w:hAnsiTheme="minorHAnsi"/>
          <w:noProof/>
          <w:sz w:val="22"/>
          <w:szCs w:val="22"/>
        </w:rPr>
        <w:t>03011842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AE233C">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D365A3">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D365A3">
        <w:rPr>
          <w:rFonts w:asciiTheme="minorHAnsi" w:hAnsiTheme="minorHAnsi"/>
          <w:noProof/>
          <w:sz w:val="22"/>
          <w:szCs w:val="22"/>
        </w:rPr>
        <w:t>269 700</w:t>
      </w:r>
      <w:r w:rsidRPr="00C86503">
        <w:rPr>
          <w:rFonts w:asciiTheme="minorHAnsi" w:hAnsiTheme="minorHAnsi"/>
          <w:sz w:val="22"/>
          <w:szCs w:val="22"/>
        </w:rPr>
        <w:t xml:space="preserve"> Kč (slovy: </w:t>
      </w:r>
      <w:r w:rsidR="00D365A3">
        <w:rPr>
          <w:rFonts w:asciiTheme="minorHAnsi" w:hAnsiTheme="minorHAnsi"/>
          <w:noProof/>
          <w:sz w:val="22"/>
          <w:szCs w:val="22"/>
        </w:rPr>
        <w:t>dvě stě šedesát devět tisíc sedm set</w:t>
      </w:r>
      <w:r w:rsidRPr="003B26AD">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D365A3">
        <w:rPr>
          <w:rFonts w:asciiTheme="minorHAnsi" w:hAnsiTheme="minorHAnsi"/>
          <w:noProof/>
          <w:sz w:val="22"/>
          <w:szCs w:val="22"/>
        </w:rPr>
        <w:t>434</w:t>
      </w:r>
      <w:r w:rsidRPr="00C86503">
        <w:rPr>
          <w:rFonts w:asciiTheme="minorHAnsi" w:hAnsiTheme="minorHAnsi"/>
          <w:sz w:val="22"/>
          <w:szCs w:val="22"/>
        </w:rPr>
        <w:t xml:space="preserve"> ks vybraných autovraků p</w:t>
      </w:r>
      <w:r w:rsidR="00D365A3">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D365A3"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0A7F8E" w:rsidRPr="003C243D">
        <w:rPr>
          <w:rFonts w:asciiTheme="minorHAnsi" w:hAnsiTheme="minorHAnsi" w:cs="Times New Roman"/>
          <w:snapToGrid w:val="0"/>
          <w:sz w:val="22"/>
          <w:szCs w:val="22"/>
        </w:rPr>
        <w:t xml:space="preserve"> </w:t>
      </w:r>
      <w:r w:rsidR="000A7F8E" w:rsidRPr="00C86503">
        <w:rPr>
          <w:rFonts w:asciiTheme="minorHAnsi" w:hAnsiTheme="minorHAnsi"/>
          <w:sz w:val="22"/>
          <w:szCs w:val="22"/>
        </w:rPr>
        <w:t>řádně předa</w:t>
      </w:r>
      <w:r w:rsidR="000A7F8E">
        <w:rPr>
          <w:rFonts w:asciiTheme="minorHAnsi" w:hAnsiTheme="minorHAnsi"/>
          <w:sz w:val="22"/>
          <w:szCs w:val="22"/>
        </w:rPr>
        <w:t>l</w:t>
      </w:r>
      <w:r w:rsidR="000A7F8E" w:rsidRPr="00C86503">
        <w:rPr>
          <w:rFonts w:asciiTheme="minorHAnsi" w:hAnsiTheme="minorHAnsi"/>
          <w:sz w:val="22"/>
          <w:szCs w:val="22"/>
        </w:rPr>
        <w:t xml:space="preserve"> odpady (komodity) z</w:t>
      </w:r>
      <w:r w:rsidR="000A7F8E">
        <w:rPr>
          <w:rFonts w:asciiTheme="minorHAnsi" w:hAnsiTheme="minorHAnsi"/>
          <w:sz w:val="22"/>
          <w:szCs w:val="22"/>
        </w:rPr>
        <w:t> </w:t>
      </w:r>
      <w:r w:rsidR="000A7F8E"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0A7F8E">
        <w:rPr>
          <w:rFonts w:asciiTheme="minorHAnsi" w:hAnsiTheme="minorHAnsi"/>
          <w:sz w:val="22"/>
          <w:szCs w:val="22"/>
        </w:rPr>
        <w:t xml:space="preserve"> a </w:t>
      </w:r>
      <w:r w:rsidR="000A7F8E">
        <w:rPr>
          <w:rFonts w:asciiTheme="minorHAnsi" w:hAnsiTheme="minorHAnsi" w:cs="Times New Roman"/>
          <w:snapToGrid w:val="0"/>
          <w:sz w:val="22"/>
          <w:szCs w:val="22"/>
        </w:rPr>
        <w:t>s</w:t>
      </w:r>
      <w:r w:rsidR="000A7F8E" w:rsidRPr="003C243D">
        <w:rPr>
          <w:rFonts w:asciiTheme="minorHAnsi" w:hAnsiTheme="minorHAnsi" w:cs="Times New Roman"/>
          <w:snapToGrid w:val="0"/>
          <w:sz w:val="22"/>
          <w:szCs w:val="22"/>
        </w:rPr>
        <w:t>plni</w:t>
      </w:r>
      <w:r w:rsidR="000A7F8E">
        <w:rPr>
          <w:rFonts w:asciiTheme="minorHAnsi" w:hAnsiTheme="minorHAnsi" w:cs="Times New Roman"/>
          <w:snapToGrid w:val="0"/>
          <w:sz w:val="22"/>
          <w:szCs w:val="22"/>
        </w:rPr>
        <w:t>l</w:t>
      </w:r>
      <w:r w:rsidR="000A7F8E" w:rsidRPr="003C243D">
        <w:rPr>
          <w:rFonts w:asciiTheme="minorHAnsi" w:hAnsiTheme="minorHAnsi" w:cs="Times New Roman"/>
          <w:snapToGrid w:val="0"/>
          <w:sz w:val="22"/>
          <w:szCs w:val="22"/>
        </w:rPr>
        <w:t xml:space="preserve"> cíle opětovného použití a využití nejméně </w:t>
      </w:r>
      <w:r w:rsidR="000A7F8E">
        <w:rPr>
          <w:rFonts w:asciiTheme="minorHAnsi" w:hAnsiTheme="minorHAnsi" w:cs="Times New Roman"/>
          <w:snapToGrid w:val="0"/>
          <w:sz w:val="22"/>
          <w:szCs w:val="22"/>
        </w:rPr>
        <w:br/>
      </w:r>
      <w:r w:rsidR="000A7F8E"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0A7F8E">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E9789D">
        <w:rPr>
          <w:rFonts w:asciiTheme="minorHAnsi" w:hAnsiTheme="minorHAnsi"/>
          <w:color w:val="000000"/>
          <w:sz w:val="22"/>
          <w:szCs w:val="22"/>
        </w:rPr>
        <w:t> </w:t>
      </w:r>
      <w:r>
        <w:rPr>
          <w:rFonts w:asciiTheme="minorHAnsi" w:hAnsiTheme="minorHAnsi"/>
          <w:color w:val="000000"/>
          <w:sz w:val="22"/>
          <w:szCs w:val="22"/>
        </w:rPr>
        <w:t>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8F5B4E">
      <w:pPr>
        <w:pStyle w:val="Zkladntext"/>
        <w:rPr>
          <w:rFonts w:asciiTheme="minorHAnsi" w:hAnsiTheme="minorHAnsi"/>
          <w:b/>
          <w:sz w:val="32"/>
          <w:szCs w:val="3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Sect="008F5B4E">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01A" w:rsidRDefault="006C501A">
      <w:r>
        <w:separator/>
      </w:r>
    </w:p>
  </w:endnote>
  <w:endnote w:type="continuationSeparator" w:id="0">
    <w:p w:rsidR="006C501A" w:rsidRDefault="006C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11E6A">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11E6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01A" w:rsidRDefault="006C501A">
      <w:r>
        <w:separator/>
      </w:r>
    </w:p>
  </w:footnote>
  <w:footnote w:type="continuationSeparator" w:id="0">
    <w:p w:rsidR="006C501A" w:rsidRDefault="006C5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1E6A"/>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01A"/>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56757"/>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2E5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62C"/>
    <w:rsid w:val="008B68F3"/>
    <w:rsid w:val="008C04D7"/>
    <w:rsid w:val="008C09B1"/>
    <w:rsid w:val="008C2AB6"/>
    <w:rsid w:val="008C5FA0"/>
    <w:rsid w:val="008D132B"/>
    <w:rsid w:val="008D259A"/>
    <w:rsid w:val="008D34BF"/>
    <w:rsid w:val="008D6D26"/>
    <w:rsid w:val="008D6E8D"/>
    <w:rsid w:val="008E2321"/>
    <w:rsid w:val="008E68EE"/>
    <w:rsid w:val="008F0864"/>
    <w:rsid w:val="008F4827"/>
    <w:rsid w:val="008F58BF"/>
    <w:rsid w:val="008F5B4E"/>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195"/>
    <w:rsid w:val="009F2C18"/>
    <w:rsid w:val="009F39F5"/>
    <w:rsid w:val="00A00213"/>
    <w:rsid w:val="00A02E20"/>
    <w:rsid w:val="00A0520C"/>
    <w:rsid w:val="00A069FE"/>
    <w:rsid w:val="00A07D22"/>
    <w:rsid w:val="00A11A89"/>
    <w:rsid w:val="00A12D46"/>
    <w:rsid w:val="00A134B0"/>
    <w:rsid w:val="00A22F09"/>
    <w:rsid w:val="00A265A8"/>
    <w:rsid w:val="00A27595"/>
    <w:rsid w:val="00A31119"/>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233C"/>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18B5"/>
    <w:rsid w:val="00D1523C"/>
    <w:rsid w:val="00D1708A"/>
    <w:rsid w:val="00D3298E"/>
    <w:rsid w:val="00D333D5"/>
    <w:rsid w:val="00D365A3"/>
    <w:rsid w:val="00D36AFE"/>
    <w:rsid w:val="00D3719D"/>
    <w:rsid w:val="00D415FF"/>
    <w:rsid w:val="00D42895"/>
    <w:rsid w:val="00D44E76"/>
    <w:rsid w:val="00D47588"/>
    <w:rsid w:val="00D522B5"/>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9789D"/>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0344"/>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88E04"/>
  <w15:docId w15:val="{F232DDE7-1D1D-4BC4-91DA-42D425F3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7C61-F9D1-4939-A5E1-F6F67BAB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1502</Words>
  <Characters>8862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10344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5</cp:revision>
  <cp:lastPrinted>2018-08-07T10:26:00Z</cp:lastPrinted>
  <dcterms:created xsi:type="dcterms:W3CDTF">2018-08-23T11:28:00Z</dcterms:created>
  <dcterms:modified xsi:type="dcterms:W3CDTF">2018-08-23T11:39:00Z</dcterms:modified>
</cp:coreProperties>
</file>