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B1" w:rsidRPr="00175746" w:rsidRDefault="00A856B1" w:rsidP="0017574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>Dodatek č. 1</w:t>
      </w:r>
    </w:p>
    <w:p w:rsidR="003E31BE" w:rsidRDefault="003E31BE" w:rsidP="0017574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ke S</w:t>
      </w:r>
      <w:r w:rsidR="00A856B1" w:rsidRPr="00175746">
        <w:rPr>
          <w:rFonts w:asciiTheme="minorHAnsi" w:hAnsiTheme="minorHAnsi"/>
          <w:b/>
          <w:sz w:val="22"/>
          <w:szCs w:val="22"/>
        </w:rPr>
        <w:t xml:space="preserve">mlouvě </w:t>
      </w:r>
      <w:r w:rsidR="00D22C4C" w:rsidRPr="00175746">
        <w:rPr>
          <w:rFonts w:asciiTheme="minorHAnsi" w:hAnsiTheme="minorHAnsi"/>
          <w:b/>
          <w:sz w:val="22"/>
          <w:szCs w:val="22"/>
        </w:rPr>
        <w:t>o poskytování služeb</w:t>
      </w:r>
    </w:p>
    <w:p w:rsidR="00D22C4C" w:rsidRPr="00175746" w:rsidRDefault="00D22C4C" w:rsidP="0017574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 xml:space="preserve">„Zajištění </w:t>
      </w:r>
      <w:r w:rsidR="00A10197">
        <w:rPr>
          <w:rFonts w:asciiTheme="minorHAnsi" w:hAnsiTheme="minorHAnsi"/>
          <w:b/>
          <w:sz w:val="22"/>
          <w:szCs w:val="22"/>
        </w:rPr>
        <w:t xml:space="preserve">revizí </w:t>
      </w:r>
      <w:r w:rsidRPr="00175746">
        <w:rPr>
          <w:rFonts w:asciiTheme="minorHAnsi" w:hAnsiTheme="minorHAnsi"/>
          <w:b/>
          <w:sz w:val="22"/>
          <w:szCs w:val="22"/>
        </w:rPr>
        <w:t xml:space="preserve">elektroinstalací a hromosvodů pro ÚP – </w:t>
      </w:r>
      <w:proofErr w:type="spellStart"/>
      <w:r w:rsidRPr="00175746">
        <w:rPr>
          <w:rFonts w:asciiTheme="minorHAnsi" w:hAnsiTheme="minorHAnsi"/>
          <w:b/>
          <w:sz w:val="22"/>
          <w:szCs w:val="22"/>
        </w:rPr>
        <w:t>KrP</w:t>
      </w:r>
      <w:proofErr w:type="spellEnd"/>
      <w:r w:rsidRPr="00175746">
        <w:rPr>
          <w:rFonts w:asciiTheme="minorHAnsi" w:hAnsiTheme="minorHAnsi"/>
          <w:b/>
          <w:sz w:val="22"/>
          <w:szCs w:val="22"/>
        </w:rPr>
        <w:t xml:space="preserve"> v Plzni“</w:t>
      </w:r>
      <w:r w:rsidR="00175746">
        <w:rPr>
          <w:rFonts w:asciiTheme="minorHAnsi" w:hAnsiTheme="minorHAnsi"/>
          <w:b/>
          <w:sz w:val="22"/>
          <w:szCs w:val="22"/>
        </w:rPr>
        <w:t xml:space="preserve"> (dále jen „</w:t>
      </w:r>
      <w:r w:rsidR="003E31BE" w:rsidRPr="003E31BE">
        <w:rPr>
          <w:rFonts w:asciiTheme="minorHAnsi" w:hAnsiTheme="minorHAnsi"/>
          <w:b/>
          <w:i/>
          <w:sz w:val="22"/>
          <w:szCs w:val="22"/>
        </w:rPr>
        <w:t>Dodatek</w:t>
      </w:r>
      <w:r w:rsidR="00175746">
        <w:rPr>
          <w:rFonts w:asciiTheme="minorHAnsi" w:hAnsiTheme="minorHAnsi"/>
          <w:b/>
          <w:sz w:val="22"/>
          <w:szCs w:val="22"/>
        </w:rPr>
        <w:t>“)</w:t>
      </w:r>
    </w:p>
    <w:p w:rsidR="00D22C4C" w:rsidRPr="00A10197" w:rsidRDefault="00D22C4C" w:rsidP="00175746">
      <w:pPr>
        <w:pStyle w:val="Nzev"/>
        <w:spacing w:line="360" w:lineRule="auto"/>
        <w:rPr>
          <w:rFonts w:asciiTheme="minorHAnsi" w:hAnsiTheme="minorHAnsi"/>
          <w:sz w:val="18"/>
          <w:szCs w:val="22"/>
          <w:u w:val="single"/>
        </w:rPr>
      </w:pPr>
    </w:p>
    <w:p w:rsidR="00D22C4C" w:rsidRPr="00D22C4C" w:rsidRDefault="00D22C4C" w:rsidP="00175746">
      <w:pPr>
        <w:spacing w:line="360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Objednatel:</w:t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  <w:t>Česk</w:t>
      </w:r>
      <w:r w:rsidRPr="00D22C4C">
        <w:rPr>
          <w:rFonts w:asciiTheme="minorHAnsi" w:eastAsiaTheme="minorHAnsi" w:hAnsiTheme="minorHAnsi" w:cs="Baskerville Old Face"/>
          <w:bCs/>
          <w:sz w:val="22"/>
          <w:szCs w:val="22"/>
          <w:lang w:eastAsia="en-US"/>
        </w:rPr>
        <w:t>á</w:t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republika - </w:t>
      </w:r>
      <w:r w:rsidRPr="00D22C4C">
        <w:rPr>
          <w:rFonts w:asciiTheme="minorHAnsi" w:eastAsiaTheme="minorHAnsi" w:hAnsiTheme="minorHAnsi" w:cs="Baskerville Old Face"/>
          <w:bCs/>
          <w:sz w:val="22"/>
          <w:szCs w:val="22"/>
          <w:lang w:eastAsia="en-US"/>
        </w:rPr>
        <w:t>Ú</w:t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řad pr</w:t>
      </w:r>
      <w:r w:rsidRPr="00D22C4C">
        <w:rPr>
          <w:rFonts w:asciiTheme="minorHAnsi" w:eastAsiaTheme="minorHAnsi" w:hAnsiTheme="minorHAnsi" w:cs="Baskerville Old Face"/>
          <w:bCs/>
          <w:sz w:val="22"/>
          <w:szCs w:val="22"/>
          <w:lang w:eastAsia="en-US"/>
        </w:rPr>
        <w:t>á</w:t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ce Česk</w:t>
      </w:r>
      <w:r w:rsidRPr="00D22C4C">
        <w:rPr>
          <w:rFonts w:asciiTheme="minorHAnsi" w:eastAsiaTheme="minorHAnsi" w:hAnsiTheme="minorHAnsi" w:cs="Baskerville Old Face"/>
          <w:bCs/>
          <w:sz w:val="22"/>
          <w:szCs w:val="22"/>
          <w:lang w:eastAsia="en-US"/>
        </w:rPr>
        <w:t>é</w:t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republiky</w:t>
      </w:r>
    </w:p>
    <w:p w:rsidR="00D22C4C" w:rsidRPr="00D22C4C" w:rsidRDefault="00D22C4C" w:rsidP="00175746">
      <w:pPr>
        <w:spacing w:line="360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sídlo:</w:t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  <w:t>Dobrovského 1278/25, Praha 7</w:t>
      </w:r>
    </w:p>
    <w:p w:rsidR="00D22C4C" w:rsidRPr="00D22C4C" w:rsidRDefault="00D22C4C" w:rsidP="00175746">
      <w:pPr>
        <w:spacing w:line="360" w:lineRule="auto"/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</w:pP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zastoupena:</w:t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Ing. Zdeněk Novotný, ředitel Krajské pobočky </w:t>
      </w:r>
      <w:r w:rsidR="003E31BE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 xml:space="preserve">ÚP ČR </w:t>
      </w:r>
      <w:r w:rsidRPr="00D22C4C"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  <w:t>v Plzni</w:t>
      </w:r>
    </w:p>
    <w:p w:rsidR="00D22C4C" w:rsidRPr="00D22C4C" w:rsidRDefault="00D22C4C" w:rsidP="00175746">
      <w:pPr>
        <w:spacing w:line="360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9484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IČ</w:t>
      </w:r>
      <w:r w:rsidR="00A25E02" w:rsidRPr="0039484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</w:t>
      </w:r>
      <w:r w:rsidRPr="0039484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Pr="0039484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39484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  <w:t>72496991</w:t>
      </w:r>
    </w:p>
    <w:p w:rsidR="00D22C4C" w:rsidRPr="00D22C4C" w:rsidRDefault="00D22C4C" w:rsidP="00175746">
      <w:pPr>
        <w:spacing w:line="360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kontaktní a fakturačn</w:t>
      </w:r>
      <w:r w:rsidRPr="00D22C4C">
        <w:rPr>
          <w:rFonts w:asciiTheme="minorHAnsi" w:eastAsiaTheme="minorHAnsi" w:hAnsiTheme="minorHAnsi" w:cs="Baskerville Old Face"/>
          <w:b/>
          <w:bCs/>
          <w:sz w:val="22"/>
          <w:szCs w:val="22"/>
          <w:lang w:eastAsia="en-US"/>
        </w:rPr>
        <w:t>í</w:t>
      </w: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adresa:</w:t>
      </w: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ÚP ČR – Krajská pobočka v Plzni, Kaplířova 2731/7, 320 73 Plzeň</w:t>
      </w:r>
    </w:p>
    <w:p w:rsidR="00D22C4C" w:rsidRPr="00D22C4C" w:rsidRDefault="00D22C4C" w:rsidP="00175746">
      <w:pPr>
        <w:spacing w:line="360" w:lineRule="auto"/>
        <w:rPr>
          <w:rFonts w:asciiTheme="minorHAnsi" w:hAnsiTheme="minorHAnsi" w:cstheme="minorBidi"/>
          <w:bCs/>
          <w:sz w:val="22"/>
          <w:szCs w:val="22"/>
        </w:rPr>
      </w:pP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bankovní spojení: </w:t>
      </w: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D22C4C">
        <w:rPr>
          <w:rFonts w:asciiTheme="minorHAnsi" w:hAnsiTheme="minorHAnsi" w:cstheme="minorBidi"/>
          <w:bCs/>
          <w:sz w:val="22"/>
          <w:szCs w:val="22"/>
        </w:rPr>
        <w:t>Česká národní banka</w:t>
      </w:r>
    </w:p>
    <w:p w:rsidR="00D22C4C" w:rsidRPr="00D22C4C" w:rsidRDefault="00D22C4C" w:rsidP="00175746">
      <w:pPr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č</w:t>
      </w:r>
      <w:r w:rsidRPr="00D22C4C">
        <w:rPr>
          <w:rFonts w:asciiTheme="minorHAnsi" w:eastAsiaTheme="minorHAnsi" w:hAnsiTheme="minorHAnsi" w:cs="Baskerville Old Face"/>
          <w:b/>
          <w:bCs/>
          <w:sz w:val="22"/>
          <w:szCs w:val="22"/>
          <w:lang w:eastAsia="en-US"/>
        </w:rPr>
        <w:t>í</w:t>
      </w: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slo </w:t>
      </w:r>
      <w:r w:rsidRPr="00D22C4C">
        <w:rPr>
          <w:rFonts w:asciiTheme="minorHAnsi" w:eastAsiaTheme="minorHAnsi" w:hAnsiTheme="minorHAnsi" w:cs="Baskerville Old Face"/>
          <w:b/>
          <w:bCs/>
          <w:sz w:val="22"/>
          <w:szCs w:val="22"/>
          <w:lang w:eastAsia="en-US"/>
        </w:rPr>
        <w:t>ú</w:t>
      </w: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čtu: </w:t>
      </w: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D22C4C">
        <w:rPr>
          <w:rFonts w:asciiTheme="minorHAnsi" w:hAnsiTheme="minorHAnsi" w:cstheme="minorBidi"/>
          <w:sz w:val="22"/>
          <w:szCs w:val="22"/>
        </w:rPr>
        <w:t>37828311/0710</w:t>
      </w:r>
    </w:p>
    <w:p w:rsidR="00D22C4C" w:rsidRPr="00D22C4C" w:rsidRDefault="00D22C4C" w:rsidP="00175746">
      <w:pPr>
        <w:spacing w:line="360" w:lineRule="auto"/>
        <w:rPr>
          <w:rFonts w:asciiTheme="minorHAnsi" w:eastAsiaTheme="minorHAnsi" w:hAnsiTheme="minorHAnsi"/>
          <w:b/>
          <w:sz w:val="22"/>
          <w:szCs w:val="22"/>
          <w:u w:val="single"/>
          <w:lang w:eastAsia="en-US"/>
        </w:rPr>
      </w:pPr>
      <w:r w:rsidRPr="00D22C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ID datové schránky:</w:t>
      </w:r>
      <w:r w:rsidRPr="00D22C4C">
        <w:rPr>
          <w:rFonts w:asciiTheme="minorHAnsi" w:eastAsiaTheme="minorHAnsi" w:hAnsiTheme="minorHAnsi"/>
          <w:color w:val="0000FF"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/>
          <w:color w:val="0000FF"/>
          <w:sz w:val="22"/>
          <w:szCs w:val="22"/>
          <w:lang w:eastAsia="en-US"/>
        </w:rPr>
        <w:tab/>
      </w:r>
      <w:r w:rsidRPr="00D22C4C">
        <w:rPr>
          <w:rFonts w:asciiTheme="minorHAnsi" w:eastAsiaTheme="minorHAnsi" w:hAnsiTheme="minorHAnsi" w:cs="Arial CE"/>
          <w:color w:val="000000"/>
          <w:sz w:val="22"/>
          <w:szCs w:val="22"/>
          <w:lang w:eastAsia="en-US"/>
        </w:rPr>
        <w:t>6gyzph2</w:t>
      </w:r>
    </w:p>
    <w:p w:rsidR="00D22C4C" w:rsidRPr="00D22C4C" w:rsidRDefault="00D22C4C" w:rsidP="00175746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sz w:val="22"/>
          <w:szCs w:val="22"/>
        </w:rPr>
      </w:pPr>
      <w:r w:rsidRPr="00D22C4C">
        <w:rPr>
          <w:rFonts w:asciiTheme="minorHAnsi" w:hAnsiTheme="minorHAnsi"/>
          <w:b/>
          <w:sz w:val="22"/>
          <w:szCs w:val="22"/>
        </w:rPr>
        <w:t>(dále jen „</w:t>
      </w:r>
      <w:r w:rsidRPr="00D22C4C">
        <w:rPr>
          <w:rFonts w:asciiTheme="minorHAnsi" w:hAnsiTheme="minorHAnsi"/>
          <w:b/>
          <w:bCs/>
          <w:sz w:val="22"/>
          <w:szCs w:val="22"/>
        </w:rPr>
        <w:t>objednatel</w:t>
      </w:r>
      <w:r w:rsidRPr="00D22C4C">
        <w:rPr>
          <w:rFonts w:asciiTheme="minorHAnsi" w:hAnsiTheme="minorHAnsi"/>
          <w:b/>
          <w:sz w:val="22"/>
          <w:szCs w:val="22"/>
        </w:rPr>
        <w:t xml:space="preserve">“) </w:t>
      </w:r>
    </w:p>
    <w:p w:rsidR="00D22C4C" w:rsidRPr="003E31BE" w:rsidRDefault="00D22C4C" w:rsidP="00175746">
      <w:pPr>
        <w:spacing w:line="360" w:lineRule="auto"/>
        <w:rPr>
          <w:rFonts w:asciiTheme="minorHAnsi" w:eastAsiaTheme="minorHAnsi" w:hAnsiTheme="minorHAnsi"/>
          <w:sz w:val="10"/>
          <w:szCs w:val="22"/>
          <w:lang w:eastAsia="en-US"/>
        </w:rPr>
      </w:pPr>
    </w:p>
    <w:p w:rsidR="00D22C4C" w:rsidRPr="00D22C4C" w:rsidRDefault="00D22C4C" w:rsidP="00175746">
      <w:pPr>
        <w:spacing w:line="360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D22C4C">
        <w:rPr>
          <w:rFonts w:asciiTheme="minorHAnsi" w:eastAsiaTheme="minorHAnsi" w:hAnsiTheme="minorHAnsi"/>
          <w:sz w:val="22"/>
          <w:szCs w:val="22"/>
          <w:lang w:eastAsia="en-US"/>
        </w:rPr>
        <w:t>a</w:t>
      </w:r>
      <w:bookmarkStart w:id="0" w:name="_GoBack"/>
      <w:bookmarkEnd w:id="0"/>
    </w:p>
    <w:p w:rsidR="00D22C4C" w:rsidRPr="003E31BE" w:rsidRDefault="00D22C4C" w:rsidP="00175746">
      <w:pPr>
        <w:spacing w:line="360" w:lineRule="auto"/>
        <w:rPr>
          <w:rFonts w:asciiTheme="minorHAnsi" w:eastAsiaTheme="minorHAnsi" w:hAnsiTheme="minorHAnsi"/>
          <w:sz w:val="10"/>
          <w:szCs w:val="22"/>
          <w:lang w:eastAsia="en-US"/>
        </w:rPr>
      </w:pPr>
    </w:p>
    <w:p w:rsidR="00175746" w:rsidRPr="00175746" w:rsidRDefault="00175746" w:rsidP="0017574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>Dodavatel:</w:t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 w:rsidRPr="009260AA">
        <w:rPr>
          <w:rFonts w:asciiTheme="minorHAnsi" w:hAnsiTheme="minorHAnsi"/>
          <w:sz w:val="22"/>
          <w:szCs w:val="22"/>
        </w:rPr>
        <w:t>Ing. Vladimír Pokorný</w:t>
      </w:r>
    </w:p>
    <w:p w:rsidR="00175746" w:rsidRPr="00175746" w:rsidRDefault="00175746" w:rsidP="0017574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 xml:space="preserve">sídlo: </w:t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sz w:val="22"/>
          <w:szCs w:val="22"/>
        </w:rPr>
        <w:t>Levandulová 628/31, 312 00 P</w:t>
      </w:r>
      <w:r w:rsidR="009260AA" w:rsidRPr="009260AA">
        <w:rPr>
          <w:rFonts w:asciiTheme="minorHAnsi" w:hAnsiTheme="minorHAnsi"/>
          <w:sz w:val="22"/>
          <w:szCs w:val="22"/>
        </w:rPr>
        <w:t>lzeň</w:t>
      </w:r>
    </w:p>
    <w:p w:rsidR="00175746" w:rsidRPr="00175746" w:rsidRDefault="00175746" w:rsidP="0017574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 xml:space="preserve">zastoupený: </w:t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 w:rsidRPr="009260AA">
        <w:rPr>
          <w:rFonts w:asciiTheme="minorHAnsi" w:hAnsiTheme="minorHAnsi"/>
          <w:sz w:val="22"/>
          <w:szCs w:val="22"/>
        </w:rPr>
        <w:tab/>
        <w:t>-</w:t>
      </w:r>
    </w:p>
    <w:p w:rsidR="00175746" w:rsidRPr="00175746" w:rsidRDefault="00175746" w:rsidP="0017574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 xml:space="preserve">IČO: </w:t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 w:rsidRPr="009260AA">
        <w:rPr>
          <w:rFonts w:asciiTheme="minorHAnsi" w:hAnsiTheme="minorHAnsi"/>
          <w:sz w:val="22"/>
          <w:szCs w:val="22"/>
        </w:rPr>
        <w:t>43347878</w:t>
      </w:r>
    </w:p>
    <w:p w:rsidR="00175746" w:rsidRPr="00175746" w:rsidRDefault="00175746" w:rsidP="0017574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>kontaktní a fakturační adresa:</w:t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sz w:val="22"/>
          <w:szCs w:val="22"/>
        </w:rPr>
        <w:t>Levandulová 628/31, 312 00 P</w:t>
      </w:r>
      <w:r w:rsidR="009260AA" w:rsidRPr="009260AA">
        <w:rPr>
          <w:rFonts w:asciiTheme="minorHAnsi" w:hAnsiTheme="minorHAnsi"/>
          <w:sz w:val="22"/>
          <w:szCs w:val="22"/>
        </w:rPr>
        <w:t>lzeň</w:t>
      </w:r>
    </w:p>
    <w:p w:rsidR="00175746" w:rsidRPr="00175746" w:rsidRDefault="00175746" w:rsidP="0017574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 xml:space="preserve">bankovní spojení: </w:t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 w:rsidRPr="009260AA">
        <w:rPr>
          <w:rFonts w:asciiTheme="minorHAnsi" w:hAnsiTheme="minorHAnsi"/>
          <w:sz w:val="22"/>
          <w:szCs w:val="22"/>
        </w:rPr>
        <w:t>KB Plzeň - město</w:t>
      </w:r>
    </w:p>
    <w:p w:rsidR="00175746" w:rsidRPr="00175746" w:rsidRDefault="00175746" w:rsidP="0017574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 xml:space="preserve">číslo účtu: </w:t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 w:rsidRPr="009260AA">
        <w:rPr>
          <w:rFonts w:asciiTheme="minorHAnsi" w:hAnsiTheme="minorHAnsi"/>
          <w:sz w:val="22"/>
          <w:szCs w:val="22"/>
        </w:rPr>
        <w:t>975443311/0100</w:t>
      </w:r>
    </w:p>
    <w:p w:rsidR="00175746" w:rsidRPr="00175746" w:rsidRDefault="00175746" w:rsidP="0017574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>ID datové schránky:</w:t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>
        <w:rPr>
          <w:rFonts w:asciiTheme="minorHAnsi" w:hAnsiTheme="minorHAnsi"/>
          <w:b/>
          <w:sz w:val="22"/>
          <w:szCs w:val="22"/>
        </w:rPr>
        <w:tab/>
      </w:r>
      <w:r w:rsidR="009260AA" w:rsidRPr="009260AA">
        <w:rPr>
          <w:rFonts w:asciiTheme="minorHAnsi" w:hAnsiTheme="minorHAnsi"/>
          <w:sz w:val="22"/>
          <w:szCs w:val="22"/>
        </w:rPr>
        <w:t>-</w:t>
      </w:r>
    </w:p>
    <w:p w:rsidR="00175746" w:rsidRPr="00175746" w:rsidRDefault="00175746" w:rsidP="0017574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175746">
        <w:rPr>
          <w:rFonts w:asciiTheme="minorHAnsi" w:hAnsiTheme="minorHAnsi"/>
          <w:b/>
          <w:sz w:val="22"/>
          <w:szCs w:val="22"/>
        </w:rPr>
        <w:t>(dále jen „dodavatel“)</w:t>
      </w:r>
    </w:p>
    <w:p w:rsidR="00D22C4C" w:rsidRPr="003E31BE" w:rsidRDefault="00D22C4C" w:rsidP="00175746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18"/>
          <w:szCs w:val="22"/>
        </w:rPr>
      </w:pPr>
      <w:r w:rsidRPr="00D22C4C">
        <w:rPr>
          <w:rFonts w:asciiTheme="minorHAnsi" w:hAnsiTheme="minorHAnsi"/>
          <w:b/>
          <w:bCs/>
          <w:sz w:val="22"/>
          <w:szCs w:val="22"/>
        </w:rPr>
        <w:tab/>
      </w:r>
      <w:r w:rsidRPr="00D22C4C">
        <w:rPr>
          <w:rFonts w:asciiTheme="minorHAnsi" w:hAnsiTheme="minorHAnsi"/>
          <w:b/>
          <w:bCs/>
          <w:sz w:val="22"/>
          <w:szCs w:val="22"/>
        </w:rPr>
        <w:tab/>
      </w:r>
    </w:p>
    <w:p w:rsidR="00D22C4C" w:rsidRPr="00D22C4C" w:rsidRDefault="00D22C4C" w:rsidP="009260AA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D22C4C">
        <w:rPr>
          <w:rFonts w:asciiTheme="minorHAnsi" w:hAnsiTheme="minorHAnsi"/>
          <w:b/>
          <w:sz w:val="22"/>
          <w:szCs w:val="22"/>
        </w:rPr>
        <w:t>I.</w:t>
      </w:r>
    </w:p>
    <w:p w:rsidR="00D22C4C" w:rsidRPr="00D22C4C" w:rsidRDefault="006C1968" w:rsidP="009260AA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Účel D</w:t>
      </w:r>
      <w:r w:rsidR="00D22C4C" w:rsidRPr="00D22C4C">
        <w:rPr>
          <w:rFonts w:asciiTheme="minorHAnsi" w:hAnsiTheme="minorHAnsi"/>
          <w:b/>
          <w:sz w:val="22"/>
          <w:szCs w:val="22"/>
        </w:rPr>
        <w:t>odatku</w:t>
      </w:r>
    </w:p>
    <w:p w:rsidR="00A25E02" w:rsidRDefault="00A25E02" w:rsidP="00A25E02">
      <w:pPr>
        <w:pStyle w:val="Odstavecseseznamem"/>
        <w:spacing w:line="360" w:lineRule="auto"/>
        <w:ind w:left="567"/>
        <w:rPr>
          <w:rFonts w:asciiTheme="minorHAnsi" w:hAnsiTheme="minorHAnsi"/>
          <w:sz w:val="22"/>
          <w:szCs w:val="22"/>
        </w:rPr>
      </w:pPr>
    </w:p>
    <w:p w:rsidR="00667EF1" w:rsidRDefault="003E31BE" w:rsidP="00A25E02">
      <w:pPr>
        <w:pStyle w:val="Odstavecseseznamem"/>
        <w:spacing w:line="360" w:lineRule="auto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Účelem tohoto D</w:t>
      </w:r>
      <w:r w:rsidR="00D22C4C" w:rsidRPr="00667EF1">
        <w:rPr>
          <w:rFonts w:asciiTheme="minorHAnsi" w:hAnsiTheme="minorHAnsi"/>
          <w:sz w:val="22"/>
          <w:szCs w:val="22"/>
        </w:rPr>
        <w:t>odatku je úprava Smlouvy</w:t>
      </w:r>
      <w:r>
        <w:rPr>
          <w:rFonts w:asciiTheme="minorHAnsi" w:hAnsiTheme="minorHAnsi"/>
          <w:sz w:val="22"/>
          <w:szCs w:val="22"/>
        </w:rPr>
        <w:t xml:space="preserve"> o </w:t>
      </w:r>
      <w:r w:rsidRPr="00394840">
        <w:rPr>
          <w:rFonts w:asciiTheme="minorHAnsi" w:hAnsiTheme="minorHAnsi"/>
          <w:sz w:val="22"/>
          <w:szCs w:val="22"/>
        </w:rPr>
        <w:t xml:space="preserve">poskytování služeb „Zajištění revizí elektroinstalací a hromosvodů pro ÚP ČR </w:t>
      </w:r>
      <w:proofErr w:type="spellStart"/>
      <w:r w:rsidRPr="00394840">
        <w:rPr>
          <w:rFonts w:asciiTheme="minorHAnsi" w:hAnsiTheme="minorHAnsi"/>
          <w:sz w:val="22"/>
          <w:szCs w:val="22"/>
        </w:rPr>
        <w:t>KrP</w:t>
      </w:r>
      <w:proofErr w:type="spellEnd"/>
      <w:r w:rsidRPr="00394840">
        <w:rPr>
          <w:rFonts w:asciiTheme="minorHAnsi" w:hAnsiTheme="minorHAnsi"/>
          <w:sz w:val="22"/>
          <w:szCs w:val="22"/>
        </w:rPr>
        <w:t xml:space="preserve"> v Plzni (dále jen „</w:t>
      </w:r>
      <w:r w:rsidRPr="00394840">
        <w:rPr>
          <w:rFonts w:asciiTheme="minorHAnsi" w:hAnsiTheme="minorHAnsi"/>
          <w:i/>
          <w:sz w:val="22"/>
          <w:szCs w:val="22"/>
        </w:rPr>
        <w:t>Smlouva</w:t>
      </w:r>
      <w:r w:rsidRPr="00394840">
        <w:rPr>
          <w:rFonts w:asciiTheme="minorHAnsi" w:hAnsiTheme="minorHAnsi"/>
          <w:sz w:val="22"/>
          <w:szCs w:val="22"/>
        </w:rPr>
        <w:t>“)</w:t>
      </w:r>
      <w:r w:rsidR="00D22C4C" w:rsidRPr="00394840">
        <w:rPr>
          <w:rFonts w:asciiTheme="minorHAnsi" w:hAnsiTheme="minorHAnsi"/>
          <w:sz w:val="22"/>
          <w:szCs w:val="22"/>
        </w:rPr>
        <w:t xml:space="preserve"> </w:t>
      </w:r>
      <w:r w:rsidR="00A25E02" w:rsidRPr="00394840">
        <w:rPr>
          <w:rFonts w:asciiTheme="minorHAnsi" w:hAnsiTheme="minorHAnsi"/>
          <w:sz w:val="22"/>
          <w:szCs w:val="22"/>
        </w:rPr>
        <w:t>uzavřené dne 4.</w:t>
      </w:r>
      <w:r w:rsidR="00394840" w:rsidRPr="00394840">
        <w:rPr>
          <w:rFonts w:asciiTheme="minorHAnsi" w:hAnsiTheme="minorHAnsi"/>
          <w:sz w:val="22"/>
          <w:szCs w:val="22"/>
        </w:rPr>
        <w:t xml:space="preserve"> </w:t>
      </w:r>
      <w:r w:rsidR="00A25E02" w:rsidRPr="00394840">
        <w:rPr>
          <w:rFonts w:asciiTheme="minorHAnsi" w:hAnsiTheme="minorHAnsi"/>
          <w:sz w:val="22"/>
          <w:szCs w:val="22"/>
        </w:rPr>
        <w:t>10.</w:t>
      </w:r>
      <w:r w:rsidR="00394840" w:rsidRPr="00394840">
        <w:rPr>
          <w:rFonts w:asciiTheme="minorHAnsi" w:hAnsiTheme="minorHAnsi"/>
          <w:sz w:val="22"/>
          <w:szCs w:val="22"/>
        </w:rPr>
        <w:t xml:space="preserve"> </w:t>
      </w:r>
      <w:r w:rsidR="00A25E02" w:rsidRPr="00394840">
        <w:rPr>
          <w:rFonts w:asciiTheme="minorHAnsi" w:hAnsiTheme="minorHAnsi"/>
          <w:sz w:val="22"/>
          <w:szCs w:val="22"/>
        </w:rPr>
        <w:t xml:space="preserve">2013 </w:t>
      </w:r>
      <w:r w:rsidR="00D22C4C" w:rsidRPr="00394840">
        <w:rPr>
          <w:rFonts w:asciiTheme="minorHAnsi" w:hAnsiTheme="minorHAnsi"/>
          <w:sz w:val="22"/>
          <w:szCs w:val="22"/>
        </w:rPr>
        <w:t>mezi Objednatelem a Dodavatelem</w:t>
      </w:r>
      <w:r w:rsidR="00A25E02" w:rsidRPr="00394840">
        <w:rPr>
          <w:rFonts w:asciiTheme="minorHAnsi" w:hAnsiTheme="minorHAnsi"/>
          <w:sz w:val="22"/>
          <w:szCs w:val="22"/>
        </w:rPr>
        <w:t xml:space="preserve"> z důvodu personálních a technických změn.</w:t>
      </w:r>
    </w:p>
    <w:p w:rsidR="00394840" w:rsidRPr="00394840" w:rsidRDefault="00394840" w:rsidP="00A25E02">
      <w:pPr>
        <w:pStyle w:val="Odstavecseseznamem"/>
        <w:spacing w:line="360" w:lineRule="auto"/>
        <w:ind w:left="0"/>
        <w:rPr>
          <w:rFonts w:asciiTheme="minorHAnsi" w:hAnsiTheme="minorHAnsi"/>
          <w:sz w:val="18"/>
          <w:szCs w:val="22"/>
        </w:rPr>
      </w:pPr>
    </w:p>
    <w:p w:rsidR="00D22C4C" w:rsidRPr="00D22C4C" w:rsidRDefault="00D22C4C" w:rsidP="009260AA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D22C4C">
        <w:rPr>
          <w:rFonts w:asciiTheme="minorHAnsi" w:hAnsiTheme="minorHAnsi"/>
          <w:b/>
          <w:sz w:val="22"/>
          <w:szCs w:val="22"/>
        </w:rPr>
        <w:t>II.</w:t>
      </w:r>
    </w:p>
    <w:p w:rsidR="00D22C4C" w:rsidRPr="00175746" w:rsidRDefault="00D22C4C" w:rsidP="009260AA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D22C4C">
        <w:rPr>
          <w:rFonts w:asciiTheme="minorHAnsi" w:hAnsiTheme="minorHAnsi"/>
          <w:b/>
          <w:sz w:val="22"/>
          <w:szCs w:val="22"/>
        </w:rPr>
        <w:t>Předmět dodatku</w:t>
      </w:r>
    </w:p>
    <w:p w:rsidR="009260AA" w:rsidRPr="00394840" w:rsidRDefault="00D22C4C" w:rsidP="009260AA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175746">
        <w:rPr>
          <w:rFonts w:asciiTheme="minorHAnsi" w:hAnsiTheme="minorHAnsi"/>
          <w:b w:val="0"/>
          <w:sz w:val="22"/>
          <w:szCs w:val="22"/>
        </w:rPr>
        <w:t xml:space="preserve">Na základě </w:t>
      </w:r>
      <w:r w:rsidRPr="00394840">
        <w:rPr>
          <w:rFonts w:asciiTheme="minorHAnsi" w:hAnsiTheme="minorHAnsi"/>
          <w:b w:val="0"/>
          <w:sz w:val="22"/>
          <w:szCs w:val="22"/>
        </w:rPr>
        <w:t>tohoto Dodatku se</w:t>
      </w:r>
      <w:r w:rsidR="009260AA" w:rsidRPr="00394840">
        <w:rPr>
          <w:rFonts w:asciiTheme="minorHAnsi" w:hAnsiTheme="minorHAnsi"/>
          <w:b w:val="0"/>
          <w:sz w:val="22"/>
          <w:szCs w:val="22"/>
        </w:rPr>
        <w:t xml:space="preserve"> Smlouva</w:t>
      </w:r>
      <w:r w:rsidRPr="00394840">
        <w:rPr>
          <w:rFonts w:asciiTheme="minorHAnsi" w:hAnsiTheme="minorHAnsi"/>
          <w:b w:val="0"/>
          <w:sz w:val="22"/>
          <w:szCs w:val="22"/>
        </w:rPr>
        <w:t xml:space="preserve"> mění</w:t>
      </w:r>
      <w:r w:rsidR="009260AA" w:rsidRPr="00394840">
        <w:rPr>
          <w:rFonts w:asciiTheme="minorHAnsi" w:hAnsiTheme="minorHAnsi"/>
          <w:b w:val="0"/>
          <w:sz w:val="22"/>
          <w:szCs w:val="22"/>
        </w:rPr>
        <w:t xml:space="preserve"> takto</w:t>
      </w:r>
      <w:r w:rsidR="00175746" w:rsidRPr="00394840">
        <w:rPr>
          <w:rFonts w:asciiTheme="minorHAnsi" w:hAnsiTheme="minorHAnsi"/>
          <w:b w:val="0"/>
          <w:sz w:val="22"/>
          <w:szCs w:val="22"/>
        </w:rPr>
        <w:t>:</w:t>
      </w:r>
    </w:p>
    <w:p w:rsidR="005503DA" w:rsidRPr="00394840" w:rsidRDefault="009260AA" w:rsidP="00667EF1">
      <w:pPr>
        <w:pStyle w:val="Nzev"/>
        <w:numPr>
          <w:ilvl w:val="1"/>
          <w:numId w:val="16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394840">
        <w:rPr>
          <w:rFonts w:asciiTheme="minorHAnsi" w:hAnsiTheme="minorHAnsi"/>
          <w:sz w:val="22"/>
          <w:szCs w:val="22"/>
        </w:rPr>
        <w:t>V</w:t>
      </w:r>
      <w:r w:rsidR="00175746" w:rsidRPr="00394840">
        <w:rPr>
          <w:rFonts w:asciiTheme="minorHAnsi" w:hAnsiTheme="minorHAnsi"/>
          <w:sz w:val="22"/>
          <w:szCs w:val="22"/>
        </w:rPr>
        <w:t> článku I. Smlouvy</w:t>
      </w:r>
      <w:r w:rsidRPr="00394840">
        <w:rPr>
          <w:rFonts w:asciiTheme="minorHAnsi" w:hAnsiTheme="minorHAnsi"/>
          <w:sz w:val="22"/>
          <w:szCs w:val="22"/>
        </w:rPr>
        <w:t xml:space="preserve"> </w:t>
      </w:r>
      <w:r w:rsidR="00A25E02" w:rsidRPr="00394840">
        <w:rPr>
          <w:rFonts w:asciiTheme="minorHAnsi" w:hAnsiTheme="minorHAnsi"/>
          <w:sz w:val="22"/>
          <w:szCs w:val="22"/>
        </w:rPr>
        <w:t>bod 1.1 zní takto:</w:t>
      </w:r>
    </w:p>
    <w:p w:rsidR="00A25E02" w:rsidRDefault="00A25E02" w:rsidP="005503DA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</w:p>
    <w:p w:rsidR="00A25E02" w:rsidRDefault="00A25E02" w:rsidP="005503DA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</w:p>
    <w:p w:rsidR="00A25E02" w:rsidRPr="00394840" w:rsidRDefault="00A25E02" w:rsidP="005503DA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394840">
        <w:rPr>
          <w:rFonts w:asciiTheme="minorHAnsi" w:hAnsiTheme="minorHAnsi"/>
          <w:b w:val="0"/>
          <w:sz w:val="22"/>
          <w:szCs w:val="22"/>
        </w:rPr>
        <w:lastRenderedPageBreak/>
        <w:t>"Objednatel:</w:t>
      </w:r>
    </w:p>
    <w:p w:rsidR="00A25E02" w:rsidRPr="00394840" w:rsidRDefault="00A25E02" w:rsidP="005503DA">
      <w:pPr>
        <w:pStyle w:val="Nzev"/>
        <w:spacing w:line="360" w:lineRule="auto"/>
        <w:jc w:val="both"/>
        <w:rPr>
          <w:rFonts w:asciiTheme="minorHAnsi" w:eastAsiaTheme="minorHAnsi" w:hAnsiTheme="minorHAnsi" w:cstheme="minorBidi"/>
          <w:b w:val="0"/>
          <w:bCs/>
          <w:sz w:val="22"/>
          <w:szCs w:val="22"/>
          <w:lang w:eastAsia="en-US"/>
        </w:rPr>
      </w:pPr>
      <w:r w:rsidRPr="00394840">
        <w:rPr>
          <w:rFonts w:asciiTheme="minorHAnsi" w:hAnsiTheme="minorHAnsi"/>
          <w:b w:val="0"/>
          <w:sz w:val="22"/>
          <w:szCs w:val="22"/>
        </w:rPr>
        <w:t xml:space="preserve">ČR - Úřad práce České republiky, </w:t>
      </w:r>
      <w:r w:rsidRPr="00394840">
        <w:rPr>
          <w:rFonts w:asciiTheme="minorHAnsi" w:eastAsiaTheme="minorHAnsi" w:hAnsiTheme="minorHAnsi" w:cstheme="minorBidi"/>
          <w:b w:val="0"/>
          <w:bCs/>
          <w:sz w:val="22"/>
          <w:szCs w:val="22"/>
          <w:lang w:eastAsia="en-US"/>
        </w:rPr>
        <w:t>Dobrovského 1278/25, Praha 7, IČO 72496991</w:t>
      </w:r>
    </w:p>
    <w:p w:rsidR="00A25E02" w:rsidRPr="00394840" w:rsidRDefault="00A25E02" w:rsidP="005503DA">
      <w:pPr>
        <w:pStyle w:val="Nzev"/>
        <w:spacing w:line="360" w:lineRule="auto"/>
        <w:jc w:val="both"/>
        <w:rPr>
          <w:rFonts w:asciiTheme="minorHAnsi" w:eastAsiaTheme="minorHAnsi" w:hAnsiTheme="minorHAnsi" w:cstheme="minorBidi"/>
          <w:b w:val="0"/>
          <w:bCs/>
          <w:sz w:val="22"/>
          <w:szCs w:val="22"/>
          <w:lang w:eastAsia="en-US"/>
        </w:rPr>
      </w:pPr>
      <w:r w:rsidRPr="00394840">
        <w:rPr>
          <w:rFonts w:asciiTheme="minorHAnsi" w:eastAsiaTheme="minorHAnsi" w:hAnsiTheme="minorHAnsi" w:cstheme="minorBidi"/>
          <w:b w:val="0"/>
          <w:bCs/>
          <w:sz w:val="22"/>
          <w:szCs w:val="22"/>
          <w:lang w:eastAsia="en-US"/>
        </w:rPr>
        <w:t>Organizační útvar: ÚP ČR – Krajská pobočka v Plzni, Kaplířova 2731/7, 320 73 Plzeň</w:t>
      </w:r>
    </w:p>
    <w:p w:rsidR="00A25E02" w:rsidRPr="00394840" w:rsidRDefault="00A25E02" w:rsidP="005503DA">
      <w:pPr>
        <w:pStyle w:val="Nzev"/>
        <w:spacing w:line="360" w:lineRule="auto"/>
        <w:jc w:val="both"/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</w:pPr>
      <w:r w:rsidRPr="00394840">
        <w:rPr>
          <w:rFonts w:asciiTheme="minorHAnsi" w:eastAsiaTheme="minorHAnsi" w:hAnsiTheme="minorHAnsi" w:cstheme="minorBidi"/>
          <w:b w:val="0"/>
          <w:bCs/>
          <w:sz w:val="22"/>
          <w:szCs w:val="22"/>
          <w:lang w:eastAsia="en-US"/>
        </w:rPr>
        <w:t xml:space="preserve">Zástupce jednání ve věcech smluvních:  </w:t>
      </w:r>
      <w:r w:rsidRPr="00394840">
        <w:rPr>
          <w:rFonts w:asciiTheme="minorHAnsi" w:eastAsiaTheme="minorHAnsi" w:hAnsiTheme="minorHAnsi" w:cstheme="minorBidi"/>
          <w:b w:val="0"/>
          <w:bCs/>
          <w:iCs/>
          <w:sz w:val="22"/>
          <w:szCs w:val="22"/>
          <w:lang w:eastAsia="en-US"/>
        </w:rPr>
        <w:t>Ing. Zdeněk Novotný, ředitel Krajské pobočky ÚP ČR v Plzni</w:t>
      </w:r>
    </w:p>
    <w:p w:rsidR="005503DA" w:rsidRPr="00394840" w:rsidRDefault="005503DA" w:rsidP="005503DA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394840">
        <w:rPr>
          <w:rFonts w:asciiTheme="minorHAnsi" w:hAnsiTheme="minorHAnsi"/>
          <w:b w:val="0"/>
          <w:sz w:val="22"/>
          <w:szCs w:val="22"/>
        </w:rPr>
        <w:t>Kontaktní osoby:</w:t>
      </w:r>
    </w:p>
    <w:p w:rsidR="00D22C4C" w:rsidRPr="00394840" w:rsidRDefault="00D22C4C" w:rsidP="00175746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394840">
        <w:rPr>
          <w:rFonts w:asciiTheme="minorHAnsi" w:hAnsiTheme="minorHAnsi"/>
          <w:b w:val="0"/>
          <w:sz w:val="22"/>
          <w:szCs w:val="22"/>
        </w:rPr>
        <w:t>Ing. Marcela Staňková</w:t>
      </w:r>
      <w:r w:rsidR="005503DA" w:rsidRPr="00394840">
        <w:rPr>
          <w:rFonts w:asciiTheme="minorHAnsi" w:hAnsiTheme="minorHAnsi"/>
          <w:b w:val="0"/>
          <w:sz w:val="22"/>
          <w:szCs w:val="22"/>
        </w:rPr>
        <w:tab/>
      </w:r>
      <w:r w:rsidR="005503DA" w:rsidRPr="00394840">
        <w:rPr>
          <w:rFonts w:asciiTheme="minorHAnsi" w:hAnsiTheme="minorHAnsi"/>
          <w:b w:val="0"/>
          <w:sz w:val="22"/>
          <w:szCs w:val="22"/>
        </w:rPr>
        <w:tab/>
        <w:t xml:space="preserve">- </w:t>
      </w:r>
      <w:r w:rsidRPr="00394840">
        <w:rPr>
          <w:rFonts w:asciiTheme="minorHAnsi" w:hAnsiTheme="minorHAnsi"/>
          <w:b w:val="0"/>
          <w:sz w:val="22"/>
          <w:szCs w:val="22"/>
        </w:rPr>
        <w:t>tel.</w:t>
      </w:r>
      <w:r w:rsidR="005503DA" w:rsidRPr="00394840">
        <w:rPr>
          <w:rFonts w:asciiTheme="minorHAnsi" w:hAnsiTheme="minorHAnsi"/>
          <w:b w:val="0"/>
          <w:sz w:val="22"/>
          <w:szCs w:val="22"/>
        </w:rPr>
        <w:t xml:space="preserve">: </w:t>
      </w:r>
      <w:r w:rsidRPr="00394840">
        <w:rPr>
          <w:rFonts w:asciiTheme="minorHAnsi" w:hAnsiTheme="minorHAnsi"/>
          <w:b w:val="0"/>
          <w:sz w:val="22"/>
          <w:szCs w:val="22"/>
        </w:rPr>
        <w:t>950 148</w:t>
      </w:r>
      <w:r w:rsidR="005503DA" w:rsidRPr="00394840">
        <w:rPr>
          <w:rFonts w:asciiTheme="minorHAnsi" w:hAnsiTheme="minorHAnsi"/>
          <w:b w:val="0"/>
          <w:sz w:val="22"/>
          <w:szCs w:val="22"/>
        </w:rPr>
        <w:t> </w:t>
      </w:r>
      <w:r w:rsidRPr="00394840">
        <w:rPr>
          <w:rFonts w:asciiTheme="minorHAnsi" w:hAnsiTheme="minorHAnsi"/>
          <w:b w:val="0"/>
          <w:sz w:val="22"/>
          <w:szCs w:val="22"/>
        </w:rPr>
        <w:t>777</w:t>
      </w:r>
      <w:r w:rsidR="005503DA" w:rsidRPr="00394840">
        <w:rPr>
          <w:rFonts w:asciiTheme="minorHAnsi" w:hAnsiTheme="minorHAnsi"/>
          <w:b w:val="0"/>
          <w:sz w:val="22"/>
          <w:szCs w:val="22"/>
        </w:rPr>
        <w:tab/>
      </w:r>
      <w:r w:rsidRPr="00394840">
        <w:rPr>
          <w:rFonts w:asciiTheme="minorHAnsi" w:hAnsiTheme="minorHAnsi"/>
          <w:b w:val="0"/>
          <w:sz w:val="22"/>
          <w:szCs w:val="22"/>
        </w:rPr>
        <w:t xml:space="preserve">email: </w:t>
      </w:r>
      <w:hyperlink r:id="rId6" w:history="1">
        <w:r w:rsidR="005503DA" w:rsidRPr="00394840">
          <w:rPr>
            <w:rStyle w:val="Hypertextovodkaz"/>
            <w:rFonts w:asciiTheme="minorHAnsi" w:hAnsiTheme="minorHAnsi"/>
            <w:b w:val="0"/>
            <w:color w:val="auto"/>
            <w:sz w:val="22"/>
            <w:szCs w:val="22"/>
          </w:rPr>
          <w:t>marcela.stankova</w:t>
        </w:r>
        <w:r w:rsidR="005503DA" w:rsidRPr="00394840">
          <w:rPr>
            <w:rStyle w:val="Hypertextovodkaz"/>
            <w:rFonts w:asciiTheme="minorHAnsi" w:hAnsiTheme="minorHAnsi"/>
            <w:b w:val="0"/>
            <w:color w:val="auto"/>
            <w:sz w:val="22"/>
            <w:szCs w:val="22"/>
            <w:lang w:val="en-US"/>
          </w:rPr>
          <w:t>@</w:t>
        </w:r>
        <w:r w:rsidR="005503DA" w:rsidRPr="00394840">
          <w:rPr>
            <w:rStyle w:val="Hypertextovodkaz"/>
            <w:rFonts w:asciiTheme="minorHAnsi" w:hAnsiTheme="minorHAnsi"/>
            <w:b w:val="0"/>
            <w:color w:val="auto"/>
            <w:sz w:val="22"/>
            <w:szCs w:val="22"/>
          </w:rPr>
          <w:t>uradprace.cz</w:t>
        </w:r>
      </w:hyperlink>
    </w:p>
    <w:p w:rsidR="005503DA" w:rsidRPr="00394840" w:rsidRDefault="005503DA" w:rsidP="00175746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394840">
        <w:rPr>
          <w:rFonts w:asciiTheme="minorHAnsi" w:hAnsiTheme="minorHAnsi"/>
          <w:b w:val="0"/>
          <w:sz w:val="22"/>
          <w:szCs w:val="22"/>
        </w:rPr>
        <w:tab/>
      </w:r>
      <w:r w:rsidRPr="00394840">
        <w:rPr>
          <w:rFonts w:asciiTheme="minorHAnsi" w:hAnsiTheme="minorHAnsi"/>
          <w:b w:val="0"/>
          <w:sz w:val="22"/>
          <w:szCs w:val="22"/>
        </w:rPr>
        <w:tab/>
      </w:r>
      <w:r w:rsidRPr="00394840">
        <w:rPr>
          <w:rFonts w:asciiTheme="minorHAnsi" w:hAnsiTheme="minorHAnsi"/>
          <w:b w:val="0"/>
          <w:sz w:val="22"/>
          <w:szCs w:val="22"/>
        </w:rPr>
        <w:tab/>
      </w:r>
      <w:r w:rsidRPr="00394840">
        <w:rPr>
          <w:rFonts w:asciiTheme="minorHAnsi" w:hAnsiTheme="minorHAnsi"/>
          <w:b w:val="0"/>
          <w:sz w:val="22"/>
          <w:szCs w:val="22"/>
        </w:rPr>
        <w:tab/>
        <w:t>-</w:t>
      </w:r>
      <w:r w:rsidR="00667EF1" w:rsidRPr="00394840">
        <w:rPr>
          <w:rFonts w:asciiTheme="minorHAnsi" w:hAnsiTheme="minorHAnsi"/>
          <w:b w:val="0"/>
          <w:sz w:val="22"/>
          <w:szCs w:val="22"/>
        </w:rPr>
        <w:t>V</w:t>
      </w:r>
      <w:r w:rsidRPr="00394840">
        <w:rPr>
          <w:rFonts w:asciiTheme="minorHAnsi" w:hAnsiTheme="minorHAnsi"/>
          <w:b w:val="0"/>
          <w:sz w:val="22"/>
          <w:szCs w:val="22"/>
        </w:rPr>
        <w:t>edoucí oddělení majetku a investic</w:t>
      </w:r>
      <w:r w:rsidR="00667EF1" w:rsidRPr="00394840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5503DA" w:rsidRPr="00394840" w:rsidRDefault="00D22C4C" w:rsidP="00175746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394840">
        <w:rPr>
          <w:rFonts w:asciiTheme="minorHAnsi" w:hAnsiTheme="minorHAnsi"/>
          <w:b w:val="0"/>
          <w:sz w:val="22"/>
          <w:szCs w:val="22"/>
        </w:rPr>
        <w:t xml:space="preserve">Zástupce jednání ve věcech technických: </w:t>
      </w:r>
    </w:p>
    <w:p w:rsidR="00D22C4C" w:rsidRPr="00394840" w:rsidRDefault="00D22C4C" w:rsidP="00175746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394840">
        <w:rPr>
          <w:rFonts w:asciiTheme="minorHAnsi" w:hAnsiTheme="minorHAnsi"/>
          <w:b w:val="0"/>
          <w:sz w:val="22"/>
          <w:szCs w:val="22"/>
        </w:rPr>
        <w:t>Ludvík Jaroš</w:t>
      </w:r>
      <w:r w:rsidR="005503DA" w:rsidRPr="00394840">
        <w:rPr>
          <w:rFonts w:asciiTheme="minorHAnsi" w:hAnsiTheme="minorHAnsi"/>
          <w:b w:val="0"/>
          <w:sz w:val="22"/>
          <w:szCs w:val="22"/>
        </w:rPr>
        <w:tab/>
      </w:r>
      <w:r w:rsidR="005503DA" w:rsidRPr="00394840">
        <w:rPr>
          <w:rFonts w:asciiTheme="minorHAnsi" w:hAnsiTheme="minorHAnsi"/>
          <w:b w:val="0"/>
          <w:sz w:val="22"/>
          <w:szCs w:val="22"/>
        </w:rPr>
        <w:tab/>
      </w:r>
      <w:r w:rsidR="005503DA" w:rsidRPr="00394840">
        <w:rPr>
          <w:rFonts w:asciiTheme="minorHAnsi" w:hAnsiTheme="minorHAnsi"/>
          <w:b w:val="0"/>
          <w:sz w:val="22"/>
          <w:szCs w:val="22"/>
        </w:rPr>
        <w:tab/>
        <w:t xml:space="preserve">- </w:t>
      </w:r>
      <w:r w:rsidRPr="00394840">
        <w:rPr>
          <w:rFonts w:asciiTheme="minorHAnsi" w:hAnsiTheme="minorHAnsi"/>
          <w:b w:val="0"/>
          <w:sz w:val="22"/>
          <w:szCs w:val="22"/>
        </w:rPr>
        <w:t>tel.</w:t>
      </w:r>
      <w:r w:rsidR="005503DA" w:rsidRPr="00394840">
        <w:rPr>
          <w:rFonts w:asciiTheme="minorHAnsi" w:hAnsiTheme="minorHAnsi"/>
          <w:b w:val="0"/>
          <w:sz w:val="22"/>
          <w:szCs w:val="22"/>
        </w:rPr>
        <w:t>: 950 149 478</w:t>
      </w:r>
      <w:r w:rsidR="005503DA" w:rsidRPr="00394840">
        <w:rPr>
          <w:rFonts w:asciiTheme="minorHAnsi" w:hAnsiTheme="minorHAnsi"/>
          <w:b w:val="0"/>
          <w:sz w:val="22"/>
          <w:szCs w:val="22"/>
        </w:rPr>
        <w:tab/>
      </w:r>
      <w:r w:rsidR="00175746" w:rsidRPr="00394840">
        <w:rPr>
          <w:rFonts w:asciiTheme="minorHAnsi" w:hAnsiTheme="minorHAnsi"/>
          <w:b w:val="0"/>
          <w:sz w:val="22"/>
          <w:szCs w:val="22"/>
        </w:rPr>
        <w:t xml:space="preserve">email: </w:t>
      </w:r>
      <w:hyperlink r:id="rId7" w:history="1">
        <w:r w:rsidR="005503DA" w:rsidRPr="00394840">
          <w:rPr>
            <w:rStyle w:val="Hypertextovodkaz"/>
            <w:rFonts w:asciiTheme="minorHAnsi" w:hAnsiTheme="minorHAnsi"/>
            <w:b w:val="0"/>
            <w:color w:val="auto"/>
            <w:sz w:val="22"/>
            <w:szCs w:val="22"/>
          </w:rPr>
          <w:t>ludvik.jaros</w:t>
        </w:r>
        <w:r w:rsidR="005503DA" w:rsidRPr="00394840">
          <w:rPr>
            <w:rStyle w:val="Hypertextovodkaz"/>
            <w:rFonts w:asciiTheme="minorHAnsi" w:hAnsiTheme="minorHAnsi"/>
            <w:b w:val="0"/>
            <w:color w:val="auto"/>
            <w:sz w:val="22"/>
            <w:szCs w:val="22"/>
            <w:lang w:val="en-US"/>
          </w:rPr>
          <w:t>@</w:t>
        </w:r>
        <w:r w:rsidR="005503DA" w:rsidRPr="00394840">
          <w:rPr>
            <w:rStyle w:val="Hypertextovodkaz"/>
            <w:rFonts w:asciiTheme="minorHAnsi" w:hAnsiTheme="minorHAnsi"/>
            <w:b w:val="0"/>
            <w:color w:val="auto"/>
            <w:sz w:val="22"/>
            <w:szCs w:val="22"/>
          </w:rPr>
          <w:t>uradprace.cz</w:t>
        </w:r>
      </w:hyperlink>
    </w:p>
    <w:p w:rsidR="005503DA" w:rsidRPr="00394840" w:rsidRDefault="005503DA" w:rsidP="005503DA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394840">
        <w:rPr>
          <w:rFonts w:asciiTheme="minorHAnsi" w:hAnsiTheme="minorHAnsi"/>
          <w:b w:val="0"/>
          <w:sz w:val="22"/>
          <w:szCs w:val="22"/>
        </w:rPr>
        <w:tab/>
      </w:r>
      <w:r w:rsidRPr="00394840">
        <w:rPr>
          <w:rFonts w:asciiTheme="minorHAnsi" w:hAnsiTheme="minorHAnsi"/>
          <w:b w:val="0"/>
          <w:sz w:val="22"/>
          <w:szCs w:val="22"/>
        </w:rPr>
        <w:tab/>
      </w:r>
      <w:r w:rsidRPr="00394840">
        <w:rPr>
          <w:rFonts w:asciiTheme="minorHAnsi" w:hAnsiTheme="minorHAnsi"/>
          <w:b w:val="0"/>
          <w:sz w:val="22"/>
          <w:szCs w:val="22"/>
        </w:rPr>
        <w:tab/>
      </w:r>
      <w:r w:rsidRPr="00394840">
        <w:rPr>
          <w:rFonts w:asciiTheme="minorHAnsi" w:hAnsiTheme="minorHAnsi"/>
          <w:b w:val="0"/>
          <w:sz w:val="22"/>
          <w:szCs w:val="22"/>
        </w:rPr>
        <w:tab/>
        <w:t>-</w:t>
      </w:r>
      <w:r w:rsidR="00667EF1" w:rsidRPr="00394840">
        <w:rPr>
          <w:rFonts w:asciiTheme="minorHAnsi" w:hAnsiTheme="minorHAnsi"/>
          <w:b w:val="0"/>
          <w:sz w:val="22"/>
          <w:szCs w:val="22"/>
        </w:rPr>
        <w:t>R</w:t>
      </w:r>
      <w:r w:rsidRPr="00394840">
        <w:rPr>
          <w:rFonts w:asciiTheme="minorHAnsi" w:hAnsiTheme="minorHAnsi"/>
          <w:b w:val="0"/>
          <w:sz w:val="22"/>
          <w:szCs w:val="22"/>
        </w:rPr>
        <w:t>eferent majetkové správy</w:t>
      </w:r>
      <w:r w:rsidR="00A25E02" w:rsidRPr="00394840">
        <w:rPr>
          <w:rFonts w:asciiTheme="minorHAnsi" w:hAnsiTheme="minorHAnsi"/>
          <w:b w:val="0"/>
          <w:sz w:val="22"/>
          <w:szCs w:val="22"/>
        </w:rPr>
        <w:t>"</w:t>
      </w:r>
    </w:p>
    <w:p w:rsidR="005503DA" w:rsidRPr="00394840" w:rsidRDefault="005503DA" w:rsidP="005503DA">
      <w:pPr>
        <w:pStyle w:val="Nzev"/>
        <w:spacing w:line="360" w:lineRule="auto"/>
        <w:ind w:left="284"/>
        <w:jc w:val="left"/>
        <w:rPr>
          <w:rFonts w:asciiTheme="minorHAnsi" w:hAnsiTheme="minorHAnsi"/>
          <w:sz w:val="18"/>
          <w:szCs w:val="22"/>
        </w:rPr>
      </w:pPr>
    </w:p>
    <w:p w:rsidR="00A25E02" w:rsidRPr="00394840" w:rsidRDefault="005503DA" w:rsidP="005503DA">
      <w:pPr>
        <w:pStyle w:val="Nzev"/>
        <w:numPr>
          <w:ilvl w:val="1"/>
          <w:numId w:val="16"/>
        </w:numPr>
        <w:spacing w:line="360" w:lineRule="auto"/>
        <w:ind w:left="567" w:hanging="567"/>
        <w:jc w:val="left"/>
        <w:rPr>
          <w:rFonts w:asciiTheme="minorHAnsi" w:hAnsiTheme="minorHAnsi"/>
          <w:sz w:val="22"/>
          <w:szCs w:val="22"/>
        </w:rPr>
      </w:pPr>
      <w:r w:rsidRPr="00394840">
        <w:rPr>
          <w:rFonts w:asciiTheme="minorHAnsi" w:hAnsiTheme="minorHAnsi"/>
          <w:sz w:val="22"/>
          <w:szCs w:val="22"/>
        </w:rPr>
        <w:t>V článku</w:t>
      </w:r>
      <w:r w:rsidR="00175746" w:rsidRPr="00394840">
        <w:rPr>
          <w:rFonts w:asciiTheme="minorHAnsi" w:hAnsiTheme="minorHAnsi"/>
          <w:sz w:val="22"/>
          <w:szCs w:val="22"/>
        </w:rPr>
        <w:t xml:space="preserve"> III. </w:t>
      </w:r>
      <w:r w:rsidR="001A4651" w:rsidRPr="00394840">
        <w:rPr>
          <w:rFonts w:asciiTheme="minorHAnsi" w:hAnsiTheme="minorHAnsi"/>
          <w:sz w:val="22"/>
          <w:szCs w:val="22"/>
        </w:rPr>
        <w:t xml:space="preserve">Smlouvy </w:t>
      </w:r>
      <w:r w:rsidR="00A25E02" w:rsidRPr="00394840">
        <w:rPr>
          <w:rFonts w:asciiTheme="minorHAnsi" w:hAnsiTheme="minorHAnsi"/>
          <w:sz w:val="22"/>
          <w:szCs w:val="22"/>
        </w:rPr>
        <w:t xml:space="preserve">bod 3.1. zní takto: </w:t>
      </w:r>
    </w:p>
    <w:p w:rsidR="00884B5D" w:rsidRDefault="00A25E02" w:rsidP="00884B5D">
      <w:pPr>
        <w:pStyle w:val="Nzev"/>
        <w:spacing w:line="360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"</w:t>
      </w:r>
      <w:r w:rsidR="00884B5D">
        <w:rPr>
          <w:rFonts w:asciiTheme="minorHAnsi" w:hAnsiTheme="minorHAnsi"/>
          <w:b w:val="0"/>
          <w:sz w:val="22"/>
          <w:szCs w:val="22"/>
        </w:rPr>
        <w:t>Provedení periodických revizí elektroinstalace a hromosvodů v budovách</w:t>
      </w:r>
    </w:p>
    <w:p w:rsidR="00884B5D" w:rsidRDefault="00884B5D" w:rsidP="00884B5D">
      <w:pPr>
        <w:pStyle w:val="Nzev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Kaplířova 7, Plzeň</w:t>
      </w:r>
    </w:p>
    <w:p w:rsidR="00884B5D" w:rsidRDefault="00884B5D" w:rsidP="00884B5D">
      <w:pPr>
        <w:pStyle w:val="Nzev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Klatovská 200e, Plzeň</w:t>
      </w:r>
    </w:p>
    <w:p w:rsidR="00884B5D" w:rsidRDefault="00597BCE" w:rsidP="00884B5D">
      <w:pPr>
        <w:pStyle w:val="Nzev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Benešova třída 79, Nýřany</w:t>
      </w:r>
    </w:p>
    <w:p w:rsidR="00884B5D" w:rsidRDefault="00597BCE" w:rsidP="00884B5D">
      <w:pPr>
        <w:pStyle w:val="Nzev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Voříškova 825, Klatovy</w:t>
      </w:r>
    </w:p>
    <w:p w:rsidR="00597BCE" w:rsidRDefault="00597BCE" w:rsidP="00884B5D">
      <w:pPr>
        <w:pStyle w:val="Nzev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Nádražní 1226, Sušice</w:t>
      </w:r>
    </w:p>
    <w:p w:rsidR="00597BCE" w:rsidRDefault="00597BCE" w:rsidP="00884B5D">
      <w:pPr>
        <w:pStyle w:val="Nzev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Palackého 162, Rokycany</w:t>
      </w:r>
    </w:p>
    <w:p w:rsidR="00597BCE" w:rsidRDefault="00597BCE" w:rsidP="00884B5D">
      <w:pPr>
        <w:pStyle w:val="Nzev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tř. Míru 1633, Tachov</w:t>
      </w:r>
    </w:p>
    <w:p w:rsidR="00597BCE" w:rsidRDefault="00597BCE" w:rsidP="00884B5D">
      <w:pPr>
        <w:pStyle w:val="Nzev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Mírové náměstí 19, Horažďovice</w:t>
      </w:r>
    </w:p>
    <w:p w:rsidR="005503DA" w:rsidRDefault="005503DA" w:rsidP="005503DA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5503DA">
        <w:rPr>
          <w:rFonts w:asciiTheme="minorHAnsi" w:hAnsiTheme="minorHAnsi"/>
          <w:b w:val="0"/>
          <w:sz w:val="22"/>
          <w:szCs w:val="22"/>
        </w:rPr>
        <w:t>V souladu s právními předpisy (zejména zákon č. 309/2006 Sb., o zajištění dalších podmínek bezpečnosti a ochrany zdraví při práci, v platném znění) a norem zejména ČSN 33 15 00.</w:t>
      </w:r>
      <w:r w:rsidR="00A25E02">
        <w:rPr>
          <w:rFonts w:asciiTheme="minorHAnsi" w:hAnsiTheme="minorHAnsi"/>
          <w:b w:val="0"/>
          <w:sz w:val="22"/>
          <w:szCs w:val="22"/>
        </w:rPr>
        <w:t>"</w:t>
      </w:r>
    </w:p>
    <w:p w:rsidR="00175746" w:rsidRPr="003E31BE" w:rsidRDefault="00175746" w:rsidP="00175746">
      <w:pPr>
        <w:pStyle w:val="Nzev"/>
        <w:spacing w:line="360" w:lineRule="auto"/>
        <w:jc w:val="left"/>
        <w:rPr>
          <w:rFonts w:asciiTheme="minorHAnsi" w:hAnsiTheme="minorHAnsi"/>
          <w:b w:val="0"/>
          <w:sz w:val="18"/>
          <w:szCs w:val="22"/>
        </w:rPr>
      </w:pPr>
    </w:p>
    <w:p w:rsidR="00667EF1" w:rsidRDefault="00667EF1" w:rsidP="00667EF1">
      <w:pPr>
        <w:pStyle w:val="Nzev"/>
        <w:numPr>
          <w:ilvl w:val="1"/>
          <w:numId w:val="16"/>
        </w:numPr>
        <w:spacing w:line="360" w:lineRule="auto"/>
        <w:ind w:left="567" w:hanging="567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 </w:t>
      </w:r>
      <w:r w:rsidR="00175746" w:rsidRPr="00394840">
        <w:rPr>
          <w:rFonts w:asciiTheme="minorHAnsi" w:hAnsiTheme="minorHAnsi"/>
          <w:sz w:val="22"/>
          <w:szCs w:val="22"/>
        </w:rPr>
        <w:t>č</w:t>
      </w:r>
      <w:r w:rsidRPr="00394840">
        <w:rPr>
          <w:rFonts w:asciiTheme="minorHAnsi" w:hAnsiTheme="minorHAnsi"/>
          <w:sz w:val="22"/>
          <w:szCs w:val="22"/>
        </w:rPr>
        <w:t>lán</w:t>
      </w:r>
      <w:r w:rsidR="00884B5D" w:rsidRPr="00394840">
        <w:rPr>
          <w:rFonts w:asciiTheme="minorHAnsi" w:hAnsiTheme="minorHAnsi"/>
          <w:sz w:val="22"/>
          <w:szCs w:val="22"/>
        </w:rPr>
        <w:t>k</w:t>
      </w:r>
      <w:r w:rsidRPr="00394840">
        <w:rPr>
          <w:rFonts w:asciiTheme="minorHAnsi" w:hAnsiTheme="minorHAnsi"/>
          <w:sz w:val="22"/>
          <w:szCs w:val="22"/>
        </w:rPr>
        <w:t>u</w:t>
      </w:r>
      <w:r w:rsidR="00884B5D" w:rsidRPr="00394840">
        <w:rPr>
          <w:rFonts w:asciiTheme="minorHAnsi" w:hAnsiTheme="minorHAnsi"/>
          <w:sz w:val="22"/>
          <w:szCs w:val="22"/>
        </w:rPr>
        <w:t xml:space="preserve"> V.</w:t>
      </w:r>
      <w:r w:rsidR="001A4651" w:rsidRPr="00394840">
        <w:rPr>
          <w:rFonts w:asciiTheme="minorHAnsi" w:hAnsiTheme="minorHAnsi"/>
          <w:sz w:val="22"/>
          <w:szCs w:val="22"/>
        </w:rPr>
        <w:t xml:space="preserve"> Smlouvy </w:t>
      </w:r>
      <w:r w:rsidR="006C1968" w:rsidRPr="00394840">
        <w:rPr>
          <w:rFonts w:asciiTheme="minorHAnsi" w:hAnsiTheme="minorHAnsi"/>
          <w:sz w:val="22"/>
          <w:szCs w:val="22"/>
        </w:rPr>
        <w:t xml:space="preserve"> v</w:t>
      </w:r>
      <w:r w:rsidR="00884B5D" w:rsidRPr="00394840">
        <w:rPr>
          <w:rFonts w:asciiTheme="minorHAnsi" w:hAnsiTheme="minorHAnsi"/>
          <w:sz w:val="22"/>
          <w:szCs w:val="22"/>
        </w:rPr>
        <w:t xml:space="preserve"> bod</w:t>
      </w:r>
      <w:r w:rsidR="00A25E02" w:rsidRPr="00394840">
        <w:rPr>
          <w:rFonts w:asciiTheme="minorHAnsi" w:hAnsiTheme="minorHAnsi"/>
          <w:sz w:val="22"/>
          <w:szCs w:val="22"/>
        </w:rPr>
        <w:t>u</w:t>
      </w:r>
      <w:r w:rsidR="00884B5D" w:rsidRPr="00394840">
        <w:rPr>
          <w:rFonts w:asciiTheme="minorHAnsi" w:hAnsiTheme="minorHAnsi"/>
          <w:sz w:val="22"/>
          <w:szCs w:val="22"/>
        </w:rPr>
        <w:t xml:space="preserve"> </w:t>
      </w:r>
      <w:r w:rsidR="00884B5D" w:rsidRPr="00597BCE">
        <w:rPr>
          <w:rFonts w:asciiTheme="minorHAnsi" w:hAnsiTheme="minorHAnsi"/>
          <w:sz w:val="22"/>
          <w:szCs w:val="22"/>
        </w:rPr>
        <w:t>5.2</w:t>
      </w:r>
      <w:r>
        <w:rPr>
          <w:rFonts w:asciiTheme="minorHAnsi" w:hAnsiTheme="minorHAnsi"/>
          <w:sz w:val="22"/>
          <w:szCs w:val="22"/>
        </w:rPr>
        <w:t xml:space="preserve"> se slova</w:t>
      </w:r>
      <w:r w:rsidR="00A25E02">
        <w:rPr>
          <w:rFonts w:asciiTheme="minorHAnsi" w:hAnsiTheme="minorHAnsi"/>
          <w:sz w:val="22"/>
          <w:szCs w:val="22"/>
        </w:rPr>
        <w:t xml:space="preserve"> </w:t>
      </w:r>
    </w:p>
    <w:p w:rsidR="00667EF1" w:rsidRDefault="00A25E02" w:rsidP="00667EF1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"</w:t>
      </w:r>
      <w:r w:rsidR="00667EF1" w:rsidRPr="00667EF1">
        <w:rPr>
          <w:rFonts w:asciiTheme="minorHAnsi" w:hAnsiTheme="minorHAnsi"/>
          <w:b w:val="0"/>
          <w:sz w:val="22"/>
          <w:szCs w:val="22"/>
        </w:rPr>
        <w:t>Cena za zhotovení díla podle článku II</w:t>
      </w:r>
      <w:r w:rsidR="00667EF1">
        <w:rPr>
          <w:rFonts w:asciiTheme="minorHAnsi" w:hAnsiTheme="minorHAnsi"/>
          <w:b w:val="0"/>
          <w:sz w:val="22"/>
          <w:szCs w:val="22"/>
        </w:rPr>
        <w:t>I. činí 170 7</w:t>
      </w:r>
      <w:r w:rsidR="00667EF1" w:rsidRPr="00667EF1">
        <w:rPr>
          <w:rFonts w:asciiTheme="minorHAnsi" w:hAnsiTheme="minorHAnsi"/>
          <w:b w:val="0"/>
          <w:sz w:val="22"/>
          <w:szCs w:val="22"/>
        </w:rPr>
        <w:t xml:space="preserve">00,- Kč bez daně z přidané hodnoty viz příloha č. 2 ZD, která je </w:t>
      </w:r>
      <w:r w:rsidR="00667EF1">
        <w:rPr>
          <w:rFonts w:asciiTheme="minorHAnsi" w:hAnsiTheme="minorHAnsi"/>
          <w:b w:val="0"/>
          <w:sz w:val="22"/>
          <w:szCs w:val="22"/>
        </w:rPr>
        <w:t>nedílnou součástí této smlouvy.</w:t>
      </w:r>
      <w:r>
        <w:rPr>
          <w:rFonts w:asciiTheme="minorHAnsi" w:hAnsiTheme="minorHAnsi"/>
          <w:b w:val="0"/>
          <w:sz w:val="22"/>
          <w:szCs w:val="22"/>
        </w:rPr>
        <w:t>"</w:t>
      </w:r>
    </w:p>
    <w:p w:rsidR="00667EF1" w:rsidRPr="00667EF1" w:rsidRDefault="00667EF1" w:rsidP="00667EF1">
      <w:pPr>
        <w:pStyle w:val="Nzev"/>
        <w:spacing w:line="360" w:lineRule="auto"/>
        <w:jc w:val="both"/>
        <w:rPr>
          <w:rFonts w:asciiTheme="minorHAnsi" w:hAnsiTheme="minorHAnsi"/>
          <w:sz w:val="10"/>
          <w:szCs w:val="22"/>
        </w:rPr>
      </w:pPr>
    </w:p>
    <w:p w:rsidR="00667EF1" w:rsidRPr="00A25E02" w:rsidRDefault="00667EF1" w:rsidP="00667EF1">
      <w:pPr>
        <w:pStyle w:val="Nzev"/>
        <w:spacing w:line="360" w:lineRule="auto"/>
        <w:jc w:val="left"/>
        <w:rPr>
          <w:rFonts w:asciiTheme="minorHAnsi" w:hAnsiTheme="minorHAnsi"/>
          <w:sz w:val="22"/>
          <w:szCs w:val="22"/>
        </w:rPr>
      </w:pPr>
      <w:r w:rsidRPr="00A25E02">
        <w:rPr>
          <w:rFonts w:asciiTheme="minorHAnsi" w:hAnsiTheme="minorHAnsi"/>
          <w:sz w:val="22"/>
          <w:szCs w:val="22"/>
        </w:rPr>
        <w:t>nahrazují slovy</w:t>
      </w:r>
    </w:p>
    <w:p w:rsidR="00667EF1" w:rsidRPr="00A25E02" w:rsidRDefault="00667EF1" w:rsidP="00667EF1">
      <w:pPr>
        <w:pStyle w:val="Nzev"/>
        <w:spacing w:line="360" w:lineRule="auto"/>
        <w:jc w:val="left"/>
        <w:rPr>
          <w:rFonts w:asciiTheme="minorHAnsi" w:hAnsiTheme="minorHAnsi"/>
          <w:b w:val="0"/>
          <w:sz w:val="10"/>
          <w:szCs w:val="22"/>
        </w:rPr>
      </w:pPr>
    </w:p>
    <w:p w:rsidR="00884B5D" w:rsidRPr="00A25E02" w:rsidRDefault="00A25E02" w:rsidP="00D23F3E">
      <w:pPr>
        <w:pStyle w:val="Nzev"/>
        <w:spacing w:line="36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A25E02">
        <w:rPr>
          <w:rFonts w:asciiTheme="minorHAnsi" w:hAnsiTheme="minorHAnsi"/>
          <w:b w:val="0"/>
          <w:sz w:val="22"/>
          <w:szCs w:val="22"/>
        </w:rPr>
        <w:t>"</w:t>
      </w:r>
      <w:r w:rsidR="00884B5D" w:rsidRPr="00A25E02">
        <w:rPr>
          <w:rFonts w:asciiTheme="minorHAnsi" w:hAnsiTheme="minorHAnsi"/>
          <w:b w:val="0"/>
          <w:sz w:val="22"/>
          <w:szCs w:val="22"/>
        </w:rPr>
        <w:t xml:space="preserve">Cena za zhotovení díla podle </w:t>
      </w:r>
      <w:r w:rsidR="00884B5D" w:rsidRPr="00394840">
        <w:rPr>
          <w:rFonts w:asciiTheme="minorHAnsi" w:hAnsiTheme="minorHAnsi"/>
          <w:b w:val="0"/>
          <w:sz w:val="22"/>
          <w:szCs w:val="22"/>
        </w:rPr>
        <w:t>článku II</w:t>
      </w:r>
      <w:r w:rsidR="00D23F3E" w:rsidRPr="00394840">
        <w:rPr>
          <w:rFonts w:asciiTheme="minorHAnsi" w:hAnsiTheme="minorHAnsi"/>
          <w:b w:val="0"/>
          <w:sz w:val="22"/>
          <w:szCs w:val="22"/>
        </w:rPr>
        <w:t>I. činí 18</w:t>
      </w:r>
      <w:r w:rsidR="00867887" w:rsidRPr="00394840">
        <w:rPr>
          <w:rFonts w:asciiTheme="minorHAnsi" w:hAnsiTheme="minorHAnsi"/>
          <w:b w:val="0"/>
          <w:sz w:val="22"/>
          <w:szCs w:val="22"/>
        </w:rPr>
        <w:t>4 700</w:t>
      </w:r>
      <w:r w:rsidR="00D23F3E" w:rsidRPr="00394840">
        <w:rPr>
          <w:rFonts w:asciiTheme="minorHAnsi" w:hAnsiTheme="minorHAnsi"/>
          <w:b w:val="0"/>
          <w:sz w:val="22"/>
          <w:szCs w:val="22"/>
        </w:rPr>
        <w:t xml:space="preserve">,- Kč bez </w:t>
      </w:r>
      <w:r w:rsidR="00D23F3E" w:rsidRPr="00A25E02">
        <w:rPr>
          <w:rFonts w:asciiTheme="minorHAnsi" w:hAnsiTheme="minorHAnsi"/>
          <w:b w:val="0"/>
          <w:sz w:val="22"/>
          <w:szCs w:val="22"/>
        </w:rPr>
        <w:t>daně z přidané hodnoty viz příloha č. 2 ZD, která je nedílnou součástí této smlouvy.</w:t>
      </w:r>
      <w:r w:rsidRPr="00A25E02">
        <w:rPr>
          <w:rFonts w:asciiTheme="minorHAnsi" w:hAnsiTheme="minorHAnsi"/>
          <w:b w:val="0"/>
          <w:sz w:val="22"/>
          <w:szCs w:val="22"/>
        </w:rPr>
        <w:t>"</w:t>
      </w:r>
    </w:p>
    <w:p w:rsidR="00175746" w:rsidRPr="00A25E02" w:rsidRDefault="00175746" w:rsidP="00175746">
      <w:pPr>
        <w:pStyle w:val="Nzev"/>
        <w:spacing w:line="360" w:lineRule="auto"/>
        <w:jc w:val="left"/>
        <w:rPr>
          <w:rFonts w:asciiTheme="minorHAnsi" w:hAnsiTheme="minorHAnsi"/>
          <w:sz w:val="18"/>
          <w:szCs w:val="22"/>
        </w:rPr>
      </w:pPr>
    </w:p>
    <w:p w:rsidR="00667EF1" w:rsidRPr="00A25E02" w:rsidRDefault="00175746" w:rsidP="00667EF1">
      <w:pPr>
        <w:pStyle w:val="Nzev"/>
        <w:numPr>
          <w:ilvl w:val="1"/>
          <w:numId w:val="17"/>
        </w:numPr>
        <w:spacing w:line="360" w:lineRule="auto"/>
        <w:ind w:left="567" w:hanging="567"/>
        <w:jc w:val="left"/>
        <w:rPr>
          <w:rFonts w:asciiTheme="minorHAnsi" w:hAnsiTheme="minorHAnsi"/>
          <w:sz w:val="22"/>
          <w:szCs w:val="22"/>
        </w:rPr>
      </w:pPr>
      <w:r w:rsidRPr="00A25E02">
        <w:rPr>
          <w:rFonts w:asciiTheme="minorHAnsi" w:hAnsiTheme="minorHAnsi"/>
          <w:sz w:val="22"/>
          <w:szCs w:val="22"/>
        </w:rPr>
        <w:t>Příloha č. 2</w:t>
      </w:r>
      <w:r w:rsidR="00667EF1" w:rsidRPr="00A25E02">
        <w:rPr>
          <w:rFonts w:asciiTheme="minorHAnsi" w:hAnsiTheme="minorHAnsi"/>
          <w:sz w:val="22"/>
          <w:szCs w:val="22"/>
        </w:rPr>
        <w:t xml:space="preserve"> Smlouvy se nahrazuje Přílohou č. 1 tohoto Dodatku.</w:t>
      </w:r>
    </w:p>
    <w:p w:rsidR="00667EF1" w:rsidRPr="00A25E02" w:rsidRDefault="00667EF1" w:rsidP="00667EF1">
      <w:pPr>
        <w:pStyle w:val="Nzev"/>
        <w:spacing w:line="360" w:lineRule="auto"/>
        <w:ind w:left="567"/>
        <w:jc w:val="left"/>
        <w:rPr>
          <w:rFonts w:asciiTheme="minorHAnsi" w:hAnsiTheme="minorHAnsi"/>
          <w:sz w:val="18"/>
          <w:szCs w:val="22"/>
        </w:rPr>
      </w:pPr>
    </w:p>
    <w:p w:rsidR="00175746" w:rsidRPr="00A25E02" w:rsidRDefault="00175746" w:rsidP="00667EF1">
      <w:pPr>
        <w:pStyle w:val="Nzev"/>
        <w:numPr>
          <w:ilvl w:val="1"/>
          <w:numId w:val="17"/>
        </w:numPr>
        <w:spacing w:line="360" w:lineRule="auto"/>
        <w:ind w:left="567" w:hanging="567"/>
        <w:jc w:val="left"/>
        <w:rPr>
          <w:rFonts w:asciiTheme="minorHAnsi" w:hAnsiTheme="minorHAnsi"/>
          <w:sz w:val="22"/>
          <w:szCs w:val="22"/>
        </w:rPr>
      </w:pPr>
      <w:r w:rsidRPr="00A25E02">
        <w:rPr>
          <w:rFonts w:asciiTheme="minorHAnsi" w:hAnsiTheme="minorHAnsi"/>
          <w:sz w:val="22"/>
          <w:szCs w:val="22"/>
        </w:rPr>
        <w:t>Příloha č. 5</w:t>
      </w:r>
      <w:r w:rsidR="00667EF1" w:rsidRPr="00A25E02">
        <w:rPr>
          <w:rFonts w:asciiTheme="minorHAnsi" w:hAnsiTheme="minorHAnsi"/>
          <w:sz w:val="22"/>
          <w:szCs w:val="22"/>
        </w:rPr>
        <w:t xml:space="preserve"> Smlouvy se nahrazuje Přílohou č. 2 tohoto Dodatku.</w:t>
      </w:r>
    </w:p>
    <w:p w:rsidR="00DC76B8" w:rsidRPr="00667EF1" w:rsidRDefault="00DC76B8" w:rsidP="00175746">
      <w:pPr>
        <w:spacing w:line="360" w:lineRule="auto"/>
        <w:rPr>
          <w:rFonts w:asciiTheme="minorHAnsi" w:hAnsiTheme="minorHAnsi"/>
          <w:sz w:val="18"/>
          <w:szCs w:val="22"/>
        </w:rPr>
      </w:pPr>
    </w:p>
    <w:p w:rsidR="00A25E02" w:rsidRDefault="00A25E02" w:rsidP="00667EF1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667EF1" w:rsidRDefault="00667EF1" w:rsidP="00667EF1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667EF1">
        <w:rPr>
          <w:rFonts w:asciiTheme="minorHAnsi" w:hAnsiTheme="minorHAnsi"/>
          <w:b/>
          <w:sz w:val="22"/>
          <w:szCs w:val="22"/>
        </w:rPr>
        <w:lastRenderedPageBreak/>
        <w:t>III.</w:t>
      </w:r>
    </w:p>
    <w:p w:rsidR="00667EF1" w:rsidRPr="00667EF1" w:rsidRDefault="00667EF1" w:rsidP="00667EF1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667EF1" w:rsidRPr="00667EF1" w:rsidRDefault="00667EF1" w:rsidP="00667EF1">
      <w:pPr>
        <w:pStyle w:val="Odstavecseseznamem"/>
        <w:numPr>
          <w:ilvl w:val="1"/>
          <w:numId w:val="18"/>
        </w:numPr>
        <w:spacing w:after="200" w:line="360" w:lineRule="auto"/>
        <w:ind w:left="567" w:hanging="567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>Smluvní strany prohlašují, že si t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ento Dodatek </w:t>
      </w:r>
      <w:r w:rsidR="00A25E02">
        <w:rPr>
          <w:rFonts w:asciiTheme="minorHAnsi" w:eastAsiaTheme="minorHAnsi" w:hAnsiTheme="minorHAnsi"/>
          <w:sz w:val="22"/>
          <w:szCs w:val="22"/>
          <w:lang w:eastAsia="en-US"/>
        </w:rPr>
        <w:t xml:space="preserve">č. 1 </w:t>
      </w: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>před podpisem přečetly a že t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ento Dodatek </w:t>
      </w:r>
      <w:r w:rsidR="00A25E02">
        <w:rPr>
          <w:rFonts w:asciiTheme="minorHAnsi" w:eastAsiaTheme="minorHAnsi" w:hAnsiTheme="minorHAnsi"/>
          <w:sz w:val="22"/>
          <w:szCs w:val="22"/>
          <w:lang w:eastAsia="en-US"/>
        </w:rPr>
        <w:t xml:space="preserve">č. 1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byl</w:t>
      </w:r>
      <w:r w:rsidR="003E31BE">
        <w:rPr>
          <w:rFonts w:asciiTheme="minorHAnsi" w:eastAsiaTheme="minorHAnsi" w:hAnsiTheme="minorHAnsi"/>
          <w:sz w:val="22"/>
          <w:szCs w:val="22"/>
          <w:lang w:eastAsia="en-US"/>
        </w:rPr>
        <w:t xml:space="preserve"> sepsán</w:t>
      </w: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 xml:space="preserve"> dle jejich skutečné, vážné a svobodné vůle, nikoliv v tísni z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a nápadně nevýhodných podmínek.</w:t>
      </w:r>
    </w:p>
    <w:p w:rsidR="003E31BE" w:rsidRDefault="00667EF1" w:rsidP="003E31BE">
      <w:pPr>
        <w:pStyle w:val="Odstavecseseznamem"/>
        <w:numPr>
          <w:ilvl w:val="1"/>
          <w:numId w:val="18"/>
        </w:numPr>
        <w:spacing w:after="200" w:line="360" w:lineRule="auto"/>
        <w:ind w:left="567" w:hanging="567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>T</w:t>
      </w:r>
      <w:r w:rsidR="003E31BE">
        <w:rPr>
          <w:rFonts w:asciiTheme="minorHAnsi" w:eastAsiaTheme="minorHAnsi" w:hAnsiTheme="minorHAnsi"/>
          <w:sz w:val="22"/>
          <w:szCs w:val="22"/>
          <w:lang w:eastAsia="en-US"/>
        </w:rPr>
        <w:t xml:space="preserve">ento Dodatek </w:t>
      </w:r>
      <w:r w:rsidR="00A25E02">
        <w:rPr>
          <w:rFonts w:asciiTheme="minorHAnsi" w:eastAsiaTheme="minorHAnsi" w:hAnsiTheme="minorHAnsi"/>
          <w:sz w:val="22"/>
          <w:szCs w:val="22"/>
          <w:lang w:eastAsia="en-US"/>
        </w:rPr>
        <w:t xml:space="preserve">č. 1 </w:t>
      </w:r>
      <w:r w:rsidR="003E31BE">
        <w:rPr>
          <w:rFonts w:asciiTheme="minorHAnsi" w:eastAsiaTheme="minorHAnsi" w:hAnsiTheme="minorHAnsi"/>
          <w:sz w:val="22"/>
          <w:szCs w:val="22"/>
          <w:lang w:eastAsia="en-US"/>
        </w:rPr>
        <w:t>byl sepsán</w:t>
      </w: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 xml:space="preserve"> ve </w:t>
      </w:r>
      <w:r w:rsidR="003E31BE">
        <w:rPr>
          <w:rFonts w:asciiTheme="minorHAnsi" w:eastAsiaTheme="minorHAnsi" w:hAnsiTheme="minorHAnsi"/>
          <w:sz w:val="22"/>
          <w:szCs w:val="22"/>
          <w:lang w:eastAsia="en-US"/>
        </w:rPr>
        <w:t>čtyřech</w:t>
      </w: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 xml:space="preserve"> vyhotoveních s platností originálu, z nichž po podpisu obdrží </w:t>
      </w:r>
      <w:r w:rsidR="003E31BE">
        <w:rPr>
          <w:rFonts w:asciiTheme="minorHAnsi" w:eastAsiaTheme="minorHAnsi" w:hAnsiTheme="minorHAnsi"/>
          <w:sz w:val="22"/>
          <w:szCs w:val="22"/>
          <w:lang w:eastAsia="en-US"/>
        </w:rPr>
        <w:t>dodavatel jedno a o</w:t>
      </w: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>bjednatel tři vyhotovení.</w:t>
      </w:r>
    </w:p>
    <w:p w:rsidR="00667EF1" w:rsidRPr="00867887" w:rsidRDefault="003E31BE" w:rsidP="00667EF1">
      <w:pPr>
        <w:pStyle w:val="Odstavecseseznamem"/>
        <w:numPr>
          <w:ilvl w:val="1"/>
          <w:numId w:val="18"/>
        </w:numPr>
        <w:spacing w:after="200" w:line="360" w:lineRule="auto"/>
        <w:ind w:left="567" w:hanging="567"/>
        <w:rPr>
          <w:rFonts w:asciiTheme="minorHAnsi" w:eastAsiaTheme="minorHAnsi" w:hAnsiTheme="minorHAnsi"/>
          <w:b/>
          <w:sz w:val="20"/>
          <w:szCs w:val="22"/>
          <w:lang w:eastAsia="en-US"/>
        </w:rPr>
      </w:pPr>
      <w:r>
        <w:rPr>
          <w:rFonts w:asciiTheme="minorHAnsi" w:hAnsiTheme="minorHAnsi"/>
          <w:sz w:val="22"/>
        </w:rPr>
        <w:t>Tento Dodatek</w:t>
      </w:r>
      <w:r w:rsidRPr="003E31BE">
        <w:rPr>
          <w:rFonts w:asciiTheme="minorHAnsi" w:hAnsiTheme="minorHAnsi"/>
          <w:sz w:val="22"/>
        </w:rPr>
        <w:t xml:space="preserve"> </w:t>
      </w:r>
      <w:r w:rsidR="00A25E02">
        <w:rPr>
          <w:rFonts w:asciiTheme="minorHAnsi" w:hAnsiTheme="minorHAnsi"/>
          <w:sz w:val="22"/>
        </w:rPr>
        <w:t xml:space="preserve">č. 1 </w:t>
      </w:r>
      <w:r w:rsidRPr="003E31BE">
        <w:rPr>
          <w:rFonts w:asciiTheme="minorHAnsi" w:hAnsiTheme="minorHAnsi"/>
          <w:sz w:val="22"/>
        </w:rPr>
        <w:t xml:space="preserve">nabývá platnosti dnem podpisu </w:t>
      </w:r>
      <w:r w:rsidRPr="003E31BE">
        <w:rPr>
          <w:rFonts w:asciiTheme="minorHAnsi" w:hAnsiTheme="minorHAnsi" w:cs="Calibri"/>
          <w:sz w:val="22"/>
        </w:rPr>
        <w:t xml:space="preserve">druhé smluvní strany a účinnosti dnem uveřejnění prostřednictvím registru smluv podle zákona č. 340/2015 Sb. o zvláštních podmínkách účinnosti některých smluv, uveřejňování těchto smluv a o registru smluv, </w:t>
      </w:r>
      <w:r w:rsidRPr="003E31BE">
        <w:rPr>
          <w:rFonts w:asciiTheme="minorHAnsi" w:hAnsiTheme="minorHAnsi" w:cs="Calibri"/>
          <w:bCs/>
          <w:sz w:val="22"/>
        </w:rPr>
        <w:t>ve znění pozdějších předpisů.</w:t>
      </w:r>
    </w:p>
    <w:p w:rsidR="00867887" w:rsidRDefault="00867887" w:rsidP="00867887">
      <w:pPr>
        <w:pStyle w:val="Odstavecseseznamem"/>
        <w:spacing w:after="200" w:line="360" w:lineRule="auto"/>
        <w:ind w:left="567"/>
        <w:rPr>
          <w:rFonts w:asciiTheme="minorHAnsi" w:hAnsiTheme="minorHAnsi" w:cs="Calibri"/>
          <w:bCs/>
          <w:sz w:val="22"/>
        </w:rPr>
      </w:pPr>
    </w:p>
    <w:p w:rsidR="00867887" w:rsidRPr="003E31BE" w:rsidRDefault="00867887" w:rsidP="00867887">
      <w:pPr>
        <w:pStyle w:val="Odstavecseseznamem"/>
        <w:spacing w:after="200" w:line="360" w:lineRule="auto"/>
        <w:ind w:left="567"/>
        <w:rPr>
          <w:rFonts w:asciiTheme="minorHAnsi" w:eastAsiaTheme="minorHAnsi" w:hAnsiTheme="minorHAnsi"/>
          <w:b/>
          <w:sz w:val="20"/>
          <w:szCs w:val="22"/>
          <w:lang w:eastAsia="en-US"/>
        </w:rPr>
      </w:pPr>
    </w:p>
    <w:p w:rsidR="00667EF1" w:rsidRPr="00667EF1" w:rsidRDefault="00667EF1" w:rsidP="00667EF1">
      <w:pPr>
        <w:spacing w:line="360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>V ………………………..……….. dne ……………………</w:t>
      </w: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ab/>
        <w:t>V …….………………………..….. dne ……………………</w:t>
      </w:r>
    </w:p>
    <w:p w:rsidR="00667EF1" w:rsidRDefault="00667EF1" w:rsidP="00667EF1">
      <w:pPr>
        <w:spacing w:line="360" w:lineRule="auto"/>
        <w:rPr>
          <w:rFonts w:asciiTheme="minorHAnsi" w:eastAsiaTheme="minorHAnsi" w:hAnsiTheme="minorHAnsi"/>
          <w:sz w:val="14"/>
          <w:szCs w:val="22"/>
          <w:lang w:eastAsia="en-US"/>
        </w:rPr>
      </w:pPr>
    </w:p>
    <w:p w:rsidR="00867887" w:rsidRDefault="00867887" w:rsidP="00667EF1">
      <w:pPr>
        <w:spacing w:line="360" w:lineRule="auto"/>
        <w:rPr>
          <w:rFonts w:asciiTheme="minorHAnsi" w:eastAsiaTheme="minorHAnsi" w:hAnsiTheme="minorHAnsi"/>
          <w:sz w:val="14"/>
          <w:szCs w:val="22"/>
          <w:lang w:eastAsia="en-US"/>
        </w:rPr>
      </w:pPr>
    </w:p>
    <w:p w:rsidR="00867887" w:rsidRPr="00667EF1" w:rsidRDefault="00867887" w:rsidP="00667EF1">
      <w:pPr>
        <w:spacing w:line="360" w:lineRule="auto"/>
        <w:rPr>
          <w:rFonts w:asciiTheme="minorHAnsi" w:eastAsiaTheme="minorHAnsi" w:hAnsiTheme="minorHAnsi"/>
          <w:sz w:val="14"/>
          <w:szCs w:val="22"/>
          <w:lang w:eastAsia="en-US"/>
        </w:rPr>
      </w:pPr>
    </w:p>
    <w:p w:rsidR="003E31BE" w:rsidRDefault="00667EF1" w:rsidP="003E31BE">
      <w:pPr>
        <w:tabs>
          <w:tab w:val="left" w:pos="3544"/>
        </w:tabs>
        <w:spacing w:line="360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………………………………………………………………....</w:t>
      </w: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667EF1">
        <w:rPr>
          <w:rFonts w:asciiTheme="minorHAnsi" w:eastAsiaTheme="minorHAnsi" w:hAnsiTheme="minorHAnsi"/>
          <w:sz w:val="22"/>
          <w:szCs w:val="22"/>
          <w:lang w:eastAsia="en-US"/>
        </w:rPr>
        <w:tab/>
        <w:t>…………………………………………..……………………….</w:t>
      </w:r>
    </w:p>
    <w:p w:rsidR="00667EF1" w:rsidRPr="003E31BE" w:rsidRDefault="003E31BE" w:rsidP="003E31BE">
      <w:pPr>
        <w:tabs>
          <w:tab w:val="left" w:pos="3544"/>
        </w:tabs>
        <w:spacing w:line="360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dodavatel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  <w:t>objednatel</w:t>
      </w:r>
    </w:p>
    <w:p w:rsidR="003E31BE" w:rsidRDefault="003E31BE" w:rsidP="00597BCE">
      <w:pPr>
        <w:spacing w:line="240" w:lineRule="auto"/>
        <w:rPr>
          <w:rFonts w:ascii="Verdana" w:hAnsi="Verdana"/>
          <w:b/>
          <w:szCs w:val="24"/>
        </w:rPr>
      </w:pPr>
    </w:p>
    <w:p w:rsidR="003E31BE" w:rsidRDefault="003E31BE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867887" w:rsidRDefault="00867887" w:rsidP="00597BCE">
      <w:pPr>
        <w:spacing w:line="240" w:lineRule="auto"/>
        <w:rPr>
          <w:rFonts w:ascii="Verdana" w:hAnsi="Verdana"/>
          <w:b/>
          <w:szCs w:val="24"/>
        </w:rPr>
      </w:pPr>
    </w:p>
    <w:p w:rsidR="00CB3565" w:rsidRPr="00394840" w:rsidRDefault="00667EF1" w:rsidP="00597BCE">
      <w:pPr>
        <w:spacing w:line="240" w:lineRule="auto"/>
        <w:rPr>
          <w:rFonts w:ascii="Verdana" w:hAnsi="Verdana"/>
          <w:b/>
          <w:szCs w:val="24"/>
        </w:rPr>
      </w:pPr>
      <w:r w:rsidRPr="00394840">
        <w:rPr>
          <w:rFonts w:ascii="Verdana" w:hAnsi="Verdana"/>
          <w:b/>
          <w:szCs w:val="24"/>
        </w:rPr>
        <w:t>Příloha č. 1</w:t>
      </w:r>
      <w:r w:rsidR="00CB3565" w:rsidRPr="00394840">
        <w:rPr>
          <w:rFonts w:ascii="Verdana" w:hAnsi="Verdana"/>
          <w:b/>
          <w:szCs w:val="24"/>
        </w:rPr>
        <w:t xml:space="preserve"> dodatku (příloha č. 1 ZD)</w:t>
      </w:r>
    </w:p>
    <w:p w:rsidR="001A4651" w:rsidRPr="00597BCE" w:rsidRDefault="001A4651" w:rsidP="00597BCE">
      <w:pPr>
        <w:spacing w:line="240" w:lineRule="auto"/>
        <w:rPr>
          <w:rFonts w:ascii="Verdana" w:hAnsi="Verdana"/>
          <w:b/>
          <w:szCs w:val="24"/>
        </w:rPr>
      </w:pPr>
    </w:p>
    <w:p w:rsidR="00597BCE" w:rsidRPr="00597BCE" w:rsidRDefault="00597BCE" w:rsidP="00597BCE">
      <w:pPr>
        <w:spacing w:line="240" w:lineRule="auto"/>
        <w:jc w:val="center"/>
        <w:rPr>
          <w:rFonts w:ascii="Verdana" w:hAnsi="Verdana"/>
          <w:b/>
          <w:sz w:val="36"/>
          <w:szCs w:val="36"/>
        </w:rPr>
      </w:pPr>
      <w:r w:rsidRPr="00597BCE">
        <w:rPr>
          <w:rFonts w:ascii="Verdana" w:hAnsi="Verdana"/>
          <w:b/>
          <w:sz w:val="36"/>
          <w:szCs w:val="36"/>
        </w:rPr>
        <w:t>Kalkulace ceny</w:t>
      </w:r>
    </w:p>
    <w:p w:rsidR="00597BCE" w:rsidRPr="00597BCE" w:rsidRDefault="00597BCE" w:rsidP="00597BCE">
      <w:pPr>
        <w:spacing w:line="240" w:lineRule="auto"/>
        <w:rPr>
          <w:rFonts w:ascii="Verdana" w:hAnsi="Verdana"/>
          <w:b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2693"/>
        <w:gridCol w:w="2693"/>
      </w:tblGrid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 w:val="20"/>
              </w:rPr>
            </w:pPr>
            <w:r w:rsidRPr="00597BCE">
              <w:rPr>
                <w:rFonts w:ascii="Verdana" w:hAnsi="Verdana"/>
                <w:b/>
                <w:sz w:val="20"/>
              </w:rPr>
              <w:t>Cena bez DPH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 w:rsidRPr="00597BCE">
              <w:rPr>
                <w:rFonts w:ascii="Verdana" w:hAnsi="Verdana"/>
                <w:b/>
                <w:sz w:val="20"/>
              </w:rPr>
              <w:t>Cena s DPH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A1) Cena za revizi elektroinstalace Plzeň, Kaplířova 7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91 000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110 110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A2) Cena za revizi hromosvodů Plzeň, Kaplířova 7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2 400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2 904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A3) Cena za revizi el. zařízení mokré prostředí Plzeň, Kaplířova (cena za 5 let, tj. cena * 5)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1 800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2 178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B1) Cena za revizi elektroinstalace Plzeň, Klatovská 200e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29 000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35 090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B2) Cena za revizi hromosvodů Plzeň, Klatovská 200e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1 600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1 936</w:t>
            </w:r>
          </w:p>
        </w:tc>
      </w:tr>
      <w:tr w:rsidR="00D23F3E" w:rsidRPr="00597BCE" w:rsidTr="00D23F3E">
        <w:trPr>
          <w:trHeight w:val="982"/>
        </w:trPr>
        <w:tc>
          <w:tcPr>
            <w:tcW w:w="3794" w:type="dxa"/>
          </w:tcPr>
          <w:p w:rsidR="00D23F3E" w:rsidRPr="00597BCE" w:rsidRDefault="00D23F3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C1) Cena za revizi elektroi</w:t>
            </w:r>
            <w:r w:rsidRPr="00D23F3E">
              <w:rPr>
                <w:rFonts w:ascii="Verdana" w:hAnsi="Verdana"/>
                <w:sz w:val="20"/>
              </w:rPr>
              <w:t xml:space="preserve">nstalace Horažďovice, Mírové náměstí 19 </w:t>
            </w:r>
            <w:r>
              <w:rPr>
                <w:rFonts w:ascii="Verdana" w:hAnsi="Verdana"/>
                <w:sz w:val="20"/>
              </w:rPr>
              <w:t xml:space="preserve">+ </w:t>
            </w:r>
            <w:r w:rsidRPr="00597BCE">
              <w:rPr>
                <w:rFonts w:ascii="Verdana" w:hAnsi="Verdana"/>
                <w:sz w:val="20"/>
              </w:rPr>
              <w:t xml:space="preserve">Cena za revizi hromosvodů </w:t>
            </w:r>
            <w:r w:rsidRPr="00D23F3E">
              <w:rPr>
                <w:rFonts w:ascii="Verdana" w:hAnsi="Verdana"/>
                <w:sz w:val="20"/>
              </w:rPr>
              <w:t>Horažďovice, Mírové náměstí 19</w:t>
            </w:r>
          </w:p>
        </w:tc>
        <w:tc>
          <w:tcPr>
            <w:tcW w:w="2693" w:type="dxa"/>
            <w:vAlign w:val="center"/>
          </w:tcPr>
          <w:p w:rsidR="00D23F3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5 200</w:t>
            </w:r>
          </w:p>
        </w:tc>
        <w:tc>
          <w:tcPr>
            <w:tcW w:w="2693" w:type="dxa"/>
            <w:vAlign w:val="center"/>
          </w:tcPr>
          <w:p w:rsidR="00D23F3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6 292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D1) Cena za revizi elektroinstalace Klatovy, Voříškova 825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12 200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14 762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D2) Cena za revizi hromosvodů Klatovy, Voříškova 825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700</w:t>
            </w:r>
          </w:p>
        </w:tc>
        <w:tc>
          <w:tcPr>
            <w:tcW w:w="2693" w:type="dxa"/>
            <w:vAlign w:val="center"/>
          </w:tcPr>
          <w:p w:rsidR="00597BCE" w:rsidRPr="00597BCE" w:rsidRDefault="00597BC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847</w:t>
            </w:r>
          </w:p>
        </w:tc>
      </w:tr>
      <w:tr w:rsidR="00D23F3E" w:rsidRPr="00597BCE" w:rsidTr="00D23F3E">
        <w:trPr>
          <w:trHeight w:val="972"/>
        </w:trPr>
        <w:tc>
          <w:tcPr>
            <w:tcW w:w="3794" w:type="dxa"/>
          </w:tcPr>
          <w:p w:rsidR="00D23F3E" w:rsidRPr="00597BCE" w:rsidRDefault="00D23F3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E1) Cena za revizi elektroinstalace Tachov, tř. Míru 1633</w:t>
            </w:r>
            <w:r>
              <w:rPr>
                <w:rFonts w:ascii="Verdana" w:hAnsi="Verdana"/>
                <w:sz w:val="20"/>
              </w:rPr>
              <w:t xml:space="preserve"> + </w:t>
            </w:r>
            <w:r w:rsidRPr="00597BCE">
              <w:rPr>
                <w:rFonts w:ascii="Verdana" w:hAnsi="Verdana"/>
                <w:sz w:val="20"/>
              </w:rPr>
              <w:t>Cena za revizi hromosvodů Tachov, tř. Míru 1633</w:t>
            </w:r>
          </w:p>
        </w:tc>
        <w:tc>
          <w:tcPr>
            <w:tcW w:w="2693" w:type="dxa"/>
            <w:vAlign w:val="center"/>
          </w:tcPr>
          <w:p w:rsidR="00D23F3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17 600</w:t>
            </w:r>
          </w:p>
        </w:tc>
        <w:tc>
          <w:tcPr>
            <w:tcW w:w="2693" w:type="dxa"/>
            <w:vAlign w:val="center"/>
          </w:tcPr>
          <w:p w:rsidR="00D23F3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21 269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F1) Cena za revizi elektroinstalace Sušice, Nádražní 1226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9 200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11 132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F2) Cena za revizi hromosvodů Sušice, Nádražní 1226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500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605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G1) Cena za revizi elektroinstalace Rokycany, Palackého 162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8 500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10 285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G2) Cena za revizi hromosvodů Rokycany, Palackého 162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1 300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1 573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H1) Cena za revizi elektroinstalace Nýřany, Benešova 79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3 200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3 872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sz w:val="20"/>
              </w:rPr>
            </w:pPr>
            <w:r w:rsidRPr="00597BCE">
              <w:rPr>
                <w:rFonts w:ascii="Verdana" w:hAnsi="Verdana"/>
                <w:sz w:val="20"/>
              </w:rPr>
              <w:t>H2) Cena za revizi hromosvodů Nýřany, Benešova 79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500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605</w:t>
            </w:r>
          </w:p>
        </w:tc>
      </w:tr>
      <w:tr w:rsidR="00597BCE" w:rsidRPr="00597BCE" w:rsidTr="00D23F3E">
        <w:tc>
          <w:tcPr>
            <w:tcW w:w="3794" w:type="dxa"/>
          </w:tcPr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b/>
                <w:sz w:val="20"/>
              </w:rPr>
            </w:pPr>
            <w:r w:rsidRPr="00597BCE">
              <w:rPr>
                <w:rFonts w:ascii="Verdana" w:hAnsi="Verdana"/>
                <w:b/>
                <w:sz w:val="20"/>
              </w:rPr>
              <w:t>NABÍDKOVÁ CENA CELKEM</w:t>
            </w:r>
          </w:p>
          <w:p w:rsidR="00597BCE" w:rsidRPr="00597BCE" w:rsidRDefault="00597BCE" w:rsidP="00D23F3E">
            <w:pPr>
              <w:spacing w:line="240" w:lineRule="auto"/>
              <w:jc w:val="left"/>
              <w:rPr>
                <w:rFonts w:ascii="Verdana" w:hAnsi="Verdana"/>
                <w:b/>
                <w:sz w:val="20"/>
              </w:rPr>
            </w:pPr>
            <w:r w:rsidRPr="00597BCE">
              <w:rPr>
                <w:rFonts w:ascii="Verdana" w:hAnsi="Verdana"/>
                <w:b/>
                <w:sz w:val="20"/>
              </w:rPr>
              <w:t>/součet všech předchozích položek/</w:t>
            </w:r>
          </w:p>
        </w:tc>
        <w:tc>
          <w:tcPr>
            <w:tcW w:w="2693" w:type="dxa"/>
            <w:vAlign w:val="center"/>
          </w:tcPr>
          <w:p w:rsidR="00597BCE" w:rsidRPr="00597BCE" w:rsidRDefault="00D23F3E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184 700</w:t>
            </w:r>
          </w:p>
        </w:tc>
        <w:tc>
          <w:tcPr>
            <w:tcW w:w="2693" w:type="dxa"/>
            <w:vAlign w:val="center"/>
          </w:tcPr>
          <w:p w:rsidR="00597BCE" w:rsidRPr="00597BCE" w:rsidRDefault="008C1341" w:rsidP="00D23F3E">
            <w:pPr>
              <w:spacing w:line="240" w:lineRule="auto"/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223 460</w:t>
            </w:r>
          </w:p>
        </w:tc>
      </w:tr>
    </w:tbl>
    <w:p w:rsidR="00597BCE" w:rsidRPr="00597BCE" w:rsidRDefault="00597BCE" w:rsidP="00597BCE">
      <w:pPr>
        <w:spacing w:line="240" w:lineRule="auto"/>
        <w:rPr>
          <w:rFonts w:ascii="Verdana" w:hAnsi="Verdana"/>
          <w:b/>
          <w:szCs w:val="24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667EF1" w:rsidRDefault="00667EF1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667EF1" w:rsidRDefault="00667EF1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Default="00597BCE" w:rsidP="00597BCE">
      <w:pPr>
        <w:spacing w:line="240" w:lineRule="auto"/>
        <w:ind w:left="2835" w:hanging="2835"/>
        <w:jc w:val="left"/>
        <w:rPr>
          <w:rFonts w:ascii="Verdana" w:hAnsi="Verdana"/>
          <w:sz w:val="20"/>
        </w:rPr>
      </w:pPr>
    </w:p>
    <w:p w:rsidR="00597BCE" w:rsidRPr="00394840" w:rsidRDefault="00667EF1" w:rsidP="008C1341">
      <w:pPr>
        <w:spacing w:line="240" w:lineRule="auto"/>
        <w:rPr>
          <w:rFonts w:ascii="Verdana" w:hAnsi="Verdana"/>
          <w:b/>
          <w:spacing w:val="40"/>
          <w:szCs w:val="24"/>
        </w:rPr>
      </w:pPr>
      <w:r w:rsidRPr="00394840">
        <w:rPr>
          <w:rFonts w:ascii="Verdana" w:hAnsi="Verdana"/>
          <w:b/>
          <w:spacing w:val="40"/>
          <w:szCs w:val="24"/>
        </w:rPr>
        <w:t>Příloha č. 2</w:t>
      </w:r>
      <w:r w:rsidR="00CB3565" w:rsidRPr="00394840">
        <w:rPr>
          <w:rFonts w:ascii="Verdana" w:hAnsi="Verdana"/>
          <w:b/>
          <w:spacing w:val="40"/>
          <w:szCs w:val="24"/>
        </w:rPr>
        <w:t xml:space="preserve"> dodatku</w:t>
      </w:r>
      <w:r w:rsidR="00394840">
        <w:rPr>
          <w:rFonts w:ascii="Verdana" w:hAnsi="Verdana"/>
          <w:b/>
          <w:spacing w:val="40"/>
          <w:szCs w:val="24"/>
        </w:rPr>
        <w:t xml:space="preserve"> </w:t>
      </w:r>
      <w:r w:rsidR="00CB3565" w:rsidRPr="00394840">
        <w:rPr>
          <w:rFonts w:ascii="Verdana" w:hAnsi="Verdana"/>
          <w:b/>
          <w:spacing w:val="40"/>
          <w:szCs w:val="24"/>
        </w:rPr>
        <w:t>(příloha č. 5 ZD)</w:t>
      </w:r>
    </w:p>
    <w:p w:rsidR="00597BCE" w:rsidRPr="00597BCE" w:rsidRDefault="00597BCE" w:rsidP="008C1341">
      <w:pPr>
        <w:spacing w:line="240" w:lineRule="auto"/>
        <w:rPr>
          <w:rFonts w:ascii="Verdana" w:hAnsi="Verdana"/>
          <w:b/>
          <w:spacing w:val="40"/>
          <w:szCs w:val="24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b/>
          <w:sz w:val="20"/>
          <w:szCs w:val="24"/>
        </w:rPr>
      </w:pPr>
      <w:r w:rsidRPr="00597BCE">
        <w:rPr>
          <w:rFonts w:ascii="Verdana" w:hAnsi="Verdana"/>
          <w:b/>
          <w:sz w:val="20"/>
          <w:szCs w:val="24"/>
        </w:rPr>
        <w:t>Podrobnosti k zaměstnavateli a pracovištím</w:t>
      </w:r>
    </w:p>
    <w:p w:rsidR="00597BCE" w:rsidRPr="00597BCE" w:rsidRDefault="00597BCE" w:rsidP="008C1341">
      <w:pPr>
        <w:spacing w:line="240" w:lineRule="auto"/>
        <w:rPr>
          <w:rFonts w:ascii="Verdana" w:hAnsi="Verdana"/>
          <w:b/>
          <w:sz w:val="20"/>
          <w:szCs w:val="24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b/>
          <w:sz w:val="20"/>
          <w:szCs w:val="24"/>
        </w:rPr>
      </w:pPr>
      <w:r w:rsidRPr="00597BCE">
        <w:rPr>
          <w:rFonts w:ascii="Verdana" w:hAnsi="Verdana"/>
          <w:sz w:val="20"/>
          <w:szCs w:val="24"/>
        </w:rPr>
        <w:t>Úřad práce České republiky je organizační složkou státu, krajská pobočka v Plzni je jeho organizačním útvarem.</w:t>
      </w: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  <w:r w:rsidRPr="00597BCE">
        <w:rPr>
          <w:rFonts w:ascii="Verdana" w:hAnsi="Verdana"/>
          <w:sz w:val="20"/>
          <w:szCs w:val="24"/>
        </w:rPr>
        <w:t>Pracoviště krajské pobočky:</w:t>
      </w: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 w:cs="Arial"/>
          <w:b/>
          <w:sz w:val="20"/>
        </w:rPr>
      </w:pPr>
      <w:r w:rsidRPr="00597BCE">
        <w:rPr>
          <w:rFonts w:ascii="Verdana" w:hAnsi="Verdana" w:cs="Arial"/>
          <w:sz w:val="20"/>
        </w:rPr>
        <w:t xml:space="preserve">Úřad práce ČR – krajská pobočka v Plzni </w:t>
      </w:r>
      <w:r w:rsidRPr="00597BCE">
        <w:rPr>
          <w:rFonts w:ascii="Verdana" w:hAnsi="Verdana" w:cs="Arial"/>
          <w:b/>
          <w:sz w:val="20"/>
        </w:rPr>
        <w:t>je oprávněna hospodařit s těmito budovami státu:</w:t>
      </w: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  <w:r w:rsidRPr="00597BCE">
        <w:rPr>
          <w:rFonts w:ascii="Verdana" w:hAnsi="Verdana" w:cs="Arial"/>
          <w:sz w:val="20"/>
        </w:rPr>
        <w:t xml:space="preserve">1. </w:t>
      </w:r>
      <w:proofErr w:type="spellStart"/>
      <w:r w:rsidRPr="00597BCE">
        <w:rPr>
          <w:rFonts w:ascii="Verdana" w:hAnsi="Verdana" w:cs="Arial"/>
          <w:sz w:val="20"/>
        </w:rPr>
        <w:t>KoP</w:t>
      </w:r>
      <w:proofErr w:type="spellEnd"/>
      <w:r w:rsidRPr="00597BCE">
        <w:rPr>
          <w:rFonts w:ascii="Verdana" w:hAnsi="Verdana" w:cs="Arial"/>
          <w:sz w:val="20"/>
        </w:rPr>
        <w:t xml:space="preserve"> Plzeň-město, </w:t>
      </w:r>
      <w:proofErr w:type="spellStart"/>
      <w:r w:rsidRPr="00597BCE">
        <w:rPr>
          <w:rFonts w:ascii="Verdana" w:hAnsi="Verdana" w:cs="Arial"/>
          <w:sz w:val="20"/>
        </w:rPr>
        <w:t>KoP</w:t>
      </w:r>
      <w:proofErr w:type="spellEnd"/>
      <w:r w:rsidRPr="00597BCE">
        <w:rPr>
          <w:rFonts w:ascii="Verdana" w:hAnsi="Verdana" w:cs="Arial"/>
          <w:sz w:val="20"/>
        </w:rPr>
        <w:t xml:space="preserve"> Plzeň-jih, </w:t>
      </w:r>
      <w:proofErr w:type="spellStart"/>
      <w:r w:rsidRPr="00597BCE">
        <w:rPr>
          <w:rFonts w:ascii="Verdana" w:hAnsi="Verdana" w:cs="Arial"/>
          <w:sz w:val="20"/>
        </w:rPr>
        <w:t>KoP</w:t>
      </w:r>
      <w:proofErr w:type="spellEnd"/>
      <w:r w:rsidRPr="00597BCE">
        <w:rPr>
          <w:rFonts w:ascii="Verdana" w:hAnsi="Verdana" w:cs="Arial"/>
          <w:sz w:val="20"/>
        </w:rPr>
        <w:t xml:space="preserve"> Plzeň-sever, budova Kaplířova 7, Plzeň</w:t>
      </w: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  <w:r w:rsidRPr="00597BCE">
        <w:rPr>
          <w:rFonts w:ascii="Verdana" w:hAnsi="Verdana" w:cs="Arial"/>
          <w:sz w:val="20"/>
        </w:rPr>
        <w:t xml:space="preserve">2. </w:t>
      </w:r>
      <w:proofErr w:type="spellStart"/>
      <w:r w:rsidRPr="00597BCE">
        <w:rPr>
          <w:rFonts w:ascii="Verdana" w:hAnsi="Verdana" w:cs="Arial"/>
          <w:sz w:val="20"/>
        </w:rPr>
        <w:t>KoP</w:t>
      </w:r>
      <w:proofErr w:type="spellEnd"/>
      <w:r w:rsidRPr="00597BCE">
        <w:rPr>
          <w:rFonts w:ascii="Verdana" w:hAnsi="Verdana" w:cs="Arial"/>
          <w:sz w:val="20"/>
        </w:rPr>
        <w:t xml:space="preserve"> Plzeň-město, </w:t>
      </w:r>
      <w:proofErr w:type="spellStart"/>
      <w:r w:rsidRPr="00597BCE">
        <w:rPr>
          <w:rFonts w:ascii="Verdana" w:hAnsi="Verdana" w:cs="Arial"/>
          <w:sz w:val="20"/>
        </w:rPr>
        <w:t>KoP</w:t>
      </w:r>
      <w:proofErr w:type="spellEnd"/>
      <w:r w:rsidRPr="00597BCE">
        <w:rPr>
          <w:rFonts w:ascii="Verdana" w:hAnsi="Verdana" w:cs="Arial"/>
          <w:sz w:val="20"/>
        </w:rPr>
        <w:t xml:space="preserve"> Plzeň-jih, </w:t>
      </w:r>
      <w:proofErr w:type="spellStart"/>
      <w:r w:rsidRPr="00597BCE">
        <w:rPr>
          <w:rFonts w:ascii="Verdana" w:hAnsi="Verdana" w:cs="Arial"/>
          <w:sz w:val="20"/>
        </w:rPr>
        <w:t>KoP</w:t>
      </w:r>
      <w:proofErr w:type="spellEnd"/>
      <w:r w:rsidRPr="00597BCE">
        <w:rPr>
          <w:rFonts w:ascii="Verdana" w:hAnsi="Verdana" w:cs="Arial"/>
          <w:sz w:val="20"/>
        </w:rPr>
        <w:t xml:space="preserve"> Plzeň-sever, budova Klatovská 200e, Plzeň</w:t>
      </w: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  <w:r w:rsidRPr="00597BCE">
        <w:rPr>
          <w:rFonts w:ascii="Verdana" w:hAnsi="Verdana" w:cs="Arial"/>
          <w:sz w:val="20"/>
        </w:rPr>
        <w:t xml:space="preserve">3. </w:t>
      </w:r>
      <w:proofErr w:type="spellStart"/>
      <w:r w:rsidRPr="00597BCE">
        <w:rPr>
          <w:rFonts w:ascii="Verdana" w:hAnsi="Verdana" w:cs="Arial"/>
          <w:sz w:val="20"/>
        </w:rPr>
        <w:t>KoP</w:t>
      </w:r>
      <w:proofErr w:type="spellEnd"/>
      <w:r w:rsidRPr="00597BCE">
        <w:rPr>
          <w:rFonts w:ascii="Verdana" w:hAnsi="Verdana" w:cs="Arial"/>
          <w:sz w:val="20"/>
        </w:rPr>
        <w:t xml:space="preserve"> Plzeň-sever, pracoviště Nýřany, budova Benešova třída 79, Nýřany</w:t>
      </w:r>
    </w:p>
    <w:p w:rsidR="00597BCE" w:rsidRDefault="008C1341" w:rsidP="008C1341">
      <w:pPr>
        <w:spacing w:line="240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4</w:t>
      </w:r>
      <w:r w:rsidR="00597BCE" w:rsidRPr="00597BCE">
        <w:rPr>
          <w:rFonts w:ascii="Verdana" w:hAnsi="Verdana" w:cs="Arial"/>
          <w:sz w:val="20"/>
        </w:rPr>
        <w:t xml:space="preserve">. </w:t>
      </w:r>
      <w:proofErr w:type="spellStart"/>
      <w:r w:rsidR="00597BCE" w:rsidRPr="00597BCE">
        <w:rPr>
          <w:rFonts w:ascii="Verdana" w:hAnsi="Verdana" w:cs="Arial"/>
          <w:sz w:val="20"/>
        </w:rPr>
        <w:t>KoP</w:t>
      </w:r>
      <w:proofErr w:type="spellEnd"/>
      <w:r w:rsidR="00597BCE" w:rsidRPr="00597BCE">
        <w:rPr>
          <w:rFonts w:ascii="Verdana" w:hAnsi="Verdana" w:cs="Arial"/>
          <w:sz w:val="20"/>
        </w:rPr>
        <w:t xml:space="preserve"> Klatovy, budova Voříškova 825, Klatovy</w:t>
      </w:r>
    </w:p>
    <w:p w:rsidR="00867887" w:rsidRPr="00597BCE" w:rsidRDefault="00867887" w:rsidP="008C1341">
      <w:pPr>
        <w:spacing w:line="240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5. </w:t>
      </w:r>
      <w:proofErr w:type="spellStart"/>
      <w:r>
        <w:rPr>
          <w:rFonts w:ascii="Verdana" w:hAnsi="Verdana" w:cs="Arial"/>
          <w:sz w:val="20"/>
        </w:rPr>
        <w:t>KoP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color w:val="FF0000"/>
          <w:sz w:val="20"/>
        </w:rPr>
        <w:t>Klatovy</w:t>
      </w:r>
      <w:r>
        <w:rPr>
          <w:rFonts w:ascii="Verdana" w:hAnsi="Verdana" w:cs="Arial"/>
          <w:sz w:val="20"/>
        </w:rPr>
        <w:t>, budova Mírové náměstí 169, Horažďovice</w:t>
      </w:r>
    </w:p>
    <w:p w:rsidR="00597BCE" w:rsidRDefault="00867887" w:rsidP="008C1341">
      <w:pPr>
        <w:spacing w:line="240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6</w:t>
      </w:r>
      <w:r w:rsidR="00597BCE" w:rsidRPr="00597BCE">
        <w:rPr>
          <w:rFonts w:ascii="Verdana" w:hAnsi="Verdana" w:cs="Arial"/>
          <w:sz w:val="20"/>
        </w:rPr>
        <w:t xml:space="preserve">. </w:t>
      </w:r>
      <w:proofErr w:type="spellStart"/>
      <w:r w:rsidR="00597BCE" w:rsidRPr="00597BCE">
        <w:rPr>
          <w:rFonts w:ascii="Verdana" w:hAnsi="Verdana" w:cs="Arial"/>
          <w:sz w:val="20"/>
        </w:rPr>
        <w:t>KoP</w:t>
      </w:r>
      <w:proofErr w:type="spellEnd"/>
      <w:r w:rsidR="00597BCE" w:rsidRPr="00597BCE">
        <w:rPr>
          <w:rFonts w:ascii="Verdana" w:hAnsi="Verdana" w:cs="Arial"/>
          <w:sz w:val="20"/>
        </w:rPr>
        <w:t xml:space="preserve"> Sušice, budova Nádražní 1226, Sušice</w:t>
      </w:r>
    </w:p>
    <w:p w:rsidR="00597BCE" w:rsidRPr="00597BCE" w:rsidRDefault="00867887" w:rsidP="008C1341">
      <w:pPr>
        <w:spacing w:line="240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7</w:t>
      </w:r>
      <w:r w:rsidR="008C1341">
        <w:rPr>
          <w:rFonts w:ascii="Verdana" w:hAnsi="Verdana" w:cs="Arial"/>
          <w:sz w:val="20"/>
        </w:rPr>
        <w:t xml:space="preserve">. </w:t>
      </w:r>
      <w:proofErr w:type="spellStart"/>
      <w:r>
        <w:rPr>
          <w:rFonts w:ascii="Verdana" w:hAnsi="Verdana" w:cs="Arial"/>
          <w:sz w:val="20"/>
        </w:rPr>
        <w:t>K</w:t>
      </w:r>
      <w:r w:rsidR="00597BCE" w:rsidRPr="00597BCE">
        <w:rPr>
          <w:rFonts w:ascii="Verdana" w:hAnsi="Verdana" w:cs="Arial"/>
          <w:sz w:val="20"/>
        </w:rPr>
        <w:t>oP</w:t>
      </w:r>
      <w:proofErr w:type="spellEnd"/>
      <w:r w:rsidR="00597BCE" w:rsidRPr="00597BCE">
        <w:rPr>
          <w:rFonts w:ascii="Verdana" w:hAnsi="Verdana" w:cs="Arial"/>
          <w:sz w:val="20"/>
        </w:rPr>
        <w:t xml:space="preserve"> Rokycany, budova Palackého 162, Rokycany</w:t>
      </w:r>
    </w:p>
    <w:p w:rsidR="00597BCE" w:rsidRPr="00597BCE" w:rsidRDefault="008C1341" w:rsidP="008C1341">
      <w:pPr>
        <w:spacing w:line="240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8</w:t>
      </w:r>
      <w:r w:rsidR="00597BCE" w:rsidRPr="00597BCE">
        <w:rPr>
          <w:rFonts w:ascii="Verdana" w:hAnsi="Verdana" w:cs="Arial"/>
          <w:sz w:val="20"/>
        </w:rPr>
        <w:t xml:space="preserve">. </w:t>
      </w:r>
      <w:proofErr w:type="spellStart"/>
      <w:r w:rsidR="00597BCE" w:rsidRPr="00597BCE">
        <w:rPr>
          <w:rFonts w:ascii="Verdana" w:hAnsi="Verdana" w:cs="Arial"/>
          <w:sz w:val="20"/>
        </w:rPr>
        <w:t>KoP</w:t>
      </w:r>
      <w:proofErr w:type="spellEnd"/>
      <w:r w:rsidR="00597BCE" w:rsidRPr="00597BCE">
        <w:rPr>
          <w:rFonts w:ascii="Verdana" w:hAnsi="Verdana" w:cs="Arial"/>
          <w:sz w:val="20"/>
        </w:rPr>
        <w:t xml:space="preserve"> Tachov, budova tř. Míru 1633, Tachov</w:t>
      </w: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  <w:r w:rsidRPr="00597BCE">
        <w:rPr>
          <w:rFonts w:ascii="Verdana" w:hAnsi="Verdana" w:cs="Arial"/>
          <w:sz w:val="20"/>
        </w:rPr>
        <w:t>U těchto budov je třeba provádět revizi elektroinstalace a hromosvodů.</w:t>
      </w: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  <w:r w:rsidRPr="00597BCE">
        <w:rPr>
          <w:rFonts w:ascii="Verdana" w:hAnsi="Verdana"/>
          <w:b/>
          <w:sz w:val="20"/>
          <w:szCs w:val="24"/>
        </w:rPr>
        <w:t>Podrobnosti k předmětu plnění</w:t>
      </w: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</w:rPr>
      </w:pPr>
      <w:r w:rsidRPr="00597BCE">
        <w:rPr>
          <w:rFonts w:ascii="Verdana" w:hAnsi="Verdana"/>
          <w:sz w:val="20"/>
        </w:rPr>
        <w:t>Předmětem zakázky je zajištění periodických kontrol a revizí elektroinstalací a hromosvodů v budovách zadavatele. Zadavatel je oprávněn hospodařit s 8 budovami státu. Obvyklá perioda revize á 60 měsíců dle ČSN 33 1500 a dalších.</w:t>
      </w: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</w:rPr>
      </w:pPr>
      <w:r w:rsidRPr="00597BCE">
        <w:rPr>
          <w:rFonts w:ascii="Verdana" w:hAnsi="Verdana"/>
          <w:sz w:val="20"/>
        </w:rPr>
        <w:t xml:space="preserve">Dodržení právních předpisů (zejména zákon č. 309/2006 Sb., o zajištění dalších podmínek bezpečnosti a ochrany zdraví při práci, v platném znění) a norem, zejména ČSN 33 1500. Revize musí proběhnout řádným postupem dle předpisů a norem a musí být vypracovány příslušné zprávy o revizi. </w:t>
      </w: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  <w:r w:rsidRPr="00597BCE">
        <w:rPr>
          <w:rFonts w:ascii="Verdana" w:hAnsi="Verdana" w:cs="Arial"/>
          <w:sz w:val="20"/>
        </w:rPr>
        <w:t>U budovy Plzeň, Kaplířova navíc potřeba provést revizi el. zařízení mokré prostředí (myčka aut) ve frekvenci á 12 měsíců.</w:t>
      </w: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b/>
          <w:sz w:val="20"/>
        </w:rPr>
      </w:pPr>
      <w:r w:rsidRPr="00597BCE">
        <w:rPr>
          <w:rFonts w:ascii="Verdana" w:hAnsi="Verdana"/>
          <w:sz w:val="20"/>
        </w:rPr>
        <w:t xml:space="preserve">Kontroly a revize </w:t>
      </w:r>
      <w:r w:rsidRPr="00597BCE">
        <w:rPr>
          <w:rFonts w:ascii="Verdana" w:hAnsi="Verdana"/>
          <w:b/>
          <w:sz w:val="20"/>
        </w:rPr>
        <w:t>musí provádět osoby s příslušnou specializací (odborností) dle právních předpisů.</w:t>
      </w: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  <w:r w:rsidRPr="00597BCE">
        <w:rPr>
          <w:rFonts w:ascii="Verdana" w:hAnsi="Verdana"/>
          <w:sz w:val="20"/>
          <w:szCs w:val="24"/>
        </w:rPr>
        <w:t>Revize elektroinstalace:</w:t>
      </w: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2410"/>
      </w:tblGrid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b/>
                <w:sz w:val="20"/>
                <w:szCs w:val="24"/>
              </w:rPr>
            </w:pPr>
            <w:r w:rsidRPr="00597BCE">
              <w:rPr>
                <w:rFonts w:ascii="Verdana" w:hAnsi="Verdana"/>
                <w:b/>
                <w:sz w:val="20"/>
                <w:szCs w:val="24"/>
              </w:rPr>
              <w:t>Pracoviště</w:t>
            </w:r>
          </w:p>
        </w:tc>
        <w:tc>
          <w:tcPr>
            <w:tcW w:w="2410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Datum příští revize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Plzeň, Kaplířova</w:t>
            </w:r>
          </w:p>
        </w:tc>
        <w:tc>
          <w:tcPr>
            <w:tcW w:w="2410" w:type="dxa"/>
          </w:tcPr>
          <w:p w:rsidR="00597BCE" w:rsidRPr="00597BCE" w:rsidRDefault="003B2AC0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2020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Plzeň, Klatovská</w:t>
            </w:r>
          </w:p>
        </w:tc>
        <w:tc>
          <w:tcPr>
            <w:tcW w:w="2410" w:type="dxa"/>
          </w:tcPr>
          <w:p w:rsidR="00597BCE" w:rsidRPr="00597BCE" w:rsidRDefault="003B2AC0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2019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Nýřany, Benešova tř.</w:t>
            </w:r>
          </w:p>
        </w:tc>
        <w:tc>
          <w:tcPr>
            <w:tcW w:w="2410" w:type="dxa"/>
          </w:tcPr>
          <w:p w:rsidR="00597BCE" w:rsidRPr="00597BCE" w:rsidRDefault="00972BF6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2018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F27E65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Horažďovice</w:t>
            </w:r>
            <w:r w:rsidR="00667EF1">
              <w:rPr>
                <w:rFonts w:ascii="Verdana" w:hAnsi="Verdana"/>
                <w:sz w:val="20"/>
                <w:szCs w:val="24"/>
              </w:rPr>
              <w:t>, Mírové nám.</w:t>
            </w:r>
          </w:p>
        </w:tc>
        <w:tc>
          <w:tcPr>
            <w:tcW w:w="2410" w:type="dxa"/>
          </w:tcPr>
          <w:p w:rsidR="00597BCE" w:rsidRPr="00597BCE" w:rsidRDefault="00F27E65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2018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Klatovy, Voříškova</w:t>
            </w:r>
          </w:p>
        </w:tc>
        <w:tc>
          <w:tcPr>
            <w:tcW w:w="2410" w:type="dxa"/>
          </w:tcPr>
          <w:p w:rsidR="00597BCE" w:rsidRPr="00867887" w:rsidRDefault="00394840" w:rsidP="008C1341">
            <w:pPr>
              <w:spacing w:line="240" w:lineRule="auto"/>
              <w:rPr>
                <w:rFonts w:ascii="Verdana" w:hAnsi="Verdana"/>
                <w:color w:val="FF0000"/>
                <w:sz w:val="20"/>
                <w:szCs w:val="24"/>
              </w:rPr>
            </w:pPr>
            <w:r w:rsidRPr="00394840">
              <w:rPr>
                <w:rFonts w:ascii="Verdana" w:hAnsi="Verdana"/>
                <w:sz w:val="20"/>
                <w:szCs w:val="24"/>
              </w:rPr>
              <w:t>po ukončení záruky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Sušice, Nádražní</w:t>
            </w:r>
          </w:p>
        </w:tc>
        <w:tc>
          <w:tcPr>
            <w:tcW w:w="2410" w:type="dxa"/>
          </w:tcPr>
          <w:p w:rsidR="00597BCE" w:rsidRPr="00597BCE" w:rsidRDefault="00972BF6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972BF6"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 w:rsidRPr="00972BF6"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 w:rsidRPr="00972BF6">
              <w:rPr>
                <w:rFonts w:ascii="Verdana" w:hAnsi="Verdana"/>
                <w:sz w:val="20"/>
                <w:szCs w:val="24"/>
              </w:rPr>
              <w:t>2021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Rokycany, Palackého</w:t>
            </w:r>
          </w:p>
        </w:tc>
        <w:tc>
          <w:tcPr>
            <w:tcW w:w="2410" w:type="dxa"/>
          </w:tcPr>
          <w:p w:rsidR="00597BCE" w:rsidRPr="00597BCE" w:rsidRDefault="00F27E65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2019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Tachov, tř. Míru</w:t>
            </w:r>
          </w:p>
        </w:tc>
        <w:tc>
          <w:tcPr>
            <w:tcW w:w="2410" w:type="dxa"/>
          </w:tcPr>
          <w:p w:rsidR="00597BCE" w:rsidRPr="00597BCE" w:rsidRDefault="00F27E65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2018</w:t>
            </w:r>
          </w:p>
        </w:tc>
      </w:tr>
    </w:tbl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</w:p>
    <w:p w:rsidR="00597BCE" w:rsidRDefault="00597BCE" w:rsidP="008C1341">
      <w:pPr>
        <w:spacing w:line="240" w:lineRule="auto"/>
        <w:rPr>
          <w:rFonts w:ascii="Verdana" w:hAnsi="Verdana" w:cs="Arial"/>
          <w:sz w:val="20"/>
        </w:rPr>
      </w:pPr>
    </w:p>
    <w:p w:rsidR="00667EF1" w:rsidRPr="00597BCE" w:rsidRDefault="00667EF1" w:rsidP="008C1341">
      <w:pPr>
        <w:spacing w:line="240" w:lineRule="auto"/>
        <w:rPr>
          <w:rFonts w:ascii="Verdana" w:hAnsi="Verdana" w:cs="Arial"/>
          <w:sz w:val="20"/>
        </w:rPr>
      </w:pPr>
    </w:p>
    <w:p w:rsidR="00597BCE" w:rsidRPr="00597BCE" w:rsidRDefault="00597BCE" w:rsidP="008C1341">
      <w:pPr>
        <w:spacing w:line="240" w:lineRule="auto"/>
        <w:rPr>
          <w:rFonts w:ascii="Verdana" w:hAnsi="Verdana" w:cs="Arial"/>
          <w:sz w:val="20"/>
        </w:rPr>
      </w:pPr>
      <w:r w:rsidRPr="00597BCE">
        <w:rPr>
          <w:rFonts w:ascii="Verdana" w:hAnsi="Verdana" w:cs="Arial"/>
          <w:sz w:val="20"/>
        </w:rPr>
        <w:t>Hromosvody na jednotlivých budovách:</w:t>
      </w: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2410"/>
      </w:tblGrid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b/>
                <w:sz w:val="20"/>
                <w:szCs w:val="24"/>
              </w:rPr>
            </w:pPr>
            <w:r w:rsidRPr="00597BCE">
              <w:rPr>
                <w:rFonts w:ascii="Verdana" w:hAnsi="Verdana"/>
                <w:b/>
                <w:sz w:val="20"/>
                <w:szCs w:val="24"/>
              </w:rPr>
              <w:t>Pracoviště</w:t>
            </w:r>
          </w:p>
        </w:tc>
        <w:tc>
          <w:tcPr>
            <w:tcW w:w="2551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Počet hromosvodů</w:t>
            </w:r>
          </w:p>
        </w:tc>
        <w:tc>
          <w:tcPr>
            <w:tcW w:w="2410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Datum příští revize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Plzeň, Kaplířova</w:t>
            </w:r>
          </w:p>
        </w:tc>
        <w:tc>
          <w:tcPr>
            <w:tcW w:w="2551" w:type="dxa"/>
          </w:tcPr>
          <w:p w:rsidR="00597BCE" w:rsidRPr="00597BCE" w:rsidRDefault="003B2AC0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</w:t>
            </w:r>
          </w:p>
        </w:tc>
        <w:tc>
          <w:tcPr>
            <w:tcW w:w="2410" w:type="dxa"/>
          </w:tcPr>
          <w:p w:rsidR="00597BCE" w:rsidRPr="00597BCE" w:rsidRDefault="003B2AC0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2020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9260AA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Plzeň, Klatovská</w:t>
            </w:r>
          </w:p>
        </w:tc>
        <w:tc>
          <w:tcPr>
            <w:tcW w:w="2551" w:type="dxa"/>
          </w:tcPr>
          <w:p w:rsidR="00597BCE" w:rsidRPr="00597BCE" w:rsidRDefault="003B2AC0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13</w:t>
            </w:r>
          </w:p>
        </w:tc>
        <w:tc>
          <w:tcPr>
            <w:tcW w:w="2410" w:type="dxa"/>
          </w:tcPr>
          <w:p w:rsidR="00597BCE" w:rsidRPr="00597BCE" w:rsidRDefault="003B2AC0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2019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Nýřany, Benešova tř.</w:t>
            </w:r>
          </w:p>
        </w:tc>
        <w:tc>
          <w:tcPr>
            <w:tcW w:w="2551" w:type="dxa"/>
          </w:tcPr>
          <w:p w:rsidR="00597BCE" w:rsidRPr="00597BCE" w:rsidRDefault="00F27E65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3</w:t>
            </w:r>
          </w:p>
        </w:tc>
        <w:tc>
          <w:tcPr>
            <w:tcW w:w="2410" w:type="dxa"/>
          </w:tcPr>
          <w:p w:rsidR="00597BCE" w:rsidRPr="00597BCE" w:rsidRDefault="00394840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</w:t>
            </w:r>
            <w:r w:rsidR="00F27E65">
              <w:rPr>
                <w:rFonts w:ascii="Verdana" w:hAnsi="Verdana"/>
                <w:sz w:val="20"/>
                <w:szCs w:val="24"/>
              </w:rPr>
              <w:t>o 31.</w:t>
            </w: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F27E65">
              <w:rPr>
                <w:rFonts w:ascii="Verdana" w:hAnsi="Verdana"/>
                <w:sz w:val="20"/>
                <w:szCs w:val="24"/>
              </w:rPr>
              <w:t>12.</w:t>
            </w: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F27E65">
              <w:rPr>
                <w:rFonts w:ascii="Verdana" w:hAnsi="Verdana"/>
                <w:sz w:val="20"/>
                <w:szCs w:val="24"/>
              </w:rPr>
              <w:t>2018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Klatovy, Voříškova</w:t>
            </w:r>
          </w:p>
        </w:tc>
        <w:tc>
          <w:tcPr>
            <w:tcW w:w="2551" w:type="dxa"/>
          </w:tcPr>
          <w:p w:rsidR="00597BCE" w:rsidRPr="00597BCE" w:rsidRDefault="00EB68BD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15</w:t>
            </w:r>
          </w:p>
        </w:tc>
        <w:tc>
          <w:tcPr>
            <w:tcW w:w="2410" w:type="dxa"/>
          </w:tcPr>
          <w:p w:rsidR="00597BCE" w:rsidRPr="00867887" w:rsidRDefault="00394840" w:rsidP="008C1341">
            <w:pPr>
              <w:spacing w:line="240" w:lineRule="auto"/>
              <w:rPr>
                <w:rFonts w:ascii="Verdana" w:hAnsi="Verdana"/>
                <w:color w:val="FF0000"/>
                <w:sz w:val="20"/>
                <w:szCs w:val="24"/>
              </w:rPr>
            </w:pPr>
            <w:r w:rsidRPr="00394840">
              <w:rPr>
                <w:rFonts w:ascii="Verdana" w:hAnsi="Verdana"/>
                <w:sz w:val="20"/>
                <w:szCs w:val="24"/>
              </w:rPr>
              <w:t>po ukončení záruky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Sušice, Nádražní</w:t>
            </w:r>
          </w:p>
        </w:tc>
        <w:tc>
          <w:tcPr>
            <w:tcW w:w="2551" w:type="dxa"/>
          </w:tcPr>
          <w:p w:rsidR="00597BCE" w:rsidRPr="00597BCE" w:rsidRDefault="00972BF6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4</w:t>
            </w:r>
          </w:p>
        </w:tc>
        <w:tc>
          <w:tcPr>
            <w:tcW w:w="2410" w:type="dxa"/>
          </w:tcPr>
          <w:p w:rsidR="00597BCE" w:rsidRPr="00597BCE" w:rsidRDefault="00972BF6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972BF6"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 w:rsidRPr="00972BF6"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 w:rsidRPr="00972BF6">
              <w:rPr>
                <w:rFonts w:ascii="Verdana" w:hAnsi="Verdana"/>
                <w:sz w:val="20"/>
                <w:szCs w:val="24"/>
              </w:rPr>
              <w:t>2021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Rokycany, Palackého</w:t>
            </w:r>
          </w:p>
        </w:tc>
        <w:tc>
          <w:tcPr>
            <w:tcW w:w="2551" w:type="dxa"/>
          </w:tcPr>
          <w:p w:rsidR="00597BCE" w:rsidRPr="00597BCE" w:rsidRDefault="00F27E65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3</w:t>
            </w:r>
          </w:p>
        </w:tc>
        <w:tc>
          <w:tcPr>
            <w:tcW w:w="2410" w:type="dxa"/>
          </w:tcPr>
          <w:p w:rsidR="00597BCE" w:rsidRPr="00597BCE" w:rsidRDefault="00972BF6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972BF6"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 w:rsidRPr="00972BF6"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 w:rsidRPr="00972BF6">
              <w:rPr>
                <w:rFonts w:ascii="Verdana" w:hAnsi="Verdana"/>
                <w:sz w:val="20"/>
                <w:szCs w:val="24"/>
              </w:rPr>
              <w:t>2019</w:t>
            </w:r>
          </w:p>
        </w:tc>
      </w:tr>
      <w:tr w:rsidR="00597BCE" w:rsidRPr="00597BCE" w:rsidTr="00823910">
        <w:tc>
          <w:tcPr>
            <w:tcW w:w="3794" w:type="dxa"/>
          </w:tcPr>
          <w:p w:rsidR="00597BCE" w:rsidRPr="00597BCE" w:rsidRDefault="00597BCE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 w:rsidRPr="00597BCE">
              <w:rPr>
                <w:rFonts w:ascii="Verdana" w:hAnsi="Verdana"/>
                <w:sz w:val="20"/>
                <w:szCs w:val="24"/>
              </w:rPr>
              <w:t>Tachov, tř. Míru</w:t>
            </w:r>
          </w:p>
        </w:tc>
        <w:tc>
          <w:tcPr>
            <w:tcW w:w="2551" w:type="dxa"/>
          </w:tcPr>
          <w:p w:rsidR="00597BCE" w:rsidRPr="00867887" w:rsidRDefault="001C275A" w:rsidP="008C1341">
            <w:pPr>
              <w:spacing w:line="240" w:lineRule="auto"/>
              <w:rPr>
                <w:rFonts w:ascii="Verdana" w:hAnsi="Verdana"/>
                <w:color w:val="FF0000"/>
                <w:sz w:val="20"/>
                <w:szCs w:val="24"/>
              </w:rPr>
            </w:pPr>
            <w:r w:rsidRPr="001C275A">
              <w:rPr>
                <w:rFonts w:ascii="Verdana" w:hAnsi="Verdana"/>
                <w:sz w:val="20"/>
                <w:szCs w:val="24"/>
              </w:rPr>
              <w:t>3</w:t>
            </w:r>
          </w:p>
        </w:tc>
        <w:tc>
          <w:tcPr>
            <w:tcW w:w="2410" w:type="dxa"/>
          </w:tcPr>
          <w:p w:rsidR="00597BCE" w:rsidRPr="00597BCE" w:rsidRDefault="00F27E65" w:rsidP="008C1341">
            <w:pPr>
              <w:spacing w:line="240" w:lineRule="auto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Do 31.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12.</w:t>
            </w:r>
            <w:r w:rsidR="00394840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2018</w:t>
            </w:r>
          </w:p>
        </w:tc>
      </w:tr>
    </w:tbl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  <w:r w:rsidRPr="00597BCE">
        <w:rPr>
          <w:rFonts w:ascii="Verdana" w:hAnsi="Verdana"/>
          <w:sz w:val="20"/>
          <w:szCs w:val="24"/>
        </w:rPr>
        <w:t>Na každý kalendářní rok se připraví plán revizí, který schválí objednatel a který bude závazný.</w:t>
      </w: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</w:p>
    <w:p w:rsidR="00597BCE" w:rsidRPr="00597BCE" w:rsidRDefault="00597BCE" w:rsidP="008C1341">
      <w:pPr>
        <w:spacing w:line="240" w:lineRule="auto"/>
        <w:rPr>
          <w:rFonts w:ascii="Verdana" w:hAnsi="Verdana"/>
          <w:sz w:val="20"/>
          <w:szCs w:val="24"/>
        </w:rPr>
      </w:pPr>
    </w:p>
    <w:p w:rsidR="00597BCE" w:rsidRPr="00597BCE" w:rsidRDefault="00597BCE" w:rsidP="008C1341">
      <w:pPr>
        <w:spacing w:line="240" w:lineRule="auto"/>
        <w:ind w:left="2835" w:hanging="2835"/>
        <w:rPr>
          <w:rFonts w:ascii="Verdana" w:hAnsi="Verdana"/>
          <w:sz w:val="20"/>
        </w:rPr>
      </w:pPr>
    </w:p>
    <w:sectPr w:rsidR="00597BCE" w:rsidRPr="00597BCE" w:rsidSect="003E31BE">
      <w:pgSz w:w="11906" w:h="16838"/>
      <w:pgMar w:top="1134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D56"/>
    <w:multiLevelType w:val="hybridMultilevel"/>
    <w:tmpl w:val="0E1EF5F0"/>
    <w:lvl w:ilvl="0" w:tplc="CEB0BD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8167AA"/>
    <w:multiLevelType w:val="multilevel"/>
    <w:tmpl w:val="4636D39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470F5C"/>
    <w:multiLevelType w:val="multilevel"/>
    <w:tmpl w:val="66CC25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1253130"/>
    <w:multiLevelType w:val="hybridMultilevel"/>
    <w:tmpl w:val="8F54181A"/>
    <w:lvl w:ilvl="0" w:tplc="33A6D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71AD7"/>
    <w:multiLevelType w:val="multilevel"/>
    <w:tmpl w:val="B4A4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8DC441A"/>
    <w:multiLevelType w:val="hybridMultilevel"/>
    <w:tmpl w:val="3894D8B8"/>
    <w:lvl w:ilvl="0" w:tplc="F6F48E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05F25"/>
    <w:multiLevelType w:val="multilevel"/>
    <w:tmpl w:val="185CC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3C6A7D90"/>
    <w:multiLevelType w:val="hybridMultilevel"/>
    <w:tmpl w:val="8FF40B74"/>
    <w:lvl w:ilvl="0" w:tplc="9CBA34F8">
      <w:start w:val="3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6259D0"/>
    <w:multiLevelType w:val="hybridMultilevel"/>
    <w:tmpl w:val="853CDEFC"/>
    <w:lvl w:ilvl="0" w:tplc="28B2AF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E7CEC"/>
    <w:multiLevelType w:val="hybridMultilevel"/>
    <w:tmpl w:val="6956726E"/>
    <w:lvl w:ilvl="0" w:tplc="24FAF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A610C"/>
    <w:multiLevelType w:val="hybridMultilevel"/>
    <w:tmpl w:val="B12A1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F2203"/>
    <w:multiLevelType w:val="hybridMultilevel"/>
    <w:tmpl w:val="E0C6B5BA"/>
    <w:lvl w:ilvl="0" w:tplc="24FAF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366F0"/>
    <w:multiLevelType w:val="multilevel"/>
    <w:tmpl w:val="9800A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3">
    <w:nsid w:val="644A3B17"/>
    <w:multiLevelType w:val="hybridMultilevel"/>
    <w:tmpl w:val="07D4C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40349"/>
    <w:multiLevelType w:val="multilevel"/>
    <w:tmpl w:val="7902C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>
    <w:nsid w:val="6FBB2D11"/>
    <w:multiLevelType w:val="hybridMultilevel"/>
    <w:tmpl w:val="3228A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11"/>
  </w:num>
  <w:num w:numId="13">
    <w:abstractNumId w:val="2"/>
  </w:num>
  <w:num w:numId="14">
    <w:abstractNumId w:val="9"/>
  </w:num>
  <w:num w:numId="15">
    <w:abstractNumId w:val="1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B1"/>
    <w:rsid w:val="00175746"/>
    <w:rsid w:val="001A4651"/>
    <w:rsid w:val="001C275A"/>
    <w:rsid w:val="003349DE"/>
    <w:rsid w:val="00394840"/>
    <w:rsid w:val="003B2AC0"/>
    <w:rsid w:val="003E31BE"/>
    <w:rsid w:val="004B11CD"/>
    <w:rsid w:val="004B3466"/>
    <w:rsid w:val="005503DA"/>
    <w:rsid w:val="00597BCE"/>
    <w:rsid w:val="005E6A55"/>
    <w:rsid w:val="005F4079"/>
    <w:rsid w:val="006619E7"/>
    <w:rsid w:val="00667EF1"/>
    <w:rsid w:val="006C1968"/>
    <w:rsid w:val="00811A50"/>
    <w:rsid w:val="00867887"/>
    <w:rsid w:val="00884B5D"/>
    <w:rsid w:val="008C1341"/>
    <w:rsid w:val="00912458"/>
    <w:rsid w:val="009260AA"/>
    <w:rsid w:val="00972BF6"/>
    <w:rsid w:val="00A10197"/>
    <w:rsid w:val="00A237BE"/>
    <w:rsid w:val="00A25E02"/>
    <w:rsid w:val="00A856B1"/>
    <w:rsid w:val="00CB3565"/>
    <w:rsid w:val="00D22C4C"/>
    <w:rsid w:val="00D23F3E"/>
    <w:rsid w:val="00DC76B8"/>
    <w:rsid w:val="00EB68BD"/>
    <w:rsid w:val="00F27E65"/>
    <w:rsid w:val="00FB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6B1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856B1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A856B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A856B1"/>
    <w:pPr>
      <w:spacing w:line="360" w:lineRule="auto"/>
    </w:pPr>
    <w:rPr>
      <w:bCs/>
      <w:iCs/>
      <w:szCs w:val="24"/>
    </w:rPr>
  </w:style>
  <w:style w:type="character" w:customStyle="1" w:styleId="ZkladntextChar">
    <w:name w:val="Základní text Char"/>
    <w:basedOn w:val="Standardnpsmoodstavce"/>
    <w:link w:val="Zkladntext"/>
    <w:rsid w:val="00A856B1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97BC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97BCE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597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01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6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6B1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856B1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A856B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A856B1"/>
    <w:pPr>
      <w:spacing w:line="360" w:lineRule="auto"/>
    </w:pPr>
    <w:rPr>
      <w:bCs/>
      <w:iCs/>
      <w:szCs w:val="24"/>
    </w:rPr>
  </w:style>
  <w:style w:type="character" w:customStyle="1" w:styleId="ZkladntextChar">
    <w:name w:val="Základní text Char"/>
    <w:basedOn w:val="Standardnpsmoodstavce"/>
    <w:link w:val="Zkladntext"/>
    <w:rsid w:val="00A856B1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97BC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97BCE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597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01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6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udvik.jaros@urad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ela.stankova@uradpra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Lucie Mgr. (UPP-PMA)</dc:creator>
  <cp:lastModifiedBy>Kopecká Lucie Mgr. (UPP-PMA)</cp:lastModifiedBy>
  <cp:revision>2</cp:revision>
  <dcterms:created xsi:type="dcterms:W3CDTF">2018-05-18T06:51:00Z</dcterms:created>
  <dcterms:modified xsi:type="dcterms:W3CDTF">2018-05-18T06:51:00Z</dcterms:modified>
</cp:coreProperties>
</file>