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23" w:rsidRDefault="00895323">
      <w:pPr>
        <w:widowControl/>
        <w:spacing w:line="1" w:lineRule="exact"/>
        <w:rPr>
          <w:sz w:val="2"/>
          <w:szCs w:val="2"/>
        </w:rPr>
      </w:pPr>
      <w:r w:rsidRPr="0089532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4.6pt;margin-top:211.8pt;width:369.05pt;height:17.65pt;z-index:1;mso-wrap-edited:f;mso-wrap-distance-left:7in;mso-wrap-distance-right:7in;mso-wrap-distance-bottom:13.85pt;mso-position-horizontal-relative:page;mso-position-vertical-relative:page" filled="f" stroked="f">
            <v:textbox inset="0,0,0,0">
              <w:txbxContent>
                <w:p w:rsidR="00895323" w:rsidRDefault="002E2394">
                  <w:pPr>
                    <w:pStyle w:val="Style1"/>
                    <w:widowControl/>
                    <w:jc w:val="both"/>
                    <w:rPr>
                      <w:rStyle w:val="FontStyle18"/>
                    </w:rPr>
                  </w:pPr>
                  <w:r>
                    <w:rPr>
                      <w:rStyle w:val="FontStyle18"/>
                    </w:rPr>
                    <w:t>SMLOUVA O NÁJMU NEBYTOVÝCH PROSTOR</w:t>
                  </w:r>
                </w:p>
              </w:txbxContent>
            </v:textbox>
            <w10:wrap type="topAndBottom" anchorx="page" anchory="page"/>
          </v:shape>
        </w:pict>
      </w:r>
      <w:r w:rsidRPr="00895323">
        <w:rPr>
          <w:noProof/>
        </w:rPr>
        <w:pict>
          <v:shape id="_x0000_s1027" type="#_x0000_t202" style="position:absolute;margin-left:173.55pt;margin-top:243.3pt;width:469.2pt;height:730.7pt;z-index:2;mso-wrap-edited:f;mso-wrap-distance-left:7in;mso-wrap-distance-top:9.05pt;mso-wrap-distance-right:7in;mso-position-horizontal-relative:page;mso-position-vertical-relative:page" filled="f" stroked="f">
            <v:textbox inset="0,0,0,0">
              <w:txbxContent>
                <w:p w:rsidR="00895323" w:rsidRDefault="002E2394">
                  <w:pPr>
                    <w:pStyle w:val="Style8"/>
                    <w:widowControl/>
                    <w:ind w:left="114"/>
                    <w:jc w:val="left"/>
                    <w:rPr>
                      <w:rStyle w:val="FontStyle19"/>
                      <w:u w:val="single"/>
                    </w:rPr>
                  </w:pPr>
                  <w:r>
                    <w:rPr>
                      <w:rStyle w:val="FontStyle19"/>
                      <w:u w:val="single"/>
                    </w:rPr>
                    <w:t>Účastníci:</w:t>
                  </w:r>
                </w:p>
                <w:p w:rsidR="00895323" w:rsidRDefault="002E2394">
                  <w:pPr>
                    <w:pStyle w:val="Style3"/>
                    <w:widowControl/>
                    <w:spacing w:before="191" w:line="272" w:lineRule="exact"/>
                    <w:ind w:left="110" w:right="62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 xml:space="preserve">název: </w:t>
                  </w:r>
                  <w:r>
                    <w:rPr>
                      <w:rStyle w:val="FontStyle19"/>
                    </w:rPr>
                    <w:t xml:space="preserve">Stavební bytové družstvo Plzeň-jih se sídlem v Přešticích </w:t>
                  </w:r>
                  <w:r>
                    <w:rPr>
                      <w:rStyle w:val="FontStyle21"/>
                    </w:rPr>
                    <w:t>- jako vlastník nemovitosti sídlo: Hlávkova 23. 334 01 Přeštice</w:t>
                  </w:r>
                </w:p>
                <w:p w:rsidR="00895323" w:rsidRDefault="002E2394">
                  <w:pPr>
                    <w:pStyle w:val="Style3"/>
                    <w:widowControl/>
                    <w:spacing w:line="272" w:lineRule="exact"/>
                    <w:ind w:left="100" w:right="1831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zápis v obch. rejstříku: Krajský soud v Plzni, oddíl Dr XXV, vložka č.31 zastoupené : p.Jaroslavem Majerem, předsedou představenstva</w:t>
                  </w:r>
                </w:p>
                <w:p w:rsidR="00895323" w:rsidRDefault="002E2394">
                  <w:pPr>
                    <w:pStyle w:val="Style4"/>
                    <w:widowControl/>
                    <w:spacing w:line="272" w:lineRule="exact"/>
                    <w:ind w:left="81" w:right="3662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 xml:space="preserve">ing. Petrem Prokopem, člen představenstva IČ: 000040738 DIČ: CZ-00040738 bankovní spojení: ČSOB a.s. Plzeň číslo účtu: </w:t>
                  </w:r>
                  <w:r w:rsidR="006E210C">
                    <w:rPr>
                      <w:rStyle w:val="FontStyle21"/>
                    </w:rPr>
                    <w:t>xxxxxx</w:t>
                  </w:r>
                  <w:r>
                    <w:rPr>
                      <w:rStyle w:val="FontStyle21"/>
                    </w:rPr>
                    <w:t>/</w:t>
                  </w:r>
                  <w:r w:rsidR="006E210C">
                    <w:rPr>
                      <w:rStyle w:val="FontStyle21"/>
                    </w:rPr>
                    <w:t>xxxx</w:t>
                  </w:r>
                </w:p>
                <w:p w:rsidR="00895323" w:rsidRDefault="002E2394">
                  <w:pPr>
                    <w:pStyle w:val="Style8"/>
                    <w:widowControl/>
                    <w:spacing w:before="67" w:line="544" w:lineRule="exact"/>
                    <w:ind w:left="86"/>
                    <w:jc w:val="left"/>
                    <w:rPr>
                      <w:rStyle w:val="FontStyle19"/>
                    </w:rPr>
                  </w:pPr>
                  <w:r>
                    <w:rPr>
                      <w:rStyle w:val="FontStyle19"/>
                    </w:rPr>
                    <w:t>dále jen "pronajímatel"</w:t>
                  </w:r>
                </w:p>
                <w:p w:rsidR="00895323" w:rsidRDefault="002E2394">
                  <w:pPr>
                    <w:pStyle w:val="Style6"/>
                    <w:widowControl/>
                    <w:spacing w:line="544" w:lineRule="exact"/>
                    <w:ind w:left="76"/>
                    <w:rPr>
                      <w:rStyle w:val="FontStyle20"/>
                    </w:rPr>
                  </w:pPr>
                  <w:r>
                    <w:rPr>
                      <w:rStyle w:val="FontStyle20"/>
                    </w:rPr>
                    <w:t>a</w:t>
                  </w:r>
                </w:p>
                <w:p w:rsidR="00895323" w:rsidRDefault="002E2394">
                  <w:pPr>
                    <w:pStyle w:val="Style8"/>
                    <w:widowControl/>
                    <w:spacing w:line="544" w:lineRule="exact"/>
                    <w:ind w:left="67"/>
                    <w:jc w:val="left"/>
                    <w:rPr>
                      <w:rStyle w:val="FontStyle19"/>
                    </w:rPr>
                  </w:pPr>
                  <w:r>
                    <w:rPr>
                      <w:rStyle w:val="FontStyle21"/>
                    </w:rPr>
                    <w:t xml:space="preserve">název: </w:t>
                  </w:r>
                  <w:r>
                    <w:rPr>
                      <w:rStyle w:val="FontStyle19"/>
                    </w:rPr>
                    <w:t>Lastura s.r.o.</w:t>
                  </w:r>
                </w:p>
                <w:p w:rsidR="00895323" w:rsidRDefault="002E2394">
                  <w:pPr>
                    <w:pStyle w:val="Style3"/>
                    <w:widowControl/>
                    <w:ind w:left="67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sídlo: Tachovská 85, 323 00 Plzeň - Bolevec</w:t>
                  </w:r>
                </w:p>
                <w:p w:rsidR="00895323" w:rsidRDefault="002E2394">
                  <w:pPr>
                    <w:pStyle w:val="Style3"/>
                    <w:widowControl/>
                    <w:ind w:left="67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zápis v obch. rejstříku: Krajský soudu v Plzni, oddíl C, vložka č.22706</w:t>
                  </w:r>
                </w:p>
                <w:p w:rsidR="00895323" w:rsidRDefault="002E2394">
                  <w:pPr>
                    <w:pStyle w:val="Style3"/>
                    <w:widowControl/>
                    <w:ind w:left="62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zastoupená: ing. Jiřím Lexou, jednatelem</w:t>
                  </w:r>
                </w:p>
                <w:p w:rsidR="00895323" w:rsidRDefault="002E2394">
                  <w:pPr>
                    <w:pStyle w:val="Style3"/>
                    <w:widowControl/>
                    <w:ind w:left="62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IČ:    280 47 184</w:t>
                  </w:r>
                </w:p>
                <w:p w:rsidR="00895323" w:rsidRDefault="002E2394">
                  <w:pPr>
                    <w:pStyle w:val="Style3"/>
                    <w:widowControl/>
                    <w:ind w:left="62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DIČ : CZ 28047184</w:t>
                  </w:r>
                </w:p>
                <w:p w:rsidR="00895323" w:rsidRDefault="002E2394">
                  <w:pPr>
                    <w:pStyle w:val="Style3"/>
                    <w:widowControl/>
                    <w:ind w:left="67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bankovní spojení: ČSOB</w:t>
                  </w:r>
                </w:p>
                <w:p w:rsidR="00895323" w:rsidRDefault="002E2394">
                  <w:pPr>
                    <w:pStyle w:val="Style3"/>
                    <w:widowControl/>
                    <w:ind w:left="57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 xml:space="preserve">číslo účtu: </w:t>
                  </w:r>
                  <w:r w:rsidR="006E210C">
                    <w:rPr>
                      <w:rStyle w:val="FontStyle21"/>
                    </w:rPr>
                    <w:t>xxxxxxxxx</w:t>
                  </w:r>
                  <w:r>
                    <w:rPr>
                      <w:rStyle w:val="FontStyle21"/>
                    </w:rPr>
                    <w:t>/</w:t>
                  </w:r>
                  <w:r w:rsidR="006E210C">
                    <w:rPr>
                      <w:rStyle w:val="FontStyle21"/>
                    </w:rPr>
                    <w:t>xxxx</w:t>
                  </w:r>
                </w:p>
                <w:p w:rsidR="00895323" w:rsidRDefault="00895323">
                  <w:pPr>
                    <w:pStyle w:val="Style8"/>
                    <w:widowControl/>
                    <w:spacing w:line="240" w:lineRule="exact"/>
                    <w:ind w:left="57"/>
                    <w:jc w:val="left"/>
                    <w:rPr>
                      <w:sz w:val="20"/>
                      <w:szCs w:val="20"/>
                    </w:rPr>
                  </w:pPr>
                </w:p>
                <w:p w:rsidR="00895323" w:rsidRDefault="002E2394">
                  <w:pPr>
                    <w:pStyle w:val="Style8"/>
                    <w:widowControl/>
                    <w:spacing w:before="79"/>
                    <w:ind w:left="57"/>
                    <w:jc w:val="left"/>
                    <w:rPr>
                      <w:rStyle w:val="FontStyle19"/>
                    </w:rPr>
                  </w:pPr>
                  <w:r>
                    <w:rPr>
                      <w:rStyle w:val="FontStyle19"/>
                    </w:rPr>
                    <w:t>dále jen "nájemce"</w:t>
                  </w:r>
                </w:p>
                <w:p w:rsidR="00895323" w:rsidRDefault="00895323">
                  <w:pPr>
                    <w:pStyle w:val="Style3"/>
                    <w:widowControl/>
                    <w:spacing w:line="240" w:lineRule="exact"/>
                    <w:ind w:left="52"/>
                    <w:rPr>
                      <w:sz w:val="20"/>
                      <w:szCs w:val="20"/>
                    </w:rPr>
                  </w:pPr>
                </w:p>
                <w:p w:rsidR="00895323" w:rsidRDefault="002E2394">
                  <w:pPr>
                    <w:pStyle w:val="Style3"/>
                    <w:widowControl/>
                    <w:spacing w:before="32"/>
                    <w:ind w:left="52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uzavřeli dne 27. 2. 2009 v souladu se zákonem č. 440/2005 Sb.o nájmu a podnájmu nebytových prostor tuto smlouvu o nájmu nebytových prostor ve vlastnictví pronajímatele.</w:t>
                  </w:r>
                </w:p>
                <w:p w:rsidR="00895323" w:rsidRDefault="00895323">
                  <w:pPr>
                    <w:pStyle w:val="Style8"/>
                    <w:widowControl/>
                    <w:spacing w:line="240" w:lineRule="exact"/>
                    <w:ind w:left="4773"/>
                    <w:jc w:val="left"/>
                    <w:rPr>
                      <w:sz w:val="20"/>
                      <w:szCs w:val="20"/>
                    </w:rPr>
                  </w:pPr>
                </w:p>
                <w:p w:rsidR="00895323" w:rsidRDefault="00895323">
                  <w:pPr>
                    <w:pStyle w:val="Style8"/>
                    <w:widowControl/>
                    <w:spacing w:line="240" w:lineRule="exact"/>
                    <w:ind w:left="4773"/>
                    <w:jc w:val="left"/>
                    <w:rPr>
                      <w:sz w:val="20"/>
                      <w:szCs w:val="20"/>
                    </w:rPr>
                  </w:pPr>
                </w:p>
                <w:p w:rsidR="00895323" w:rsidRDefault="002E2394">
                  <w:pPr>
                    <w:pStyle w:val="Style8"/>
                    <w:widowControl/>
                    <w:spacing w:before="78" w:line="277" w:lineRule="exact"/>
                    <w:ind w:left="4773"/>
                    <w:jc w:val="left"/>
                    <w:rPr>
                      <w:rStyle w:val="FontStyle19"/>
                    </w:rPr>
                  </w:pPr>
                  <w:r>
                    <w:rPr>
                      <w:rStyle w:val="FontStyle19"/>
                    </w:rPr>
                    <w:t>ČI. 1</w:t>
                  </w:r>
                </w:p>
                <w:p w:rsidR="00895323" w:rsidRDefault="002E2394">
                  <w:pPr>
                    <w:pStyle w:val="Style8"/>
                    <w:widowControl/>
                    <w:spacing w:line="277" w:lineRule="exact"/>
                    <w:ind w:left="3881"/>
                    <w:jc w:val="left"/>
                    <w:rPr>
                      <w:rStyle w:val="FontStyle19"/>
                      <w:u w:val="single"/>
                    </w:rPr>
                  </w:pPr>
                  <w:r>
                    <w:rPr>
                      <w:rStyle w:val="FontStyle19"/>
                      <w:u w:val="single"/>
                    </w:rPr>
                    <w:t>Předmět a účel nájmu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1"/>
                    </w:numPr>
                    <w:tabs>
                      <w:tab w:val="left" w:pos="586"/>
                    </w:tabs>
                    <w:ind w:left="586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Pronajímatel pronajímá nájemci v Hlávkově ul.. č.p. 22 podle §3 zákona 440/2005 Sb. nebytový prostor o celkové výměře 76 m".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1"/>
                    </w:numPr>
                    <w:tabs>
                      <w:tab w:val="left" w:pos="586"/>
                    </w:tabs>
                    <w:ind w:left="57" w:firstLine="0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Účelem nájmu    provozovna relaxačního centra se solnou jeskyní.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1"/>
                    </w:numPr>
                    <w:tabs>
                      <w:tab w:val="left" w:pos="586"/>
                    </w:tabs>
                    <w:ind w:left="586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Nájemce je   oprávněn po   předchozím písemném souhlasu pronajímatele pronajatý nebytový prostor dále pronajímat.</w:t>
                  </w:r>
                </w:p>
                <w:p w:rsidR="00895323" w:rsidRDefault="00895323">
                  <w:pPr>
                    <w:pStyle w:val="Style8"/>
                    <w:widowControl/>
                    <w:spacing w:line="240" w:lineRule="exact"/>
                    <w:ind w:left="4749"/>
                    <w:jc w:val="left"/>
                    <w:rPr>
                      <w:sz w:val="20"/>
                      <w:szCs w:val="20"/>
                    </w:rPr>
                  </w:pPr>
                </w:p>
                <w:p w:rsidR="00895323" w:rsidRDefault="002E2394">
                  <w:pPr>
                    <w:pStyle w:val="Style8"/>
                    <w:widowControl/>
                    <w:spacing w:before="41" w:line="272" w:lineRule="exact"/>
                    <w:ind w:left="4749"/>
                    <w:jc w:val="left"/>
                    <w:rPr>
                      <w:rStyle w:val="FontStyle19"/>
                    </w:rPr>
                  </w:pPr>
                  <w:r>
                    <w:rPr>
                      <w:rStyle w:val="FontStyle19"/>
                    </w:rPr>
                    <w:t>ČI. 2</w:t>
                  </w:r>
                </w:p>
                <w:p w:rsidR="00895323" w:rsidRDefault="002E2394">
                  <w:pPr>
                    <w:pStyle w:val="Style8"/>
                    <w:widowControl/>
                    <w:spacing w:line="272" w:lineRule="exact"/>
                    <w:ind w:left="4525"/>
                    <w:jc w:val="left"/>
                    <w:rPr>
                      <w:rStyle w:val="FontStyle19"/>
                      <w:u w:val="single"/>
                    </w:rPr>
                  </w:pPr>
                  <w:r>
                    <w:rPr>
                      <w:rStyle w:val="FontStyle19"/>
                      <w:u w:val="single"/>
                    </w:rPr>
                    <w:t>Nájemné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2"/>
                    </w:numPr>
                    <w:tabs>
                      <w:tab w:val="left" w:pos="553"/>
                    </w:tabs>
                    <w:spacing w:line="272" w:lineRule="exact"/>
                    <w:ind w:firstLine="0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Nájemné činí:</w:t>
                  </w:r>
                </w:p>
                <w:p w:rsidR="00895323" w:rsidRDefault="002E2394">
                  <w:pPr>
                    <w:pStyle w:val="Style7"/>
                    <w:widowControl/>
                    <w:ind w:left="3800"/>
                    <w:rPr>
                      <w:rStyle w:val="FontStyle20"/>
                    </w:rPr>
                  </w:pPr>
                  <w:r>
                    <w:rPr>
                      <w:rStyle w:val="FontStyle20"/>
                    </w:rPr>
                    <w:t>2</w:t>
                  </w:r>
                </w:p>
                <w:p w:rsidR="00895323" w:rsidRDefault="002E2394">
                  <w:pPr>
                    <w:pStyle w:val="Style5"/>
                    <w:widowControl/>
                    <w:spacing w:line="272" w:lineRule="exact"/>
                    <w:ind w:left="572"/>
                    <w:rPr>
                      <w:rStyle w:val="FontStyle21"/>
                    </w:rPr>
                  </w:pPr>
                  <w:r>
                    <w:rPr>
                      <w:rStyle w:val="FontStyle19"/>
                    </w:rPr>
                    <w:t xml:space="preserve">Ročně za celkovou plochu 76 m : 75.000,- Kč </w:t>
                  </w:r>
                  <w:r>
                    <w:rPr>
                      <w:rStyle w:val="FontStyle21"/>
                    </w:rPr>
                    <w:t>slovy: sedmdesát pět tisíc Kč. Nájemce uhradí nájemné ve čtvrtletních splátkách, ve vyši 18.750,— Kč a to vždy nejpozději do 15. dne prvého měsíce čtvrtletí na účet SBD Plzeň-jih u ČSOB a.s. Plzeň č.ú.</w:t>
                  </w:r>
                  <w:r w:rsidR="006E210C">
                    <w:rPr>
                      <w:rStyle w:val="FontStyle21"/>
                    </w:rPr>
                    <w:t>xxxxxx</w:t>
                  </w:r>
                  <w:r>
                    <w:rPr>
                      <w:rStyle w:val="FontStyle21"/>
                    </w:rPr>
                    <w:t>/</w:t>
                  </w:r>
                  <w:r w:rsidR="006E210C">
                    <w:rPr>
                      <w:rStyle w:val="FontStyle21"/>
                    </w:rPr>
                    <w:t>xxxx</w:t>
                  </w:r>
                  <w:r>
                    <w:rPr>
                      <w:rStyle w:val="FontStyle21"/>
                    </w:rPr>
                    <w:t xml:space="preserve"> (VS 60240). nebo v hotovosti do pokladny družstva (po předchozí dohodě s pokladní družstva).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3"/>
                    </w:numPr>
                    <w:tabs>
                      <w:tab w:val="left" w:pos="553"/>
                    </w:tabs>
                    <w:spacing w:line="272" w:lineRule="exact"/>
                    <w:ind w:firstLine="0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Nájemné bude hrazeno ode dne účinnosti této smlouvy (jako poměrná část čtvrtletí).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3"/>
                    </w:numPr>
                    <w:tabs>
                      <w:tab w:val="left" w:pos="553"/>
                    </w:tabs>
                    <w:spacing w:line="272" w:lineRule="exact"/>
                    <w:ind w:left="553" w:hanging="553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Výše nájemného nezahrnuje dodávky energií a stočného (nájemce uzavře smlouvy o dodávce energii s dodavateli na své jméno).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3"/>
                    </w:numPr>
                    <w:tabs>
                      <w:tab w:val="left" w:pos="553"/>
                    </w:tabs>
                    <w:spacing w:before="5" w:line="272" w:lineRule="exact"/>
                    <w:ind w:left="553" w:hanging="553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Nájemce bere na vědomí svoji povinnost uhradit pronajímateli smluvní pokutu ve výši 0,5% z výše nezaplaceného nájmu a služeb za každý den prodlení.</w:t>
                  </w:r>
                </w:p>
              </w:txbxContent>
            </v:textbox>
            <w10:wrap type="topAndBottom" anchorx="page" anchory="page"/>
          </v:shape>
        </w:pict>
      </w:r>
    </w:p>
    <w:p w:rsidR="00895323" w:rsidRDefault="00895323">
      <w:pPr>
        <w:sectPr w:rsidR="00895323">
          <w:type w:val="continuous"/>
          <w:pgSz w:w="16837" w:h="23810"/>
          <w:pgMar w:top="4236" w:right="3981" w:bottom="1440" w:left="3471" w:header="708" w:footer="708" w:gutter="0"/>
          <w:cols w:space="708"/>
          <w:noEndnote/>
        </w:sectPr>
      </w:pPr>
    </w:p>
    <w:p w:rsidR="00895323" w:rsidRDefault="00895323">
      <w:pPr>
        <w:widowControl/>
        <w:spacing w:line="1" w:lineRule="exact"/>
        <w:rPr>
          <w:sz w:val="2"/>
          <w:szCs w:val="2"/>
        </w:rPr>
      </w:pPr>
      <w:r w:rsidRPr="00895323">
        <w:rPr>
          <w:noProof/>
        </w:rPr>
        <w:lastRenderedPageBreak/>
        <w:pict>
          <v:shape id="_x0000_s1028" type="#_x0000_t202" style="position:absolute;margin-left:181.2pt;margin-top:236.35pt;width:470.15pt;height:772.9pt;z-index:3;mso-wrap-edited:f;mso-wrap-distance-left:7in;mso-wrap-distance-right:7in;mso-position-horizontal-relative:page;mso-position-vertical-relative:page" filled="f" stroked="f">
            <v:textbox inset="0,0,0,0">
              <w:txbxContent>
                <w:p w:rsidR="00895323" w:rsidRDefault="002E2394">
                  <w:pPr>
                    <w:pStyle w:val="Style8"/>
                    <w:widowControl/>
                    <w:spacing w:line="272" w:lineRule="exact"/>
                    <w:ind w:left="4186" w:right="3977"/>
                    <w:rPr>
                      <w:rStyle w:val="FontStyle19"/>
                      <w:u w:val="single"/>
                    </w:rPr>
                  </w:pPr>
                  <w:r>
                    <w:rPr>
                      <w:rStyle w:val="FontStyle19"/>
                    </w:rPr>
                    <w:t xml:space="preserve">ČI. 3 </w:t>
                  </w:r>
                  <w:r>
                    <w:rPr>
                      <w:rStyle w:val="FontStyle19"/>
                      <w:u w:val="single"/>
                    </w:rPr>
                    <w:t>Doba nájmu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4"/>
                    </w:numPr>
                    <w:tabs>
                      <w:tab w:val="left" w:pos="644"/>
                    </w:tabs>
                    <w:spacing w:line="272" w:lineRule="exact"/>
                    <w:ind w:left="644" w:hanging="544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Nájemní poměr se uzavírá na dobu určitou a to na dobu 15 let, ode dne účinnosti smlouvy do 1.3.2024.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4"/>
                    </w:numPr>
                    <w:tabs>
                      <w:tab w:val="left" w:pos="644"/>
                    </w:tabs>
                    <w:spacing w:line="272" w:lineRule="exact"/>
                    <w:ind w:left="644" w:right="10" w:hanging="544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Po uplynutí sjednané doby se tato smlouva za týchž podmínek, za jakých byla původně sjednána obnovuje, pokud jedna ze stran písemné předem neupozorní druhou stranu, že trvá na jejím ukončen</w:t>
                  </w:r>
                  <w:r w:rsidR="006E210C">
                    <w:rPr>
                      <w:rStyle w:val="FontStyle21"/>
                    </w:rPr>
                    <w:t>í</w:t>
                  </w:r>
                  <w:r>
                    <w:rPr>
                      <w:rStyle w:val="FontStyle21"/>
                    </w:rPr>
                    <w:t xml:space="preserve"> ve sjednaném termínu. Obě strany se pro tento případ dohodly na výpovědní lhůtě 6 měsíců.</w:t>
                  </w:r>
                </w:p>
                <w:p w:rsidR="00895323" w:rsidRDefault="00895323">
                  <w:pPr>
                    <w:pStyle w:val="Style8"/>
                    <w:widowControl/>
                    <w:spacing w:line="240" w:lineRule="exact"/>
                    <w:ind w:left="33"/>
                    <w:rPr>
                      <w:sz w:val="20"/>
                      <w:szCs w:val="20"/>
                    </w:rPr>
                  </w:pPr>
                </w:p>
                <w:p w:rsidR="00895323" w:rsidRDefault="002E2394">
                  <w:pPr>
                    <w:pStyle w:val="Style8"/>
                    <w:widowControl/>
                    <w:spacing w:before="37" w:line="272" w:lineRule="exact"/>
                    <w:ind w:left="33"/>
                    <w:rPr>
                      <w:rStyle w:val="FontStyle19"/>
                    </w:rPr>
                  </w:pPr>
                  <w:r>
                    <w:rPr>
                      <w:rStyle w:val="FontStyle19"/>
                    </w:rPr>
                    <w:t>ČI. 4</w:t>
                  </w:r>
                </w:p>
                <w:p w:rsidR="00895323" w:rsidRDefault="002E2394">
                  <w:pPr>
                    <w:pStyle w:val="Style8"/>
                    <w:widowControl/>
                    <w:spacing w:line="272" w:lineRule="exact"/>
                    <w:ind w:left="29"/>
                    <w:rPr>
                      <w:rStyle w:val="FontStyle19"/>
                      <w:u w:val="single"/>
                    </w:rPr>
                  </w:pPr>
                  <w:r>
                    <w:rPr>
                      <w:rStyle w:val="FontStyle19"/>
                      <w:u w:val="single"/>
                    </w:rPr>
                    <w:t>Všeobecná ustanovení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5"/>
                    </w:numPr>
                    <w:tabs>
                      <w:tab w:val="left" w:pos="525"/>
                    </w:tabs>
                    <w:spacing w:line="272" w:lineRule="exact"/>
                    <w:ind w:left="525" w:right="29" w:hanging="491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Nájemce prohlašuje, že mu bylo umožněno prohlédnout si pronajímané prostory a je mu tímto znám stav těchto prostor.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5"/>
                    </w:numPr>
                    <w:tabs>
                      <w:tab w:val="left" w:pos="525"/>
                    </w:tabs>
                    <w:spacing w:before="5" w:line="272" w:lineRule="exact"/>
                    <w:ind w:left="525" w:right="33" w:hanging="491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Po skončení nájmu je nájemce povinen předat prostory pronajímateli vyklizené a ve stavu s přihlédnutím k obvyklému opotřebení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5"/>
                    </w:numPr>
                    <w:tabs>
                      <w:tab w:val="left" w:pos="525"/>
                    </w:tabs>
                    <w:spacing w:line="272" w:lineRule="exact"/>
                    <w:ind w:left="525" w:right="29" w:hanging="491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Nájemce zajisti na svůj náklad stavební úpravy potřebné pro účel užívání předmětu nájmu dle projektové dokumentace schválené pronajímatelem.</w:t>
                  </w:r>
                </w:p>
                <w:p w:rsidR="00895323" w:rsidRDefault="002E2394">
                  <w:pPr>
                    <w:pStyle w:val="Style3"/>
                    <w:widowControl/>
                    <w:spacing w:line="272" w:lineRule="exact"/>
                    <w:ind w:left="620" w:right="43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Nájemce zajistí projednání těchto stavebních úprav, včetně změny užívání pronajatého prostoru se stavebním úřadem na svůj náklad.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6"/>
                    </w:numPr>
                    <w:tabs>
                      <w:tab w:val="left" w:pos="525"/>
                    </w:tabs>
                    <w:spacing w:line="272" w:lineRule="exact"/>
                    <w:ind w:left="525" w:right="48" w:hanging="491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Nájemce je povinen provádět opravy nebytového prostoru, jejichž potřeba vznikne zaviněním nájemce.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6"/>
                    </w:numPr>
                    <w:tabs>
                      <w:tab w:val="left" w:pos="525"/>
                    </w:tabs>
                    <w:spacing w:before="5" w:line="272" w:lineRule="exact"/>
                    <w:ind w:left="525" w:right="43" w:hanging="491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Pokud opravy či úpravy v pronajatých prostorách z důvodu vzniklých na straně pronajímatele prokazatelně omezí či znemožní činnost nájemce v těchto prostorách, má nájemce právo na přiměřenou slevu z nájemného.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6"/>
                    </w:numPr>
                    <w:tabs>
                      <w:tab w:val="left" w:pos="525"/>
                    </w:tabs>
                    <w:spacing w:line="272" w:lineRule="exact"/>
                    <w:ind w:left="525" w:right="48" w:hanging="491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Nájemce bere na vědomí, že pro stavební úpravy či opravy je nutný předchozí písemný souhlas pronajímatele. V souvislosti s těmito úpravami či opravami bude mezi smluvními stranami uzavřena písemná dohoda, zejména o poměru finančního zatížení obou smluvních stran.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6"/>
                    </w:numPr>
                    <w:tabs>
                      <w:tab w:val="left" w:pos="525"/>
                    </w:tabs>
                    <w:spacing w:line="272" w:lineRule="exact"/>
                    <w:ind w:left="525" w:right="62" w:hanging="491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Nájemce souhlasí s tím, že nemá vůči pronajímateli nárok na úhradu vynaložených finančních nákladů na stavební úpravy a opravy pronajatých prostor, a to ani po zániku nájmu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6"/>
                    </w:numPr>
                    <w:tabs>
                      <w:tab w:val="left" w:pos="525"/>
                    </w:tabs>
                    <w:spacing w:line="272" w:lineRule="exact"/>
                    <w:ind w:left="525" w:right="72" w:hanging="491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Pronajímatel souhlasí s odepisováním technického zhodnocení stavebních úprav dle článku III. Dohody o ukončení nájemní smlouvy uzavřené mezi Stavebním bytovým družstvem Plzeň-jih a Alexandrem Procházkou na straně nájemce.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6"/>
                    </w:numPr>
                    <w:tabs>
                      <w:tab w:val="left" w:pos="525"/>
                    </w:tabs>
                    <w:spacing w:line="272" w:lineRule="exact"/>
                    <w:ind w:left="525" w:right="76" w:hanging="491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Pronajimatel prohlašuje, že předmětné prostory jsou pojištěné v rámci pojistky celé nemovitosti (kromě vybavení a zařízení nájemce).</w:t>
                  </w:r>
                </w:p>
                <w:p w:rsidR="00895323" w:rsidRDefault="002E2394">
                  <w:pPr>
                    <w:pStyle w:val="Style13"/>
                    <w:widowControl/>
                    <w:spacing w:line="272" w:lineRule="exact"/>
                    <w:ind w:left="577" w:right="76"/>
                    <w:jc w:val="both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4.Í0. Nájemce je povinen v pronajatých prostorách dodržovat obecně závazné předpisy (např. požární ochrany a bezpečnosti apod.) a v pronajatých prostorách nebude skladovat nebezpečné látky a ani nebude svým provozem ohrožovat okolí.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7"/>
                    </w:numPr>
                    <w:tabs>
                      <w:tab w:val="left" w:pos="544"/>
                    </w:tabs>
                    <w:spacing w:line="272" w:lineRule="exact"/>
                    <w:ind w:left="5" w:firstLine="0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Nájemce je povinen zpřístupnit nebytový prostor pronajímateli ke kontrole jeho stavu.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7"/>
                    </w:numPr>
                    <w:tabs>
                      <w:tab w:val="left" w:pos="544"/>
                    </w:tabs>
                    <w:spacing w:line="272" w:lineRule="exact"/>
                    <w:ind w:left="5" w:firstLine="0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Za bezpečnost práce a požární ochranu v pronajatých prostorách odpovídá nájemce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7"/>
                    </w:numPr>
                    <w:tabs>
                      <w:tab w:val="left" w:pos="544"/>
                    </w:tabs>
                    <w:spacing w:line="272" w:lineRule="exact"/>
                    <w:ind w:left="5" w:firstLine="0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Revize a prohlídky vyhrazených zařízení zajišťuje pronajímatel (plyn , elektroinstalace).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7"/>
                    </w:numPr>
                    <w:tabs>
                      <w:tab w:val="left" w:pos="544"/>
                    </w:tabs>
                    <w:ind w:left="544" w:right="100" w:hanging="539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Smluvní strany se dohodly, že práva a povinnosti z této smlouvy přecházejí i na právní nástupce smluvních stran.</w:t>
                  </w:r>
                </w:p>
                <w:p w:rsidR="00895323" w:rsidRDefault="00895323">
                  <w:pPr>
                    <w:pStyle w:val="Style10"/>
                    <w:widowControl/>
                    <w:spacing w:line="240" w:lineRule="exact"/>
                    <w:ind w:left="4177" w:right="3509"/>
                    <w:rPr>
                      <w:sz w:val="20"/>
                      <w:szCs w:val="20"/>
                    </w:rPr>
                  </w:pPr>
                </w:p>
                <w:p w:rsidR="00895323" w:rsidRDefault="002E2394">
                  <w:pPr>
                    <w:pStyle w:val="Style10"/>
                    <w:widowControl/>
                    <w:spacing w:before="32"/>
                    <w:ind w:left="4177" w:right="3509"/>
                    <w:rPr>
                      <w:rStyle w:val="FontStyle19"/>
                      <w:u w:val="single"/>
                    </w:rPr>
                  </w:pPr>
                  <w:r>
                    <w:rPr>
                      <w:rStyle w:val="FontStyle19"/>
                    </w:rPr>
                    <w:t xml:space="preserve">ČI. 5 </w:t>
                  </w:r>
                  <w:r>
                    <w:rPr>
                      <w:rStyle w:val="FontStyle19"/>
                      <w:u w:val="single"/>
                    </w:rPr>
                    <w:t>Zánik nájmu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8"/>
                    </w:numPr>
                    <w:tabs>
                      <w:tab w:val="left" w:pos="548"/>
                    </w:tabs>
                    <w:spacing w:line="272" w:lineRule="exact"/>
                    <w:ind w:firstLine="0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Nájemní poměr dále zaniká kromě doby určité (tj. ke dni 1.3. 2024) :</w:t>
                  </w:r>
                </w:p>
                <w:p w:rsidR="00895323" w:rsidRDefault="00895323">
                  <w:pPr>
                    <w:widowControl/>
                    <w:rPr>
                      <w:sz w:val="2"/>
                      <w:szCs w:val="2"/>
                    </w:rPr>
                  </w:pPr>
                </w:p>
                <w:p w:rsidR="00895323" w:rsidRDefault="002E2394" w:rsidP="001C2036">
                  <w:pPr>
                    <w:pStyle w:val="Style14"/>
                    <w:widowControl/>
                    <w:numPr>
                      <w:ilvl w:val="0"/>
                      <w:numId w:val="9"/>
                    </w:numPr>
                    <w:tabs>
                      <w:tab w:val="left" w:pos="687"/>
                    </w:tabs>
                    <w:spacing w:line="272" w:lineRule="exact"/>
                    <w:ind w:left="548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písemnou dohodou nebo</w:t>
                  </w:r>
                </w:p>
                <w:p w:rsidR="00895323" w:rsidRDefault="002E2394" w:rsidP="001C2036">
                  <w:pPr>
                    <w:pStyle w:val="Style14"/>
                    <w:widowControl/>
                    <w:numPr>
                      <w:ilvl w:val="0"/>
                      <w:numId w:val="9"/>
                    </w:numPr>
                    <w:tabs>
                      <w:tab w:val="left" w:pos="687"/>
                    </w:tabs>
                    <w:spacing w:line="272" w:lineRule="exact"/>
                    <w:ind w:left="548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písemnou vypovědí dle zákona č 440/05Sb. o nájmu a podnájmu nebytových prostor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10"/>
                    </w:numPr>
                    <w:tabs>
                      <w:tab w:val="left" w:pos="548"/>
                    </w:tabs>
                    <w:spacing w:line="272" w:lineRule="exact"/>
                    <w:ind w:left="548" w:right="105" w:hanging="548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Smluvní strany sjednávají ve smyslu ustanovení § 36 odst.(2) občanského zákoníku rozvazovací podmínku této smlouvy, kterou je nezaplacení splátky nájemného stanovených v čl. 2 nájemcem. Nezaplatí-li nájemce splátku nájemného nejpozději do posledního dne měsíce, v némž je povinen splátku nájemného zaplatit, pozbude tato smlouva účinnosti a nájemní poměr končí prvním dnem následujícího kalendářního</w:t>
                  </w:r>
                </w:p>
              </w:txbxContent>
            </v:textbox>
            <w10:wrap type="topAndBottom" anchorx="page" anchory="page"/>
          </v:shape>
        </w:pict>
      </w:r>
    </w:p>
    <w:p w:rsidR="00895323" w:rsidRDefault="00895323">
      <w:pPr>
        <w:sectPr w:rsidR="00895323">
          <w:pgSz w:w="16837" w:h="23810"/>
          <w:pgMar w:top="4727" w:right="3810" w:bottom="1440" w:left="3624" w:header="708" w:footer="708" w:gutter="0"/>
          <w:cols w:space="708"/>
          <w:noEndnote/>
        </w:sectPr>
      </w:pPr>
    </w:p>
    <w:p w:rsidR="00895323" w:rsidRDefault="00895323">
      <w:pPr>
        <w:widowControl/>
        <w:spacing w:line="1" w:lineRule="exact"/>
        <w:rPr>
          <w:sz w:val="2"/>
          <w:szCs w:val="2"/>
        </w:rPr>
      </w:pPr>
      <w:r w:rsidRPr="00895323">
        <w:rPr>
          <w:noProof/>
        </w:rPr>
        <w:lastRenderedPageBreak/>
        <w:pict>
          <v:shape id="_x0000_s1029" type="#_x0000_t202" style="position:absolute;margin-left:207.9pt;margin-top:172.35pt;width:34pt;height:11.5pt;z-index:4;mso-wrap-edited:f;mso-wrap-distance-left:7in;mso-wrap-distance-right:7in;mso-position-horizontal-relative:page;mso-position-vertical-relative:page" filled="f" stroked="f">
            <v:textbox inset="0,0,0,0">
              <w:txbxContent>
                <w:p w:rsidR="00895323" w:rsidRDefault="002E2394">
                  <w:pPr>
                    <w:pStyle w:val="Style11"/>
                    <w:widowControl/>
                    <w:spacing w:line="240" w:lineRule="auto"/>
                    <w:ind w:firstLine="0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měsíce.</w:t>
                  </w:r>
                </w:p>
              </w:txbxContent>
            </v:textbox>
            <w10:wrap type="topAndBottom" anchorx="page" anchory="page"/>
          </v:shape>
        </w:pict>
      </w:r>
      <w:r w:rsidRPr="00895323">
        <w:rPr>
          <w:noProof/>
        </w:rPr>
        <w:pict>
          <v:shape id="_x0000_s1030" type="#_x0000_t202" style="position:absolute;margin-left:177.8pt;margin-top:183.6pt;width:468.1pt;height:234.9pt;z-index:5;mso-wrap-edited:f;mso-wrap-distance-left:7in;mso-wrap-distance-right:7in;mso-wrap-distance-bottom:13.85pt;mso-position-horizontal-relative:page;mso-position-vertical-relative:page" filled="f" stroked="f">
            <v:textbox inset="0,0,0,0">
              <w:txbxContent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11"/>
                    </w:numPr>
                    <w:tabs>
                      <w:tab w:val="left" w:pos="521"/>
                    </w:tabs>
                    <w:spacing w:line="273" w:lineRule="exact"/>
                    <w:ind w:left="521" w:hanging="521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Pronajímatel může také okamžitě vypovědět smlouvu při hrubém porušení této smlouvy nebo zákona č.440/2005 Sb. a to zejména v případech, kdy :</w:t>
                  </w:r>
                </w:p>
                <w:p w:rsidR="00895323" w:rsidRDefault="00895323">
                  <w:pPr>
                    <w:widowControl/>
                    <w:rPr>
                      <w:sz w:val="2"/>
                      <w:szCs w:val="2"/>
                    </w:rPr>
                  </w:pPr>
                </w:p>
                <w:p w:rsidR="00895323" w:rsidRDefault="002E2394" w:rsidP="001C2036">
                  <w:pPr>
                    <w:pStyle w:val="Style2"/>
                    <w:widowControl/>
                    <w:numPr>
                      <w:ilvl w:val="0"/>
                      <w:numId w:val="12"/>
                    </w:numPr>
                    <w:tabs>
                      <w:tab w:val="left" w:pos="1009"/>
                    </w:tabs>
                    <w:spacing w:line="273" w:lineRule="exact"/>
                    <w:ind w:left="598" w:firstLine="0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nájemce užívá nebytový prostor v rozporu se smlouvou</w:t>
                  </w:r>
                </w:p>
                <w:p w:rsidR="00895323" w:rsidRDefault="002E2394" w:rsidP="001C2036">
                  <w:pPr>
                    <w:pStyle w:val="Style2"/>
                    <w:widowControl/>
                    <w:numPr>
                      <w:ilvl w:val="0"/>
                      <w:numId w:val="12"/>
                    </w:numPr>
                    <w:tabs>
                      <w:tab w:val="left" w:pos="1009"/>
                    </w:tabs>
                    <w:spacing w:line="273" w:lineRule="exact"/>
                    <w:ind w:left="1009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nájemce přenechá nebytový prostor nebo jeho část do pronájmu dalšímu zájemci bez souhlasu pronajímatele</w:t>
                  </w:r>
                </w:p>
                <w:p w:rsidR="00895323" w:rsidRDefault="002E2394" w:rsidP="001C2036">
                  <w:pPr>
                    <w:pStyle w:val="Style2"/>
                    <w:widowControl/>
                    <w:numPr>
                      <w:ilvl w:val="0"/>
                      <w:numId w:val="12"/>
                    </w:numPr>
                    <w:tabs>
                      <w:tab w:val="left" w:pos="1009"/>
                    </w:tabs>
                    <w:spacing w:line="273" w:lineRule="exact"/>
                    <w:ind w:left="598" w:firstLine="0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nájemce provádí stavební úpravy pronajatých prostorů bez souhlasu pronajímatele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13"/>
                    </w:numPr>
                    <w:tabs>
                      <w:tab w:val="left" w:pos="521"/>
                    </w:tabs>
                    <w:spacing w:line="273" w:lineRule="exact"/>
                    <w:ind w:left="521" w:right="14" w:hanging="521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Po ukončení účinnosti této smlouvy je pronajímatel oprávněn vstoupit do pronajatého prostoru,tento na náklady nájemce vyklidit a přenechat nebytový prostor do užívání novému nájemci.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13"/>
                    </w:numPr>
                    <w:tabs>
                      <w:tab w:val="left" w:pos="521"/>
                    </w:tabs>
                    <w:spacing w:line="273" w:lineRule="exact"/>
                    <w:ind w:left="521" w:right="19" w:hanging="521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Ke dni ukončení nájmu je nájemce povinen nebytový prostor vyklidit a předat jej pronajímateli (správci) ve stavu způsobilém k dalšímu užívání, s přihlédnutím k obvyklému opotřebení na základě předávacího protokolu.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13"/>
                    </w:numPr>
                    <w:tabs>
                      <w:tab w:val="left" w:pos="521"/>
                    </w:tabs>
                    <w:spacing w:line="273" w:lineRule="exact"/>
                    <w:ind w:left="521" w:right="19" w:hanging="521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Za každý den prodleni s vyklizením podle předchozího bodu se nájemce zavazuje zaplatit pronajímateli smluvní pokutu ve výši 200,- Kč (slovy: dvěstě korun českých) bezhotovostním převodem (nebo hotově k rukám pronajímatele) na výše uvedený účet pronajímatele.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13"/>
                    </w:numPr>
                    <w:tabs>
                      <w:tab w:val="left" w:pos="521"/>
                    </w:tabs>
                    <w:spacing w:line="273" w:lineRule="exact"/>
                    <w:ind w:firstLine="0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Zaplacením smluvní pokuty není dotčeno právo pronajímatele na náhradu případné škody.</w:t>
                  </w:r>
                </w:p>
              </w:txbxContent>
            </v:textbox>
            <w10:wrap type="topAndBottom" anchorx="page" anchory="page"/>
          </v:shape>
        </w:pict>
      </w:r>
      <w:r w:rsidRPr="00895323">
        <w:rPr>
          <w:noProof/>
        </w:rPr>
        <w:pict>
          <v:shape id="_x0000_s1031" type="#_x0000_t202" style="position:absolute;margin-left:390.7pt;margin-top:432.35pt;width:22pt;height:13.65pt;z-index:6;mso-wrap-edited:f;mso-wrap-distance-left:7in;mso-wrap-distance-top:9.1pt;mso-wrap-distance-right:7in;mso-wrap-distance-bottom:1.9pt;mso-position-horizontal-relative:page;mso-position-vertical-relative:page" filled="f" stroked="f">
            <v:textbox inset="0,0,0,0">
              <w:txbxContent>
                <w:p w:rsidR="00895323" w:rsidRDefault="002E2394">
                  <w:pPr>
                    <w:pStyle w:val="Style8"/>
                    <w:widowControl/>
                    <w:jc w:val="both"/>
                    <w:rPr>
                      <w:rStyle w:val="FontStyle19"/>
                    </w:rPr>
                  </w:pPr>
                  <w:r>
                    <w:rPr>
                      <w:rStyle w:val="FontStyle19"/>
                    </w:rPr>
                    <w:t>ČI. 6</w:t>
                  </w:r>
                </w:p>
              </w:txbxContent>
            </v:textbox>
            <w10:wrap type="topAndBottom" anchorx="page" anchory="page"/>
          </v:shape>
        </w:pict>
      </w:r>
      <w:r w:rsidRPr="00895323">
        <w:rPr>
          <w:noProof/>
        </w:rPr>
        <w:pict>
          <v:shape id="_x0000_s1032" type="#_x0000_t202" style="position:absolute;margin-left:346.4pt;margin-top:447.9pt;width:111.25pt;height:11.5pt;z-index:7;mso-wrap-edited:f;mso-wrap-distance-left:7in;mso-wrap-distance-right:7in;mso-position-horizontal-relative:page;mso-position-vertical-relative:page" filled="f" stroked="f">
            <v:textbox inset="0,0,0,0">
              <w:txbxContent>
                <w:p w:rsidR="00895323" w:rsidRDefault="002E2394">
                  <w:pPr>
                    <w:pStyle w:val="Style8"/>
                    <w:widowControl/>
                    <w:jc w:val="both"/>
                    <w:rPr>
                      <w:rStyle w:val="FontStyle19"/>
                      <w:u w:val="single"/>
                    </w:rPr>
                  </w:pPr>
                  <w:r>
                    <w:rPr>
                      <w:rStyle w:val="FontStyle19"/>
                      <w:u w:val="single"/>
                    </w:rPr>
                    <w:t>Závěrečná ustanovení</w:t>
                  </w:r>
                </w:p>
              </w:txbxContent>
            </v:textbox>
            <w10:wrap type="topAndBottom" anchorx="page" anchory="page"/>
          </v:shape>
        </w:pict>
      </w:r>
      <w:r w:rsidRPr="00895323">
        <w:rPr>
          <w:noProof/>
        </w:rPr>
        <w:pict>
          <v:shape id="_x0000_s1033" type="#_x0000_t202" style="position:absolute;margin-left:176.35pt;margin-top:459.4pt;width:467.15pt;height:235.85pt;z-index:8;mso-wrap-edited:f;mso-wrap-distance-left:7in;mso-wrap-distance-right:7in;mso-position-horizontal-relative:page;mso-position-vertical-relative:page" filled="f" stroked="f">
            <v:textbox inset="0,0,0,0">
              <w:txbxContent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14"/>
                    </w:numPr>
                    <w:tabs>
                      <w:tab w:val="left" w:pos="555"/>
                    </w:tabs>
                    <w:ind w:left="555" w:hanging="555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Není-li v této smlouvě stanoveno jinak, řídí se práva a povinnosti stran zákonem č.440/2005 Sb. ve znění pozdějších předpisů, občanským a obchod.zákoníkem, případně stanovami družstva.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14"/>
                    </w:numPr>
                    <w:tabs>
                      <w:tab w:val="left" w:pos="555"/>
                    </w:tabs>
                    <w:ind w:firstLine="0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Tato smlouva může být upravena nebo doplněna pouze písemnou dohodou stran.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14"/>
                    </w:numPr>
                    <w:tabs>
                      <w:tab w:val="left" w:pos="555"/>
                    </w:tabs>
                    <w:ind w:left="555" w:right="10" w:hanging="555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Tato smlouvaje sepsána ve 2 vyhotoveních s tím. že každá ze smluvních stran obdrží po 1 vyhotovení.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14"/>
                    </w:numPr>
                    <w:tabs>
                      <w:tab w:val="left" w:pos="555"/>
                    </w:tabs>
                    <w:ind w:firstLine="0"/>
                    <w:jc w:val="left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Tato smlouva nabývá účinnosti dne 1. 3. 2009.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14"/>
                    </w:numPr>
                    <w:tabs>
                      <w:tab w:val="left" w:pos="555"/>
                    </w:tabs>
                    <w:ind w:left="555" w:right="14" w:hanging="555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Smluvní strany prohlašují, že se seznámily s obsahem smlouvy a že tato smlouva byla sepsána dle jejich pravé a svobodné vůle, nikoliv v tísni, či za nápadně nevýhodných podmínek, a na důkaz toho připojují své podpisy.</w:t>
                  </w:r>
                </w:p>
                <w:p w:rsidR="00895323" w:rsidRDefault="002E2394" w:rsidP="001C2036">
                  <w:pPr>
                    <w:pStyle w:val="Style11"/>
                    <w:widowControl/>
                    <w:numPr>
                      <w:ilvl w:val="0"/>
                      <w:numId w:val="14"/>
                    </w:numPr>
                    <w:tabs>
                      <w:tab w:val="left" w:pos="555"/>
                    </w:tabs>
                    <w:ind w:left="555" w:right="14" w:hanging="555"/>
                    <w:rPr>
                      <w:rStyle w:val="FontStyle21"/>
                    </w:rPr>
                  </w:pPr>
                  <w:r>
                    <w:rPr>
                      <w:rStyle w:val="FontStyle19"/>
                    </w:rPr>
                    <w:t xml:space="preserve">Nedílnou součástí této smlouvy je jako příloha Č.l </w:t>
                  </w:r>
                  <w:r>
                    <w:rPr>
                      <w:rStyle w:val="FontStyle21"/>
                    </w:rPr>
                    <w:t>- „Dohoda o ukončení nájemní smlouvy" uzavřená dne 27. 2. 2009 mezi SBD Plzeň-jih jako pronajímatelem, Alexandrem Procházkou jako nájemcem a Lasturou s.r.o. jako vedlejším účastníkem.</w:t>
                  </w:r>
                </w:p>
                <w:p w:rsidR="00895323" w:rsidRDefault="00895323">
                  <w:pPr>
                    <w:pStyle w:val="Style5"/>
                    <w:widowControl/>
                    <w:spacing w:line="240" w:lineRule="exact"/>
                    <w:ind w:left="550"/>
                    <w:rPr>
                      <w:sz w:val="20"/>
                      <w:szCs w:val="20"/>
                    </w:rPr>
                  </w:pPr>
                </w:p>
                <w:p w:rsidR="00895323" w:rsidRDefault="00895323">
                  <w:pPr>
                    <w:pStyle w:val="Style5"/>
                    <w:widowControl/>
                    <w:spacing w:line="240" w:lineRule="exact"/>
                    <w:ind w:left="550"/>
                    <w:rPr>
                      <w:sz w:val="20"/>
                      <w:szCs w:val="20"/>
                    </w:rPr>
                  </w:pPr>
                </w:p>
                <w:p w:rsidR="00895323" w:rsidRDefault="002E2394">
                  <w:pPr>
                    <w:pStyle w:val="Style5"/>
                    <w:widowControl/>
                    <w:spacing w:before="108" w:line="240" w:lineRule="auto"/>
                    <w:ind w:left="550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V Přešticích dne:  27. 2. 2009</w:t>
                  </w:r>
                </w:p>
              </w:txbxContent>
            </v:textbox>
            <w10:wrap type="topAndBottom" anchorx="page" anchory="page"/>
          </v:shape>
        </w:pict>
      </w:r>
    </w:p>
    <w:p w:rsidR="00895323" w:rsidRDefault="00895323">
      <w:pPr>
        <w:sectPr w:rsidR="00895323">
          <w:pgSz w:w="16837" w:h="23810"/>
          <w:pgMar w:top="3447" w:right="3919" w:bottom="1440" w:left="3527" w:header="708" w:footer="708" w:gutter="0"/>
          <w:cols w:space="708"/>
          <w:noEndnote/>
        </w:sectPr>
      </w:pPr>
    </w:p>
    <w:p w:rsidR="00895323" w:rsidRDefault="00895323">
      <w:pPr>
        <w:widowControl/>
        <w:spacing w:line="1" w:lineRule="exact"/>
        <w:rPr>
          <w:sz w:val="2"/>
          <w:szCs w:val="2"/>
        </w:rPr>
      </w:pPr>
      <w:r w:rsidRPr="00895323">
        <w:rPr>
          <w:noProof/>
        </w:rPr>
        <w:lastRenderedPageBreak/>
        <w:pict>
          <v:shape id="_x0000_s1034" type="#_x0000_t202" style="position:absolute;margin-left:198.6pt;margin-top:738.8pt;width:75.8pt;height:11.45pt;z-index:9;mso-wrap-edited:f;mso-wrap-distance-left:7in;mso-wrap-distance-top:17pt;mso-wrap-distance-right:7in;mso-wrap-distance-bottom:25.6pt;mso-position-horizontal-relative:page;mso-position-vertical-relative:page" filled="f" stroked="f">
            <v:textbox inset="0,0,0,0">
              <w:txbxContent>
                <w:p w:rsidR="00895323" w:rsidRDefault="002E2394">
                  <w:pPr>
                    <w:pStyle w:val="Style5"/>
                    <w:widowControl/>
                    <w:spacing w:line="240" w:lineRule="auto"/>
                    <w:jc w:val="both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Pronajímatel</w:t>
                  </w:r>
                </w:p>
              </w:txbxContent>
            </v:textbox>
            <w10:wrap type="topAndBottom" anchorx="page" anchory="page"/>
          </v:shape>
        </w:pict>
      </w:r>
    </w:p>
    <w:p w:rsidR="00895323" w:rsidRDefault="00895323">
      <w:pPr>
        <w:sectPr w:rsidR="00895323">
          <w:type w:val="continuous"/>
          <w:pgSz w:w="16837" w:h="23810"/>
          <w:pgMar w:top="3447" w:right="3919" w:bottom="1440" w:left="3527" w:header="708" w:footer="708" w:gutter="0"/>
          <w:cols w:space="708"/>
          <w:noEndnote/>
        </w:sectPr>
      </w:pPr>
    </w:p>
    <w:p w:rsidR="002E2394" w:rsidRDefault="00895323">
      <w:pPr>
        <w:widowControl/>
        <w:spacing w:line="1" w:lineRule="exact"/>
        <w:rPr>
          <w:sz w:val="2"/>
          <w:szCs w:val="2"/>
        </w:rPr>
      </w:pPr>
      <w:r w:rsidRPr="00895323">
        <w:rPr>
          <w:noProof/>
        </w:rPr>
        <w:lastRenderedPageBreak/>
        <w:pict>
          <v:shape id="_x0000_s1037" type="#_x0000_t202" style="position:absolute;margin-left:197.15pt;margin-top:871.75pt;width:58.4pt;height:11.5pt;z-index:11;mso-wrap-edited:f;mso-wrap-distance-left:7in;mso-wrap-distance-right:7in;mso-wrap-distance-bottom:23.7pt;mso-position-horizontal-relative:page;mso-position-vertical-relative:page" filled="f" stroked="f">
            <v:textbox inset="0,0,0,0">
              <w:txbxContent>
                <w:p w:rsidR="00895323" w:rsidRDefault="002E2394">
                  <w:pPr>
                    <w:pStyle w:val="Style5"/>
                    <w:widowControl/>
                    <w:spacing w:line="240" w:lineRule="auto"/>
                    <w:jc w:val="both"/>
                    <w:rPr>
                      <w:rStyle w:val="FontStyle21"/>
                    </w:rPr>
                  </w:pPr>
                  <w:r>
                    <w:rPr>
                      <w:rStyle w:val="FontStyle21"/>
                    </w:rPr>
                    <w:t>Nájemce:</w:t>
                  </w:r>
                </w:p>
              </w:txbxContent>
            </v:textbox>
            <w10:wrap type="topAndBottom" anchorx="page" anchory="page"/>
          </v:shape>
        </w:pict>
      </w:r>
      <w:r w:rsidRPr="00895323">
        <w:rPr>
          <w:noProof/>
        </w:rPr>
        <w:pict>
          <v:shape id="_x0000_s1039" type="#_x0000_t202" style="position:absolute;margin-left:448.55pt;margin-top:815.8pt;width:96.65pt;height:10.55pt;z-index:10;mso-wrap-edited:f;mso-wrap-distance-left:7in;mso-wrap-distance-right:7in;mso-position-horizontal-relative:page;mso-position-vertical-relative:page" filled="f" stroked="f">
            <v:textbox inset="0,0,0,0">
              <w:txbxContent>
                <w:p w:rsidR="00895323" w:rsidRPr="001C2036" w:rsidRDefault="00895323" w:rsidP="001C2036">
                  <w:pPr>
                    <w:rPr>
                      <w:rStyle w:val="FontStyle23"/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  <w10:wrap type="topAndBottom" anchorx="page" anchory="page"/>
          </v:shape>
        </w:pict>
      </w:r>
    </w:p>
    <w:sectPr w:rsidR="002E2394" w:rsidSect="00895323">
      <w:type w:val="continuous"/>
      <w:pgSz w:w="16837" w:h="23810"/>
      <w:pgMar w:top="3447" w:right="3919" w:bottom="1440" w:left="352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8DF" w:rsidRDefault="002738DF">
      <w:r>
        <w:separator/>
      </w:r>
    </w:p>
  </w:endnote>
  <w:endnote w:type="continuationSeparator" w:id="1">
    <w:p w:rsidR="002738DF" w:rsidRDefault="00273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8DF" w:rsidRDefault="002738DF">
      <w:r>
        <w:separator/>
      </w:r>
    </w:p>
  </w:footnote>
  <w:footnote w:type="continuationSeparator" w:id="1">
    <w:p w:rsidR="002738DF" w:rsidRDefault="00273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009A60"/>
    <w:lvl w:ilvl="0">
      <w:numFmt w:val="bullet"/>
      <w:lvlText w:val="*"/>
      <w:lvlJc w:val="left"/>
    </w:lvl>
  </w:abstractNum>
  <w:abstractNum w:abstractNumId="1">
    <w:nsid w:val="167829F1"/>
    <w:multiLevelType w:val="singleLevel"/>
    <w:tmpl w:val="9C6C7504"/>
    <w:lvl w:ilvl="0">
      <w:start w:val="1"/>
      <w:numFmt w:val="decimal"/>
      <w:lvlText w:val="5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">
    <w:nsid w:val="1829023F"/>
    <w:multiLevelType w:val="singleLevel"/>
    <w:tmpl w:val="AF060564"/>
    <w:lvl w:ilvl="0">
      <w:start w:val="2"/>
      <w:numFmt w:val="decimal"/>
      <w:lvlText w:val="2.%1."/>
      <w:legacy w:legacy="1" w:legacySpace="0" w:legacyIndent="553"/>
      <w:lvlJc w:val="left"/>
      <w:rPr>
        <w:rFonts w:ascii="Times New Roman" w:hAnsi="Times New Roman" w:cs="Times New Roman" w:hint="default"/>
      </w:rPr>
    </w:lvl>
  </w:abstractNum>
  <w:abstractNum w:abstractNumId="3">
    <w:nsid w:val="20510136"/>
    <w:multiLevelType w:val="singleLevel"/>
    <w:tmpl w:val="3A66D79E"/>
    <w:lvl w:ilvl="0">
      <w:start w:val="1"/>
      <w:numFmt w:val="decimal"/>
      <w:lvlText w:val="3.%1."/>
      <w:legacy w:legacy="1" w:legacySpace="0" w:legacyIndent="544"/>
      <w:lvlJc w:val="left"/>
      <w:rPr>
        <w:rFonts w:ascii="Times New Roman" w:hAnsi="Times New Roman" w:cs="Times New Roman" w:hint="default"/>
      </w:rPr>
    </w:lvl>
  </w:abstractNum>
  <w:abstractNum w:abstractNumId="4">
    <w:nsid w:val="21D931F0"/>
    <w:multiLevelType w:val="singleLevel"/>
    <w:tmpl w:val="DF40277C"/>
    <w:lvl w:ilvl="0">
      <w:start w:val="1"/>
      <w:numFmt w:val="decimal"/>
      <w:lvlText w:val="6.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abstractNum w:abstractNumId="5">
    <w:nsid w:val="227E70D5"/>
    <w:multiLevelType w:val="singleLevel"/>
    <w:tmpl w:val="5E3A5172"/>
    <w:lvl w:ilvl="0">
      <w:start w:val="1"/>
      <w:numFmt w:val="decimal"/>
      <w:lvlText w:val="1.%1."/>
      <w:legacy w:legacy="1" w:legacySpace="0" w:legacyIndent="529"/>
      <w:lvlJc w:val="left"/>
      <w:rPr>
        <w:rFonts w:ascii="Times New Roman" w:hAnsi="Times New Roman" w:cs="Times New Roman" w:hint="default"/>
      </w:rPr>
    </w:lvl>
  </w:abstractNum>
  <w:abstractNum w:abstractNumId="6">
    <w:nsid w:val="23756AD3"/>
    <w:multiLevelType w:val="singleLevel"/>
    <w:tmpl w:val="F6D85A2C"/>
    <w:lvl w:ilvl="0">
      <w:start w:val="4"/>
      <w:numFmt w:val="decimal"/>
      <w:lvlText w:val="4.%1."/>
      <w:legacy w:legacy="1" w:legacySpace="0" w:legacyIndent="491"/>
      <w:lvlJc w:val="left"/>
      <w:rPr>
        <w:rFonts w:ascii="Times New Roman" w:hAnsi="Times New Roman" w:cs="Times New Roman" w:hint="default"/>
      </w:rPr>
    </w:lvl>
  </w:abstractNum>
  <w:abstractNum w:abstractNumId="7">
    <w:nsid w:val="314E3B0F"/>
    <w:multiLevelType w:val="singleLevel"/>
    <w:tmpl w:val="F9864F64"/>
    <w:lvl w:ilvl="0">
      <w:start w:val="1"/>
      <w:numFmt w:val="decimal"/>
      <w:lvlText w:val="4.%1."/>
      <w:legacy w:legacy="1" w:legacySpace="0" w:legacyIndent="491"/>
      <w:lvlJc w:val="left"/>
      <w:rPr>
        <w:rFonts w:ascii="Times New Roman" w:hAnsi="Times New Roman" w:cs="Times New Roman" w:hint="default"/>
      </w:rPr>
    </w:lvl>
  </w:abstractNum>
  <w:abstractNum w:abstractNumId="8">
    <w:nsid w:val="44D26437"/>
    <w:multiLevelType w:val="singleLevel"/>
    <w:tmpl w:val="C1A46B0A"/>
    <w:lvl w:ilvl="0">
      <w:start w:val="3"/>
      <w:numFmt w:val="decimal"/>
      <w:lvlText w:val="5.%1."/>
      <w:legacy w:legacy="1" w:legacySpace="0" w:legacyIndent="521"/>
      <w:lvlJc w:val="left"/>
      <w:rPr>
        <w:rFonts w:ascii="Times New Roman" w:hAnsi="Times New Roman" w:cs="Times New Roman" w:hint="default"/>
      </w:rPr>
    </w:lvl>
  </w:abstractNum>
  <w:abstractNum w:abstractNumId="9">
    <w:nsid w:val="63851FF0"/>
    <w:multiLevelType w:val="singleLevel"/>
    <w:tmpl w:val="C7221DB6"/>
    <w:lvl w:ilvl="0">
      <w:start w:val="1"/>
      <w:numFmt w:val="decimal"/>
      <w:lvlText w:val="2.%1."/>
      <w:legacy w:legacy="1" w:legacySpace="0" w:legacyIndent="553"/>
      <w:lvlJc w:val="left"/>
      <w:rPr>
        <w:rFonts w:ascii="Times New Roman" w:hAnsi="Times New Roman" w:cs="Times New Roman" w:hint="default"/>
      </w:rPr>
    </w:lvl>
  </w:abstractNum>
  <w:abstractNum w:abstractNumId="10">
    <w:nsid w:val="71466A83"/>
    <w:multiLevelType w:val="singleLevel"/>
    <w:tmpl w:val="C7967A5A"/>
    <w:lvl w:ilvl="0">
      <w:start w:val="4"/>
      <w:numFmt w:val="decimal"/>
      <w:lvlText w:val="5.%1."/>
      <w:legacy w:legacy="1" w:legacySpace="0" w:legacyIndent="521"/>
      <w:lvlJc w:val="left"/>
      <w:rPr>
        <w:rFonts w:ascii="Times New Roman" w:hAnsi="Times New Roman" w:cs="Times New Roman" w:hint="default"/>
      </w:rPr>
    </w:lvl>
  </w:abstractNum>
  <w:abstractNum w:abstractNumId="11">
    <w:nsid w:val="73B422FA"/>
    <w:multiLevelType w:val="singleLevel"/>
    <w:tmpl w:val="0642717C"/>
    <w:lvl w:ilvl="0">
      <w:start w:val="11"/>
      <w:numFmt w:val="decimal"/>
      <w:lvlText w:val="4.%1."/>
      <w:legacy w:legacy="1" w:legacySpace="0" w:legacyIndent="539"/>
      <w:lvlJc w:val="left"/>
      <w:rPr>
        <w:rFonts w:ascii="Times New Roman" w:hAnsi="Times New Roman" w:cs="Times New Roman" w:hint="default"/>
      </w:rPr>
    </w:lvl>
  </w:abstractNum>
  <w:abstractNum w:abstractNumId="12">
    <w:nsid w:val="7FB80C23"/>
    <w:multiLevelType w:val="singleLevel"/>
    <w:tmpl w:val="9E2EE2E8"/>
    <w:lvl w:ilvl="0">
      <w:start w:val="2"/>
      <w:numFmt w:val="decimal"/>
      <w:lvlText w:val="5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1"/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2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■"/>
        <w:legacy w:legacy="1" w:legacySpace="0" w:legacyIndent="41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417"/>
    <w:rsid w:val="001C2036"/>
    <w:rsid w:val="002738DF"/>
    <w:rsid w:val="002E2394"/>
    <w:rsid w:val="006E210C"/>
    <w:rsid w:val="00895323"/>
    <w:rsid w:val="00A67ADA"/>
    <w:rsid w:val="00B5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32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895323"/>
  </w:style>
  <w:style w:type="paragraph" w:customStyle="1" w:styleId="Style2">
    <w:name w:val="Style2"/>
    <w:basedOn w:val="Normln"/>
    <w:uiPriority w:val="99"/>
    <w:rsid w:val="00895323"/>
    <w:pPr>
      <w:spacing w:line="278" w:lineRule="exact"/>
      <w:ind w:hanging="411"/>
    </w:pPr>
  </w:style>
  <w:style w:type="paragraph" w:customStyle="1" w:styleId="Style3">
    <w:name w:val="Style3"/>
    <w:basedOn w:val="Normln"/>
    <w:uiPriority w:val="99"/>
    <w:rsid w:val="00895323"/>
    <w:pPr>
      <w:spacing w:line="277" w:lineRule="exact"/>
      <w:jc w:val="both"/>
    </w:pPr>
  </w:style>
  <w:style w:type="paragraph" w:customStyle="1" w:styleId="Style4">
    <w:name w:val="Style4"/>
    <w:basedOn w:val="Normln"/>
    <w:uiPriority w:val="99"/>
    <w:rsid w:val="00895323"/>
    <w:pPr>
      <w:spacing w:line="273" w:lineRule="exact"/>
      <w:ind w:firstLine="1225"/>
    </w:pPr>
  </w:style>
  <w:style w:type="paragraph" w:customStyle="1" w:styleId="Style5">
    <w:name w:val="Style5"/>
    <w:basedOn w:val="Normln"/>
    <w:uiPriority w:val="99"/>
    <w:rsid w:val="00895323"/>
    <w:pPr>
      <w:spacing w:line="278" w:lineRule="exact"/>
    </w:pPr>
  </w:style>
  <w:style w:type="paragraph" w:customStyle="1" w:styleId="Style6">
    <w:name w:val="Style6"/>
    <w:basedOn w:val="Normln"/>
    <w:uiPriority w:val="99"/>
    <w:rsid w:val="00895323"/>
  </w:style>
  <w:style w:type="paragraph" w:customStyle="1" w:styleId="Style7">
    <w:name w:val="Style7"/>
    <w:basedOn w:val="Normln"/>
    <w:uiPriority w:val="99"/>
    <w:rsid w:val="00895323"/>
  </w:style>
  <w:style w:type="paragraph" w:customStyle="1" w:styleId="Style8">
    <w:name w:val="Style8"/>
    <w:basedOn w:val="Normln"/>
    <w:uiPriority w:val="99"/>
    <w:rsid w:val="00895323"/>
    <w:pPr>
      <w:jc w:val="center"/>
    </w:pPr>
  </w:style>
  <w:style w:type="paragraph" w:customStyle="1" w:styleId="Style9">
    <w:name w:val="Style9"/>
    <w:basedOn w:val="Normln"/>
    <w:uiPriority w:val="99"/>
    <w:rsid w:val="00895323"/>
  </w:style>
  <w:style w:type="paragraph" w:customStyle="1" w:styleId="Style10">
    <w:name w:val="Style10"/>
    <w:basedOn w:val="Normln"/>
    <w:uiPriority w:val="99"/>
    <w:rsid w:val="00895323"/>
    <w:pPr>
      <w:spacing w:line="277" w:lineRule="exact"/>
      <w:ind w:firstLine="520"/>
    </w:pPr>
  </w:style>
  <w:style w:type="paragraph" w:customStyle="1" w:styleId="Style11">
    <w:name w:val="Style11"/>
    <w:basedOn w:val="Normln"/>
    <w:uiPriority w:val="99"/>
    <w:rsid w:val="00895323"/>
    <w:pPr>
      <w:spacing w:line="277" w:lineRule="exact"/>
      <w:ind w:hanging="529"/>
      <w:jc w:val="both"/>
    </w:pPr>
  </w:style>
  <w:style w:type="paragraph" w:customStyle="1" w:styleId="Style12">
    <w:name w:val="Style12"/>
    <w:basedOn w:val="Normln"/>
    <w:uiPriority w:val="99"/>
    <w:rsid w:val="00895323"/>
  </w:style>
  <w:style w:type="paragraph" w:customStyle="1" w:styleId="Style13">
    <w:name w:val="Style13"/>
    <w:basedOn w:val="Normln"/>
    <w:uiPriority w:val="99"/>
    <w:rsid w:val="00895323"/>
    <w:pPr>
      <w:spacing w:line="279" w:lineRule="exact"/>
      <w:ind w:hanging="558"/>
    </w:pPr>
  </w:style>
  <w:style w:type="paragraph" w:customStyle="1" w:styleId="Style14">
    <w:name w:val="Style14"/>
    <w:basedOn w:val="Normln"/>
    <w:uiPriority w:val="99"/>
    <w:rsid w:val="00895323"/>
  </w:style>
  <w:style w:type="paragraph" w:customStyle="1" w:styleId="Style15">
    <w:name w:val="Style15"/>
    <w:basedOn w:val="Normln"/>
    <w:uiPriority w:val="99"/>
    <w:rsid w:val="00895323"/>
    <w:pPr>
      <w:spacing w:line="206" w:lineRule="exact"/>
      <w:ind w:hanging="426"/>
    </w:pPr>
  </w:style>
  <w:style w:type="paragraph" w:customStyle="1" w:styleId="Style16">
    <w:name w:val="Style16"/>
    <w:basedOn w:val="Normln"/>
    <w:uiPriority w:val="99"/>
    <w:rsid w:val="00895323"/>
    <w:pPr>
      <w:spacing w:line="235" w:lineRule="exact"/>
      <w:ind w:firstLine="321"/>
    </w:pPr>
  </w:style>
  <w:style w:type="character" w:customStyle="1" w:styleId="FontStyle18">
    <w:name w:val="Font Style18"/>
    <w:basedOn w:val="Standardnpsmoodstavce"/>
    <w:uiPriority w:val="99"/>
    <w:rsid w:val="0089532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9">
    <w:name w:val="Font Style19"/>
    <w:basedOn w:val="Standardnpsmoodstavce"/>
    <w:uiPriority w:val="99"/>
    <w:rsid w:val="00895323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0">
    <w:name w:val="Font Style20"/>
    <w:basedOn w:val="Standardnpsmoodstavce"/>
    <w:uiPriority w:val="99"/>
    <w:rsid w:val="00895323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21">
    <w:name w:val="Font Style21"/>
    <w:basedOn w:val="Standardnpsmoodstavce"/>
    <w:uiPriority w:val="99"/>
    <w:rsid w:val="00895323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Standardnpsmoodstavce"/>
    <w:uiPriority w:val="99"/>
    <w:rsid w:val="00895323"/>
    <w:rPr>
      <w:rFonts w:ascii="Franklin Gothic Demi Cond" w:hAnsi="Franklin Gothic Demi Cond" w:cs="Franklin Gothic Demi Cond"/>
      <w:sz w:val="20"/>
      <w:szCs w:val="20"/>
    </w:rPr>
  </w:style>
  <w:style w:type="character" w:customStyle="1" w:styleId="FontStyle23">
    <w:name w:val="Font Style23"/>
    <w:basedOn w:val="Standardnpsmoodstavce"/>
    <w:uiPriority w:val="99"/>
    <w:rsid w:val="00895323"/>
    <w:rPr>
      <w:rFonts w:ascii="Franklin Gothic Demi Cond" w:hAnsi="Franklin Gothic Demi Cond" w:cs="Franklin Gothic Demi Cond"/>
      <w:sz w:val="18"/>
      <w:szCs w:val="18"/>
    </w:rPr>
  </w:style>
  <w:style w:type="character" w:customStyle="1" w:styleId="FontStyle24">
    <w:name w:val="Font Style24"/>
    <w:basedOn w:val="Standardnpsmoodstavce"/>
    <w:uiPriority w:val="99"/>
    <w:rsid w:val="00895323"/>
    <w:rPr>
      <w:rFonts w:ascii="Times New Roman" w:hAnsi="Times New Roman" w:cs="Times New Roman"/>
      <w:spacing w:val="10"/>
      <w:sz w:val="16"/>
      <w:szCs w:val="16"/>
    </w:rPr>
  </w:style>
  <w:style w:type="character" w:styleId="Hypertextovodkaz">
    <w:name w:val="Hyperlink"/>
    <w:basedOn w:val="Standardnpsmoodstavce"/>
    <w:uiPriority w:val="99"/>
    <w:rsid w:val="00895323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kroupova</dc:creator>
  <cp:lastModifiedBy>kroupova</cp:lastModifiedBy>
  <cp:revision>3</cp:revision>
  <dcterms:created xsi:type="dcterms:W3CDTF">2017-09-18T14:23:00Z</dcterms:created>
  <dcterms:modified xsi:type="dcterms:W3CDTF">2017-09-18T14:25:00Z</dcterms:modified>
</cp:coreProperties>
</file>