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34BC3012"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255671">
        <w:rPr>
          <w:rFonts w:ascii="Arial" w:eastAsia="Times New Roman" w:hAnsi="Arial" w:cs="Arial"/>
          <w:b/>
          <w:lang w:eastAsia="cs-CZ"/>
        </w:rPr>
        <w:t>:</w:t>
      </w:r>
      <w:r w:rsidRPr="00255671">
        <w:rPr>
          <w:rFonts w:ascii="Arial" w:hAnsi="Arial" w:cs="Arial"/>
        </w:rPr>
        <w:t xml:space="preserve"> </w:t>
      </w:r>
      <w:r w:rsidR="00EC30A5" w:rsidRPr="00255671">
        <w:rPr>
          <w:rFonts w:ascii="Arial" w:eastAsia="Times New Roman" w:hAnsi="Arial" w:cs="Arial"/>
          <w:b/>
          <w:lang w:eastAsia="cs-CZ"/>
        </w:rPr>
        <w:t>7/25/6000/035</w:t>
      </w:r>
      <w:r w:rsidRPr="00255671">
        <w:rPr>
          <w:rFonts w:ascii="Arial" w:eastAsia="Times New Roman" w:hAnsi="Arial" w:cs="Arial"/>
          <w:b/>
          <w:lang w:eastAsia="cs-CZ"/>
        </w:rPr>
        <w:tab/>
      </w:r>
      <w:r w:rsidRPr="00255671">
        <w:rPr>
          <w:rFonts w:ascii="Arial" w:eastAsia="Times New Roman" w:hAnsi="Arial" w:cs="Arial"/>
          <w:b/>
          <w:lang w:eastAsia="cs-CZ"/>
        </w:rPr>
        <w:tab/>
      </w:r>
      <w:r w:rsidRPr="00255671">
        <w:rPr>
          <w:rFonts w:ascii="Arial" w:eastAsia="Times New Roman" w:hAnsi="Arial" w:cs="Arial"/>
          <w:b/>
          <w:lang w:eastAsia="cs-CZ"/>
        </w:rPr>
        <w:tab/>
      </w:r>
      <w:r w:rsidR="00636D46" w:rsidRPr="00255671">
        <w:rPr>
          <w:rFonts w:ascii="Arial" w:eastAsia="Times New Roman" w:hAnsi="Arial" w:cs="Arial"/>
          <w:b/>
          <w:lang w:eastAsia="cs-CZ"/>
        </w:rPr>
        <w:tab/>
      </w:r>
      <w:r w:rsidRPr="00255671">
        <w:rPr>
          <w:rFonts w:ascii="Arial" w:eastAsia="Times New Roman" w:hAnsi="Arial" w:cs="Arial"/>
          <w:b/>
          <w:lang w:eastAsia="cs-CZ"/>
        </w:rPr>
        <w:t>PID:</w:t>
      </w:r>
      <w:r w:rsidR="00255671" w:rsidRPr="00255671">
        <w:rPr>
          <w:rFonts w:ascii="Arial" w:eastAsia="Times New Roman" w:hAnsi="Arial" w:cs="Arial"/>
          <w:b/>
          <w:lang w:eastAsia="cs-CZ"/>
        </w:rPr>
        <w:t xml:space="preserve"> TSKAX00367K8</w:t>
      </w:r>
    </w:p>
    <w:p w14:paraId="1C842873" w14:textId="3031EE21"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r w:rsidR="009D3C5B" w:rsidRPr="009D3C5B">
        <w:rPr>
          <w:rFonts w:ascii="Arial" w:eastAsia="Times New Roman" w:hAnsi="Arial" w:cs="Arial"/>
          <w:b/>
          <w:lang w:eastAsia="cs-CZ"/>
        </w:rPr>
        <w:t>22072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34EBF062" w:rsidR="003F436E" w:rsidRPr="003F436E" w:rsidRDefault="003F436E" w:rsidP="003F436E">
      <w:pPr>
        <w:autoSpaceDE w:val="0"/>
        <w:autoSpaceDN w:val="0"/>
        <w:adjustRightInd w:val="0"/>
        <w:spacing w:line="240" w:lineRule="auto"/>
        <w:ind w:firstLine="567"/>
        <w:jc w:val="center"/>
        <w:rPr>
          <w:rFonts w:ascii="Arial" w:hAnsi="Arial" w:cs="Arial"/>
          <w:b/>
        </w:rPr>
      </w:pPr>
      <w:r w:rsidRPr="00255671">
        <w:rPr>
          <w:rFonts w:ascii="Arial" w:hAnsi="Arial" w:cs="Arial"/>
          <w:b/>
        </w:rPr>
        <w:t>„</w:t>
      </w:r>
      <w:r w:rsidR="00255671" w:rsidRPr="00255671">
        <w:rPr>
          <w:rFonts w:ascii="Arial" w:eastAsia="Times New Roman" w:hAnsi="Arial" w:cs="Arial"/>
          <w:b/>
          <w:lang w:eastAsia="cs-CZ"/>
        </w:rPr>
        <w:t>Chlumecká ZC, 2. etapa, č. akce 13605</w:t>
      </w:r>
      <w:r w:rsidRPr="00255671">
        <w:rPr>
          <w:rFonts w:ascii="Arial" w:hAnsi="Arial" w:cs="Arial"/>
          <w:bCs/>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15558B94"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FC75C7">
        <w:rPr>
          <w:rFonts w:ascii="Arial" w:hAnsi="Arial" w:cs="Arial"/>
        </w:rPr>
        <w:t xml:space="preserve">představenstvem Ing. Josef Richtr, místopředseda představenstva anebo v případě hodnoty smlouvy do 2 mil. Kč bez DPH </w:t>
      </w:r>
      <w:r w:rsidR="00C50BBA">
        <w:rPr>
          <w:rFonts w:ascii="Arial" w:hAnsi="Arial" w:cs="Arial"/>
        </w:rPr>
        <w:t>xxxxxxxxxx</w:t>
      </w:r>
      <w:r w:rsidRPr="00FC75C7">
        <w:rPr>
          <w:rFonts w:ascii="Arial" w:hAnsi="Arial" w:cs="Arial"/>
        </w:rPr>
        <w:t xml:space="preserve">, ředitel investičního úseku, na </w:t>
      </w:r>
      <w:r w:rsidRPr="004F7A96">
        <w:rPr>
          <w:rFonts w:ascii="Arial" w:hAnsi="Arial" w:cs="Arial"/>
        </w:rPr>
        <w:t xml:space="preserve">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6365729D" w14:textId="7EB88D8A" w:rsidR="008F1B6C" w:rsidRDefault="003F436E" w:rsidP="008F1B6C">
      <w:pPr>
        <w:widowControl w:val="0"/>
        <w:spacing w:after="0"/>
        <w:rPr>
          <w:rFonts w:ascii="Arial" w:hAnsi="Arial" w:cs="Arial"/>
          <w:b/>
        </w:rPr>
      </w:pPr>
      <w:r w:rsidRPr="003F436E">
        <w:rPr>
          <w:rFonts w:ascii="Arial" w:hAnsi="Arial" w:cs="Arial"/>
          <w:b/>
          <w:bCs/>
        </w:rPr>
        <w:t xml:space="preserve">2. Příkazník: </w:t>
      </w:r>
      <w:r w:rsidR="008F1B6C">
        <w:rPr>
          <w:rFonts w:ascii="Arial" w:hAnsi="Arial" w:cs="Arial"/>
          <w:b/>
          <w:shd w:val="clear" w:color="auto" w:fill="FFFFFF"/>
        </w:rPr>
        <w:t xml:space="preserve">Společníci </w:t>
      </w:r>
      <w:r w:rsidR="008F1B6C">
        <w:rPr>
          <w:rFonts w:ascii="Arial" w:hAnsi="Arial" w:cs="Arial"/>
          <w:b/>
          <w:bCs/>
        </w:rPr>
        <w:t xml:space="preserve">společnosti </w:t>
      </w:r>
      <w:r w:rsidR="008F1B6C" w:rsidRPr="00407422">
        <w:rPr>
          <w:rFonts w:ascii="Arial" w:hAnsi="Arial" w:cs="Arial"/>
          <w:b/>
        </w:rPr>
        <w:t xml:space="preserve">„PX/D-PLUS/sinpps/PENS – DNS-TDS a BOZP – </w:t>
      </w:r>
    </w:p>
    <w:p w14:paraId="45EAE3E6" w14:textId="77777777" w:rsidR="008F1B6C" w:rsidRPr="00407422" w:rsidRDefault="008F1B6C" w:rsidP="008F1B6C">
      <w:pPr>
        <w:widowControl w:val="0"/>
        <w:spacing w:after="0"/>
        <w:ind w:firstLine="567"/>
        <w:rPr>
          <w:rFonts w:ascii="Arial" w:hAnsi="Arial" w:cs="Arial"/>
          <w:b/>
          <w:shd w:val="clear" w:color="auto" w:fill="FFFFFF"/>
        </w:rPr>
      </w:pPr>
      <w:r w:rsidRPr="00407422">
        <w:rPr>
          <w:rFonts w:ascii="Arial" w:hAnsi="Arial" w:cs="Arial"/>
          <w:b/>
        </w:rPr>
        <w:t>2021“</w:t>
      </w:r>
    </w:p>
    <w:p w14:paraId="5F35D9DA" w14:textId="77777777" w:rsidR="008F1B6C" w:rsidRDefault="008F1B6C" w:rsidP="008F1B6C">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2FF35E3B" w14:textId="77777777" w:rsidR="008F1B6C" w:rsidRDefault="008F1B6C" w:rsidP="008F1B6C">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2672D5B3" w14:textId="77777777" w:rsidR="008F1B6C" w:rsidRDefault="008F1B6C" w:rsidP="008F1B6C">
      <w:pPr>
        <w:widowControl w:val="0"/>
        <w:spacing w:after="0" w:line="240" w:lineRule="auto"/>
        <w:ind w:left="567"/>
        <w:rPr>
          <w:rFonts w:ascii="Arial" w:hAnsi="Arial" w:cs="Arial"/>
        </w:rPr>
      </w:pPr>
      <w:r>
        <w:rPr>
          <w:rFonts w:ascii="Arial" w:hAnsi="Arial" w:cs="Arial"/>
        </w:rPr>
        <w:t>IČO: 40763439</w:t>
      </w:r>
    </w:p>
    <w:p w14:paraId="1E7D0CD2" w14:textId="77777777" w:rsidR="008F1B6C" w:rsidRDefault="008F1B6C" w:rsidP="008F1B6C">
      <w:pPr>
        <w:widowControl w:val="0"/>
        <w:spacing w:after="0" w:line="240" w:lineRule="auto"/>
        <w:ind w:left="567"/>
        <w:rPr>
          <w:rFonts w:ascii="Arial" w:hAnsi="Arial" w:cs="Arial"/>
        </w:rPr>
      </w:pPr>
      <w:r>
        <w:rPr>
          <w:rFonts w:ascii="Arial" w:hAnsi="Arial" w:cs="Arial"/>
        </w:rPr>
        <w:t>DIČ: CZ40763439</w:t>
      </w:r>
    </w:p>
    <w:p w14:paraId="3E619122" w14:textId="77777777" w:rsidR="008F1B6C" w:rsidRDefault="008F1B6C" w:rsidP="008F1B6C">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40098BB6" w14:textId="77777777" w:rsidR="008F1B6C" w:rsidRDefault="008F1B6C" w:rsidP="008F1B6C">
      <w:pPr>
        <w:widowControl w:val="0"/>
        <w:spacing w:after="0" w:line="240" w:lineRule="auto"/>
        <w:ind w:left="567"/>
        <w:rPr>
          <w:rFonts w:ascii="Arial" w:hAnsi="Arial" w:cs="Arial"/>
        </w:rPr>
      </w:pPr>
      <w:r>
        <w:rPr>
          <w:rFonts w:ascii="Arial" w:hAnsi="Arial" w:cs="Arial"/>
        </w:rPr>
        <w:t>bankovní spojení: ČSOB, a.s., pobočka Praha 2</w:t>
      </w:r>
    </w:p>
    <w:p w14:paraId="49418E19" w14:textId="77777777" w:rsidR="008F1B6C" w:rsidRDefault="008F1B6C" w:rsidP="008F1B6C">
      <w:pPr>
        <w:widowControl w:val="0"/>
        <w:spacing w:after="0" w:line="240" w:lineRule="auto"/>
        <w:ind w:left="567"/>
        <w:rPr>
          <w:rFonts w:ascii="Arial" w:hAnsi="Arial" w:cs="Arial"/>
        </w:rPr>
      </w:pPr>
      <w:r>
        <w:rPr>
          <w:rFonts w:ascii="Arial" w:hAnsi="Arial" w:cs="Arial"/>
        </w:rPr>
        <w:t>Číslo účtu: 474022543/0300</w:t>
      </w:r>
    </w:p>
    <w:p w14:paraId="72F52BC5" w14:textId="77777777" w:rsidR="008F1B6C" w:rsidRDefault="008F1B6C" w:rsidP="008F1B6C">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429D2AD7" w14:textId="408F3D28" w:rsidR="008F1B6C" w:rsidRDefault="008F1B6C" w:rsidP="008F1B6C">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C50BBA">
          <w:rPr>
            <w:rStyle w:val="Hypertextovodkaz"/>
            <w:rFonts w:ascii="Arial" w:hAnsi="Arial" w:cs="Arial"/>
            <w:sz w:val="22"/>
            <w:szCs w:val="22"/>
          </w:rPr>
          <w:t>xxxxxxxxxxxxx</w:t>
        </w:r>
      </w:hyperlink>
    </w:p>
    <w:p w14:paraId="228140C4" w14:textId="77777777" w:rsidR="008F1B6C" w:rsidRDefault="008F1B6C" w:rsidP="008F1B6C">
      <w:pPr>
        <w:widowControl w:val="0"/>
        <w:spacing w:after="0"/>
        <w:ind w:left="567"/>
        <w:rPr>
          <w:rFonts w:ascii="Arial" w:hAnsi="Arial" w:cs="Arial"/>
          <w:b/>
        </w:rPr>
      </w:pPr>
      <w:r>
        <w:rPr>
          <w:rFonts w:ascii="Arial" w:hAnsi="Arial" w:cs="Arial"/>
        </w:rPr>
        <w:t>a</w:t>
      </w:r>
    </w:p>
    <w:p w14:paraId="539E5DB1" w14:textId="77777777" w:rsidR="008F1B6C" w:rsidRDefault="008F1B6C" w:rsidP="008F1B6C">
      <w:pPr>
        <w:widowControl w:val="0"/>
        <w:spacing w:after="0" w:line="240" w:lineRule="auto"/>
        <w:ind w:left="567"/>
        <w:rPr>
          <w:rFonts w:ascii="Arial" w:hAnsi="Arial" w:cs="Arial"/>
          <w:b/>
        </w:rPr>
      </w:pPr>
      <w:r>
        <w:rPr>
          <w:rFonts w:ascii="Arial" w:hAnsi="Arial" w:cs="Arial"/>
          <w:b/>
        </w:rPr>
        <w:t>D-PLUS PROJEKTOVÁ A INŽENÝRSKÁ a.s.</w:t>
      </w:r>
    </w:p>
    <w:p w14:paraId="7D7D3BDE" w14:textId="77777777" w:rsidR="008F1B6C" w:rsidRDefault="008F1B6C" w:rsidP="008F1B6C">
      <w:pPr>
        <w:widowControl w:val="0"/>
        <w:spacing w:after="0" w:line="240" w:lineRule="auto"/>
        <w:ind w:left="567"/>
        <w:rPr>
          <w:rFonts w:ascii="Arial" w:hAnsi="Arial" w:cs="Arial"/>
        </w:rPr>
      </w:pPr>
      <w:r>
        <w:rPr>
          <w:rFonts w:ascii="Arial" w:hAnsi="Arial" w:cs="Arial"/>
        </w:rPr>
        <w:t>se sídlem: Sokolovská 45/16, 186 00 Praha 8 – Karlín</w:t>
      </w:r>
    </w:p>
    <w:p w14:paraId="486EBB6B" w14:textId="77777777" w:rsidR="008F1B6C" w:rsidRDefault="008F1B6C" w:rsidP="008F1B6C">
      <w:pPr>
        <w:widowControl w:val="0"/>
        <w:spacing w:after="0" w:line="240" w:lineRule="auto"/>
        <w:ind w:left="567"/>
        <w:rPr>
          <w:rFonts w:ascii="Arial" w:hAnsi="Arial" w:cs="Arial"/>
        </w:rPr>
      </w:pPr>
      <w:r>
        <w:rPr>
          <w:rFonts w:ascii="Arial" w:hAnsi="Arial" w:cs="Arial"/>
        </w:rPr>
        <w:t>IČO: 26760312</w:t>
      </w:r>
    </w:p>
    <w:p w14:paraId="5B18D6CE" w14:textId="77777777" w:rsidR="008F1B6C" w:rsidRDefault="008F1B6C" w:rsidP="008F1B6C">
      <w:pPr>
        <w:widowControl w:val="0"/>
        <w:spacing w:after="0" w:line="240" w:lineRule="auto"/>
        <w:ind w:left="567"/>
        <w:rPr>
          <w:rFonts w:ascii="Arial" w:hAnsi="Arial" w:cs="Arial"/>
        </w:rPr>
      </w:pPr>
      <w:r>
        <w:rPr>
          <w:rFonts w:ascii="Arial" w:hAnsi="Arial" w:cs="Arial"/>
        </w:rPr>
        <w:t>DIČ: CZ26760312</w:t>
      </w:r>
    </w:p>
    <w:p w14:paraId="62F57BFE" w14:textId="77777777" w:rsidR="008F1B6C" w:rsidRDefault="008F1B6C" w:rsidP="008F1B6C">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7EA2B355" w14:textId="77777777" w:rsidR="008F1B6C" w:rsidRDefault="008F1B6C" w:rsidP="008F1B6C">
      <w:pPr>
        <w:widowControl w:val="0"/>
        <w:spacing w:after="0" w:line="240" w:lineRule="auto"/>
        <w:ind w:left="567"/>
        <w:rPr>
          <w:rFonts w:ascii="Arial" w:hAnsi="Arial" w:cs="Arial"/>
        </w:rPr>
      </w:pPr>
      <w:r>
        <w:rPr>
          <w:rFonts w:ascii="Arial" w:hAnsi="Arial" w:cs="Arial"/>
        </w:rPr>
        <w:t>zastoupená: Ing. Karlem Janochem, předsedou představenstva</w:t>
      </w:r>
    </w:p>
    <w:p w14:paraId="42C6D1F1" w14:textId="77777777" w:rsidR="008F1B6C" w:rsidRPr="005066B6" w:rsidRDefault="008F1B6C" w:rsidP="008F1B6C">
      <w:pPr>
        <w:widowControl w:val="0"/>
        <w:spacing w:after="0" w:line="240" w:lineRule="auto"/>
        <w:ind w:left="567"/>
        <w:rPr>
          <w:rFonts w:ascii="Arial" w:hAnsi="Arial" w:cs="Arial"/>
        </w:rPr>
      </w:pPr>
      <w:r w:rsidRPr="005066B6">
        <w:rPr>
          <w:rFonts w:ascii="Arial" w:hAnsi="Arial" w:cs="Arial"/>
        </w:rPr>
        <w:t xml:space="preserve">a </w:t>
      </w:r>
    </w:p>
    <w:p w14:paraId="6070F360" w14:textId="77777777" w:rsidR="008F1B6C" w:rsidRDefault="008F1B6C" w:rsidP="008F1B6C">
      <w:pPr>
        <w:pStyle w:val="Odstavecseseznamem"/>
        <w:spacing w:after="0"/>
        <w:ind w:left="567"/>
        <w:rPr>
          <w:rFonts w:ascii="Arial" w:hAnsi="Arial" w:cs="Arial"/>
          <w:b/>
        </w:rPr>
      </w:pPr>
      <w:r>
        <w:rPr>
          <w:rFonts w:ascii="Arial" w:hAnsi="Arial" w:cs="Arial"/>
          <w:b/>
        </w:rPr>
        <w:t>„sinpps s.r.o.“</w:t>
      </w:r>
    </w:p>
    <w:p w14:paraId="68358822" w14:textId="77777777" w:rsidR="008F1B6C" w:rsidRDefault="008F1B6C" w:rsidP="008F1B6C">
      <w:pPr>
        <w:widowControl w:val="0"/>
        <w:spacing w:after="0" w:line="240" w:lineRule="auto"/>
        <w:ind w:left="567"/>
        <w:rPr>
          <w:rFonts w:ascii="Arial" w:hAnsi="Arial" w:cs="Arial"/>
        </w:rPr>
      </w:pPr>
      <w:r>
        <w:rPr>
          <w:rFonts w:ascii="Arial" w:hAnsi="Arial" w:cs="Arial"/>
        </w:rPr>
        <w:t>se sídlem: Dobrušská 1805/5, 147 00 Praha 4 - Braník</w:t>
      </w:r>
    </w:p>
    <w:p w14:paraId="68B46D85" w14:textId="77777777" w:rsidR="008F1B6C" w:rsidRDefault="008F1B6C" w:rsidP="008F1B6C">
      <w:pPr>
        <w:widowControl w:val="0"/>
        <w:spacing w:after="0" w:line="240" w:lineRule="auto"/>
        <w:ind w:left="567"/>
        <w:rPr>
          <w:rFonts w:ascii="Arial" w:hAnsi="Arial" w:cs="Arial"/>
        </w:rPr>
      </w:pPr>
      <w:r>
        <w:rPr>
          <w:rFonts w:ascii="Arial" w:hAnsi="Arial" w:cs="Arial"/>
        </w:rPr>
        <w:t>IČO: 62584332</w:t>
      </w:r>
    </w:p>
    <w:p w14:paraId="6CDA7A1B" w14:textId="77777777" w:rsidR="008F1B6C" w:rsidRDefault="008F1B6C" w:rsidP="008F1B6C">
      <w:pPr>
        <w:widowControl w:val="0"/>
        <w:spacing w:after="0" w:line="240" w:lineRule="auto"/>
        <w:ind w:left="567"/>
        <w:rPr>
          <w:rFonts w:ascii="Arial" w:hAnsi="Arial" w:cs="Arial"/>
        </w:rPr>
      </w:pPr>
      <w:r>
        <w:rPr>
          <w:rFonts w:ascii="Arial" w:hAnsi="Arial" w:cs="Arial"/>
        </w:rPr>
        <w:lastRenderedPageBreak/>
        <w:t>DIČ: CZ62584332</w:t>
      </w:r>
    </w:p>
    <w:p w14:paraId="148B4224" w14:textId="77777777" w:rsidR="008F1B6C" w:rsidRDefault="008F1B6C" w:rsidP="008F1B6C">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3D751AF2" w14:textId="77777777" w:rsidR="008F1B6C" w:rsidRDefault="008F1B6C" w:rsidP="008F1B6C">
      <w:pPr>
        <w:widowControl w:val="0"/>
        <w:spacing w:after="0" w:line="240" w:lineRule="auto"/>
        <w:ind w:left="567"/>
        <w:rPr>
          <w:rFonts w:ascii="Arial" w:hAnsi="Arial" w:cs="Arial"/>
        </w:rPr>
      </w:pPr>
      <w:r>
        <w:rPr>
          <w:rFonts w:ascii="Arial" w:hAnsi="Arial" w:cs="Arial"/>
        </w:rPr>
        <w:t>zastoupená: Ing. Janem Božovským, jednatelem</w:t>
      </w:r>
    </w:p>
    <w:p w14:paraId="509794C6" w14:textId="77777777" w:rsidR="008F1B6C" w:rsidRPr="005066B6" w:rsidRDefault="008F1B6C" w:rsidP="008F1B6C">
      <w:pPr>
        <w:widowControl w:val="0"/>
        <w:spacing w:after="0" w:line="240" w:lineRule="auto"/>
        <w:ind w:left="567"/>
        <w:rPr>
          <w:rFonts w:ascii="Arial" w:hAnsi="Arial" w:cs="Arial"/>
        </w:rPr>
      </w:pPr>
      <w:r w:rsidRPr="005066B6">
        <w:rPr>
          <w:rFonts w:ascii="Arial" w:hAnsi="Arial" w:cs="Arial"/>
        </w:rPr>
        <w:t xml:space="preserve">a </w:t>
      </w:r>
    </w:p>
    <w:p w14:paraId="6233481E" w14:textId="77777777" w:rsidR="008F1B6C" w:rsidRDefault="008F1B6C" w:rsidP="008F1B6C">
      <w:pPr>
        <w:pStyle w:val="Odstavecseseznamem"/>
        <w:spacing w:after="0"/>
        <w:ind w:left="567"/>
        <w:rPr>
          <w:rFonts w:ascii="Arial" w:hAnsi="Arial" w:cs="Arial"/>
          <w:b/>
        </w:rPr>
      </w:pPr>
      <w:r>
        <w:rPr>
          <w:rFonts w:ascii="Arial" w:hAnsi="Arial" w:cs="Arial"/>
          <w:b/>
        </w:rPr>
        <w:t>PENS s.r.o.</w:t>
      </w:r>
    </w:p>
    <w:p w14:paraId="64629F15" w14:textId="77777777" w:rsidR="008F1B6C" w:rsidRDefault="008F1B6C" w:rsidP="008F1B6C">
      <w:pPr>
        <w:widowControl w:val="0"/>
        <w:spacing w:after="0" w:line="240" w:lineRule="auto"/>
        <w:ind w:left="567"/>
        <w:rPr>
          <w:rFonts w:ascii="Arial" w:hAnsi="Arial" w:cs="Arial"/>
        </w:rPr>
      </w:pPr>
      <w:r>
        <w:rPr>
          <w:rFonts w:ascii="Arial" w:hAnsi="Arial" w:cs="Arial"/>
        </w:rPr>
        <w:t>se sídlem: Křenova 438/7, 162 00 Praha 6 - Veleslavín</w:t>
      </w:r>
    </w:p>
    <w:p w14:paraId="367DCFF5" w14:textId="77777777" w:rsidR="008F1B6C" w:rsidRDefault="008F1B6C" w:rsidP="008F1B6C">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139FAFFD" w14:textId="77777777" w:rsidR="008F1B6C" w:rsidRDefault="008F1B6C" w:rsidP="008F1B6C">
      <w:pPr>
        <w:widowControl w:val="0"/>
        <w:spacing w:after="0" w:line="240" w:lineRule="auto"/>
        <w:ind w:left="567"/>
        <w:rPr>
          <w:rFonts w:ascii="Arial" w:hAnsi="Arial" w:cs="Arial"/>
        </w:rPr>
      </w:pPr>
      <w:r>
        <w:rPr>
          <w:rFonts w:ascii="Arial" w:hAnsi="Arial" w:cs="Arial"/>
        </w:rPr>
        <w:t>DIČ: CZ28900022</w:t>
      </w:r>
    </w:p>
    <w:p w14:paraId="702F4969" w14:textId="77777777" w:rsidR="008F1B6C" w:rsidRDefault="008F1B6C" w:rsidP="008F1B6C">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61202C71" w14:textId="77777777" w:rsidR="008F1B6C" w:rsidRDefault="008F1B6C" w:rsidP="008F1B6C">
      <w:pPr>
        <w:widowControl w:val="0"/>
        <w:spacing w:after="0" w:line="240" w:lineRule="auto"/>
        <w:ind w:left="567"/>
        <w:rPr>
          <w:rFonts w:ascii="Arial" w:hAnsi="Arial" w:cs="Arial"/>
        </w:rPr>
      </w:pPr>
      <w:r>
        <w:rPr>
          <w:rFonts w:ascii="Arial" w:hAnsi="Arial" w:cs="Arial"/>
        </w:rPr>
        <w:t>zastoupená: Ivanem Vořechovským, jednatelem</w:t>
      </w:r>
    </w:p>
    <w:p w14:paraId="2A55C916" w14:textId="77777777" w:rsidR="008F1B6C" w:rsidRDefault="008F1B6C" w:rsidP="008F1B6C">
      <w:pPr>
        <w:spacing w:after="0" w:line="240" w:lineRule="auto"/>
        <w:rPr>
          <w:rFonts w:ascii="Arial" w:eastAsia="Times New Roman" w:hAnsi="Arial" w:cs="Arial"/>
          <w:lang w:eastAsia="cs-CZ"/>
        </w:rPr>
      </w:pPr>
    </w:p>
    <w:p w14:paraId="2892DD40" w14:textId="6865FD32" w:rsidR="00886342" w:rsidRDefault="008F1B6C" w:rsidP="008F1B6C">
      <w:pPr>
        <w:tabs>
          <w:tab w:val="left" w:pos="284"/>
        </w:tabs>
        <w:spacing w:after="0" w:line="240" w:lineRule="auto"/>
        <w:ind w:left="284" w:hanging="284"/>
        <w:jc w:val="both"/>
        <w:rPr>
          <w:rFonts w:ascii="Arial" w:eastAsia="Times New Roman" w:hAnsi="Arial" w:cs="Arial"/>
          <w:bCs/>
          <w:color w:val="FF0000"/>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0193848B" w14:textId="77777777" w:rsidR="008F1B6C" w:rsidRPr="008F1B6C" w:rsidRDefault="008F1B6C" w:rsidP="008F1B6C">
      <w:pPr>
        <w:tabs>
          <w:tab w:val="left" w:pos="284"/>
        </w:tabs>
        <w:spacing w:after="0" w:line="240" w:lineRule="auto"/>
        <w:ind w:left="284" w:hanging="284"/>
        <w:jc w:val="both"/>
        <w:rPr>
          <w:rFonts w:ascii="Arial" w:hAnsi="Arial" w:cs="Arial"/>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Default="003F436E" w:rsidP="003F436E">
      <w:pPr>
        <w:tabs>
          <w:tab w:val="left" w:pos="360"/>
        </w:tabs>
        <w:spacing w:after="0" w:line="240" w:lineRule="auto"/>
        <w:rPr>
          <w:rFonts w:ascii="Arial" w:eastAsia="Times New Roman" w:hAnsi="Arial" w:cs="Arial"/>
          <w:b/>
          <w:lang w:eastAsia="cs-CZ"/>
        </w:rPr>
      </w:pPr>
    </w:p>
    <w:p w14:paraId="15FCDC15" w14:textId="77777777" w:rsidR="00C3323B" w:rsidRPr="003F436E" w:rsidRDefault="00C3323B"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06EAF7C3"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Název akce</w:t>
      </w:r>
      <w:r w:rsidRPr="00255671">
        <w:rPr>
          <w:rFonts w:ascii="Arial" w:eastAsia="Times New Roman" w:hAnsi="Arial" w:cs="Arial"/>
          <w:lang w:eastAsia="cs-CZ"/>
        </w:rPr>
        <w:t>: „</w:t>
      </w:r>
      <w:r w:rsidR="00255671" w:rsidRPr="00255671">
        <w:rPr>
          <w:rFonts w:ascii="Arial" w:eastAsia="Times New Roman" w:hAnsi="Arial" w:cs="Arial"/>
          <w:lang w:eastAsia="cs-CZ"/>
        </w:rPr>
        <w:t xml:space="preserve">Chlumecká ZC, 2. etapa, č. akce 13605 </w:t>
      </w:r>
      <w:r w:rsidRPr="00255671">
        <w:rPr>
          <w:rFonts w:ascii="Arial" w:eastAsia="Times New Roman" w:hAnsi="Arial" w:cs="Arial"/>
          <w:lang w:eastAsia="cs-CZ"/>
        </w:rPr>
        <w:t xml:space="preserve">– </w:t>
      </w:r>
      <w:r w:rsidRPr="003F436E">
        <w:rPr>
          <w:rFonts w:ascii="Arial" w:eastAsia="Times New Roman" w:hAnsi="Arial" w:cs="Arial"/>
          <w:lang w:eastAsia="cs-CZ"/>
        </w:rPr>
        <w:t>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C46669">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C46669">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390A4458"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255671" w:rsidRPr="00255671">
        <w:rPr>
          <w:rFonts w:ascii="Arial" w:eastAsia="Times New Roman" w:hAnsi="Arial" w:cs="Arial"/>
          <w:lang w:eastAsia="cs-CZ"/>
        </w:rPr>
        <w:t>Chlumecká ZC, 2. etapa, č. akce 13605</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vyžadování a kontrolu dokladů prokazujících kvalitu </w:t>
      </w:r>
      <w:r w:rsidRPr="00FC75C7">
        <w:rPr>
          <w:rFonts w:ascii="Arial" w:eastAsia="Calibri" w:hAnsi="Arial" w:cs="Arial"/>
        </w:rPr>
        <w:t>používaných materiálů a kvalitu díla;</w:t>
      </w:r>
    </w:p>
    <w:p w14:paraId="58F6FFBF" w14:textId="363E9B9A" w:rsidR="00886342"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průběžnou přípravu dokladů nutných pro odevzdání a převzetí díla</w:t>
      </w:r>
      <w:r w:rsidR="00886342" w:rsidRPr="00FC75C7">
        <w:rPr>
          <w:rFonts w:ascii="Arial" w:eastAsia="Calibri" w:hAnsi="Arial" w:cs="Arial"/>
        </w:rPr>
        <w:t xml:space="preserve"> a jeho kolaudaci; zajištění kolaudačního souhlasu;</w:t>
      </w:r>
    </w:p>
    <w:p w14:paraId="4177FBFF"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vyhodnocování harmonogramu (HMG) z hlediska dodržení termínů vyplývajících ze smlouvy o dílo s dodavatelem stavby. Při neplnění – výzva dodavateli stavby k jeho</w:t>
      </w:r>
      <w:r w:rsidRPr="003F436E">
        <w:rPr>
          <w:rFonts w:ascii="Arial" w:eastAsia="Calibri" w:hAnsi="Arial" w:cs="Arial"/>
        </w:rPr>
        <w:t xml:space="preserve"> aktualizaci, případně si vyžádání opatření vedoucího k jeho plnění. O skluzech v HMG neprodlené informování příkazce;</w:t>
      </w:r>
    </w:p>
    <w:p w14:paraId="330B4F83"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C46669">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průběžnou přípravu podkladů pro závěrečné vyúčtování stavby;</w:t>
      </w:r>
    </w:p>
    <w:p w14:paraId="73562C12" w14:textId="77777777" w:rsidR="00886342"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průběžnou přípravu dokladů nutných pro odevzdání a převzetí díla</w:t>
      </w:r>
      <w:r w:rsidR="00886342" w:rsidRPr="00FC75C7">
        <w:rPr>
          <w:rFonts w:ascii="Arial" w:eastAsia="Calibri" w:hAnsi="Arial" w:cs="Arial"/>
        </w:rPr>
        <w:t xml:space="preserve"> a zajištění kolaudačního souhlasu v co nejkratším možném čase po ukončení stavby;</w:t>
      </w:r>
    </w:p>
    <w:p w14:paraId="3ABEB8E3" w14:textId="77777777" w:rsidR="003F436E" w:rsidRPr="00FC75C7" w:rsidRDefault="003F436E" w:rsidP="00C46669">
      <w:pPr>
        <w:numPr>
          <w:ilvl w:val="0"/>
          <w:numId w:val="11"/>
        </w:numPr>
        <w:suppressAutoHyphens/>
        <w:spacing w:after="0" w:line="240" w:lineRule="auto"/>
        <w:ind w:left="567" w:hanging="283"/>
        <w:jc w:val="both"/>
        <w:rPr>
          <w:rFonts w:ascii="Arial" w:eastAsia="Calibri" w:hAnsi="Arial" w:cs="Arial"/>
          <w:color w:val="000000"/>
        </w:rPr>
      </w:pPr>
      <w:r w:rsidRPr="00FC75C7">
        <w:rPr>
          <w:rFonts w:ascii="Arial" w:eastAsia="Calibri" w:hAnsi="Arial" w:cs="Arial"/>
        </w:rPr>
        <w:t>spolupráce s projektantem v rámci jím vykonávaného autorského dozoru;</w:t>
      </w:r>
    </w:p>
    <w:p w14:paraId="41C7B0FC" w14:textId="77777777" w:rsidR="003F436E" w:rsidRPr="00FC75C7" w:rsidRDefault="003F436E" w:rsidP="00C46669">
      <w:pPr>
        <w:numPr>
          <w:ilvl w:val="0"/>
          <w:numId w:val="11"/>
        </w:numPr>
        <w:suppressAutoHyphens/>
        <w:spacing w:after="0" w:line="240" w:lineRule="auto"/>
        <w:ind w:left="567" w:hanging="283"/>
        <w:jc w:val="both"/>
        <w:rPr>
          <w:rFonts w:ascii="Arial" w:eastAsia="Calibri" w:hAnsi="Arial" w:cs="Arial"/>
          <w:color w:val="000000"/>
        </w:rPr>
      </w:pPr>
      <w:r w:rsidRPr="00FC75C7">
        <w:rPr>
          <w:rFonts w:ascii="Arial" w:hAnsi="Arial" w:cs="Arial"/>
          <w:color w:val="000000"/>
        </w:rPr>
        <w:t>zajištění odstranění případných vad a nedodělků, příp. požadavků vyplývajících z předávacího řízení stavby;</w:t>
      </w:r>
    </w:p>
    <w:p w14:paraId="24DD8931" w14:textId="77777777" w:rsidR="003F436E"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hAnsi="Arial" w:cs="Arial"/>
        </w:rPr>
        <w:t xml:space="preserve">řízení a organizace stavby v souladu </w:t>
      </w:r>
      <w:r w:rsidRPr="00FC75C7">
        <w:rPr>
          <w:rFonts w:ascii="Arial" w:hAnsi="Arial" w:cs="Arial"/>
          <w:color w:val="000000"/>
        </w:rPr>
        <w:t xml:space="preserve">s platnými směrnicemi a pracovními postupy příkazce; </w:t>
      </w:r>
    </w:p>
    <w:p w14:paraId="61E4E7E1" w14:textId="77777777" w:rsidR="003F436E"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hAnsi="Arial" w:cs="Arial"/>
          <w:color w:val="000000"/>
        </w:rPr>
        <w:t>pravidelné podávání písemných informací dle požadavku příkazce o průběhu přípravy a realizace akce,</w:t>
      </w:r>
      <w:r w:rsidRPr="00FC75C7">
        <w:rPr>
          <w:rFonts w:ascii="Arial" w:eastAsia="Calibri" w:hAnsi="Arial" w:cs="Arial"/>
        </w:rPr>
        <w:t xml:space="preserve"> zpracování informací o stavbě dle požadavku příkazce do 24 hodin;</w:t>
      </w:r>
    </w:p>
    <w:p w14:paraId="5E8637AF" w14:textId="77777777" w:rsidR="00886342"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FC75C7" w:rsidRDefault="00886342"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zajištění aktivace;</w:t>
      </w:r>
    </w:p>
    <w:p w14:paraId="18DDCB2E" w14:textId="5CFFDB20" w:rsidR="003F436E" w:rsidRPr="00FC75C7" w:rsidRDefault="003F436E"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zajištění operativních povolení, stanovisek apod., týkajících se realizace výstavby.</w:t>
      </w:r>
    </w:p>
    <w:p w14:paraId="41BB5FFD" w14:textId="4C5E3D4F" w:rsidR="00886342" w:rsidRPr="00FC75C7" w:rsidRDefault="00886342" w:rsidP="00C46669">
      <w:pPr>
        <w:numPr>
          <w:ilvl w:val="0"/>
          <w:numId w:val="11"/>
        </w:numPr>
        <w:suppressAutoHyphens/>
        <w:spacing w:after="0" w:line="240" w:lineRule="auto"/>
        <w:ind w:left="567" w:hanging="283"/>
        <w:jc w:val="both"/>
        <w:rPr>
          <w:rFonts w:ascii="Arial" w:eastAsia="Calibri" w:hAnsi="Arial" w:cs="Arial"/>
        </w:rPr>
      </w:pPr>
      <w:r w:rsidRPr="00FC75C7">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C46669">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C46669">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C46669">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7F1D4A5E"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w:t>
      </w:r>
      <w:r w:rsidRPr="00FC75C7">
        <w:rPr>
          <w:rFonts w:ascii="Arial" w:eastAsia="Times New Roman" w:hAnsi="Arial" w:cs="Arial"/>
          <w:lang w:eastAsia="cs-CZ"/>
        </w:rPr>
        <w:t>–</w:t>
      </w:r>
      <w:bookmarkStart w:id="1" w:name="_Hlk105492458"/>
      <w:r w:rsidR="00FC75C7" w:rsidRPr="00FC75C7">
        <w:rPr>
          <w:rFonts w:ascii="Arial" w:eastAsia="Times New Roman" w:hAnsi="Arial" w:cs="Arial"/>
          <w:lang w:eastAsia="cs-CZ"/>
        </w:rPr>
        <w:t xml:space="preserve"> </w:t>
      </w:r>
      <w:r w:rsidR="00886342" w:rsidRPr="00FC75C7">
        <w:rPr>
          <w:rFonts w:ascii="Arial" w:hAnsi="Arial" w:cs="Arial"/>
        </w:rPr>
        <w:t>podpisem předávacího protokolu zástupcem Příkazce o ukončení prací TDS po dokončení stavby (pokud jsou na stavbě závady a nedodělky, ukončení plnění TDS je k datu podpisu předávacího protokolu o jejich odstranění).</w:t>
      </w:r>
      <w:bookmarkEnd w:id="1"/>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36D98301"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EC6F0A" w:rsidRPr="00EC6F0A">
        <w:rPr>
          <w:rFonts w:ascii="Arial" w:eastAsia="Times New Roman" w:hAnsi="Arial" w:cs="Arial"/>
          <w:bCs/>
          <w:lang w:eastAsia="cs-CZ"/>
        </w:rPr>
        <w:t>Praha 14, ul. Chlumecká ZC v úseku Poděbradská – Ocelkova</w:t>
      </w:r>
      <w:r w:rsidRPr="00EC6F0A">
        <w:rPr>
          <w:rFonts w:ascii="Arial" w:hAnsi="Arial" w:cs="Arial"/>
        </w:rPr>
        <w:t xml:space="preserve"> </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C46669">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7F46BA55"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5D2769" w:rsidRPr="005D2769">
        <w:rPr>
          <w:rFonts w:ascii="Arial" w:eastAsia="Times New Roman" w:hAnsi="Arial" w:cs="Arial"/>
          <w:b/>
          <w:lang w:eastAsia="cs-CZ"/>
        </w:rPr>
        <w:t>483 177</w:t>
      </w:r>
      <w:r w:rsidRPr="005D2769">
        <w:rPr>
          <w:rFonts w:ascii="Arial" w:eastAsia="Times New Roman" w:hAnsi="Arial" w:cs="Arial"/>
          <w:b/>
          <w:lang w:eastAsia="cs-CZ"/>
        </w:rPr>
        <w:t>,</w:t>
      </w:r>
      <w:r w:rsidRPr="005D2769">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0E840FE9"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C50BBA">
          <w:rPr>
            <w:rFonts w:ascii="Arial" w:hAnsi="Arial" w:cs="Arial"/>
            <w:b/>
            <w:color w:val="0000FF" w:themeColor="hyperlink"/>
            <w:u w:val="single"/>
          </w:rPr>
          <w:t>xxxxxxxxxxxxxxxxx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C46669">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C4666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C4666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se může od pokynů Příkazce odchýlit, jen je-li to nezbytné v zájmu Příkazce a nemůže-li si vyžádat včas jeho souhlas.</w:t>
      </w:r>
    </w:p>
    <w:p w14:paraId="04D8EF33" w14:textId="77777777" w:rsidR="003F436E" w:rsidRPr="003F436E" w:rsidRDefault="003F436E" w:rsidP="00C4666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C4666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C46669">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C46669">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C46669">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C46669">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C46669">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C46669">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C46669">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lastRenderedPageBreak/>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C46669">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C46669">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C4666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C4666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C4666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C46669">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C46669">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C46669">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C46669">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C46669">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C46669">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C46669">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C46669">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C46669">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lastRenderedPageBreak/>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C4666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C4666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C4666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C46669">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C46669">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C46669">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C46669">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C46669">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C4666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C4666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C4666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C46669">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C46669">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C46669">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C46669">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lastRenderedPageBreak/>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0757C105"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r w:rsidR="00886342" w:rsidRPr="00EC6F0A">
        <w:rPr>
          <w:rFonts w:ascii="Arial" w:eastAsia="Times New Roman" w:hAnsi="Arial" w:cs="Arial"/>
          <w:lang w:eastAsia="cs-CZ"/>
        </w:rPr>
        <w:t xml:space="preserve">Pověření – </w:t>
      </w:r>
      <w:r w:rsidR="004129E3">
        <w:rPr>
          <w:rFonts w:ascii="Arial" w:eastAsia="Times New Roman" w:hAnsi="Arial" w:cs="Arial"/>
          <w:lang w:eastAsia="cs-CZ"/>
        </w:rPr>
        <w:t>xxxxxxxxxx</w:t>
      </w:r>
      <w:r w:rsidR="00886342" w:rsidRPr="00EC6F0A">
        <w:rPr>
          <w:rFonts w:ascii="Arial" w:eastAsia="Times New Roman" w:hAnsi="Arial" w:cs="Arial"/>
          <w:lang w:eastAsia="cs-CZ"/>
        </w:rPr>
        <w:t xml:space="preserve"> </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1812655"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58F23F0B" w14:textId="77777777" w:rsidR="00EC6F0A" w:rsidRDefault="00EC6F0A" w:rsidP="003F436E">
      <w:pPr>
        <w:tabs>
          <w:tab w:val="left" w:pos="-2268"/>
        </w:tabs>
        <w:spacing w:after="0" w:line="240" w:lineRule="auto"/>
        <w:jc w:val="both"/>
        <w:rPr>
          <w:rFonts w:ascii="Arial" w:eastAsia="Times New Roman" w:hAnsi="Arial" w:cs="Arial"/>
          <w:lang w:eastAsia="cs-CZ"/>
        </w:rPr>
      </w:pPr>
    </w:p>
    <w:p w14:paraId="47464ECD" w14:textId="77777777" w:rsidR="00EC6F0A" w:rsidRDefault="00EC6F0A" w:rsidP="003F436E">
      <w:pPr>
        <w:tabs>
          <w:tab w:val="left" w:pos="-2268"/>
        </w:tabs>
        <w:spacing w:after="0" w:line="240" w:lineRule="auto"/>
        <w:jc w:val="both"/>
        <w:rPr>
          <w:rFonts w:ascii="Arial" w:eastAsia="Times New Roman" w:hAnsi="Arial" w:cs="Arial"/>
          <w:lang w:eastAsia="cs-CZ"/>
        </w:rPr>
      </w:pPr>
    </w:p>
    <w:p w14:paraId="0084C0B2" w14:textId="77777777" w:rsidR="00EC6F0A" w:rsidRDefault="00EC6F0A" w:rsidP="003F436E">
      <w:pPr>
        <w:tabs>
          <w:tab w:val="left" w:pos="-2268"/>
        </w:tabs>
        <w:spacing w:after="0" w:line="240" w:lineRule="auto"/>
        <w:jc w:val="both"/>
        <w:rPr>
          <w:rFonts w:ascii="Arial" w:eastAsia="Times New Roman" w:hAnsi="Arial" w:cs="Arial"/>
          <w:lang w:eastAsia="cs-CZ"/>
        </w:rPr>
      </w:pPr>
    </w:p>
    <w:p w14:paraId="7C1C056B" w14:textId="77777777" w:rsidR="00EC6F0A" w:rsidRPr="003F436E" w:rsidRDefault="00EC6F0A" w:rsidP="003F436E">
      <w:pPr>
        <w:tabs>
          <w:tab w:val="left" w:pos="-2268"/>
        </w:tabs>
        <w:spacing w:after="0" w:line="240" w:lineRule="auto"/>
        <w:jc w:val="both"/>
        <w:rPr>
          <w:rFonts w:ascii="Arial" w:eastAsia="Times New Roman" w:hAnsi="Arial" w:cs="Arial"/>
          <w:lang w:eastAsia="cs-CZ"/>
        </w:rPr>
      </w:pPr>
    </w:p>
    <w:p w14:paraId="4721B225" w14:textId="1D7C1B01" w:rsidR="005D2769" w:rsidRPr="003F436E" w:rsidRDefault="005D2769" w:rsidP="005D2769">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w:t>
      </w:r>
      <w:r w:rsidR="00C40288">
        <w:rPr>
          <w:rFonts w:ascii="Arial" w:eastAsia="Times New Roman" w:hAnsi="Arial" w:cs="Arial"/>
          <w:lang w:eastAsia="cs-CZ"/>
        </w:rPr>
        <w:t>3. 12. 2025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V Praze dn</w:t>
      </w:r>
      <w:r w:rsidRPr="006962AF">
        <w:rPr>
          <w:rFonts w:ascii="Arial" w:eastAsia="Times New Roman" w:hAnsi="Arial" w:cs="Arial"/>
          <w:lang w:eastAsia="cs-CZ"/>
        </w:rPr>
        <w:t xml:space="preserve">e </w:t>
      </w:r>
      <w:r w:rsidRPr="006962AF">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5D2769" w:rsidRPr="003F436E" w14:paraId="75085E61" w14:textId="77777777" w:rsidTr="00383065">
        <w:tc>
          <w:tcPr>
            <w:tcW w:w="4890" w:type="dxa"/>
          </w:tcPr>
          <w:p w14:paraId="72BC2276" w14:textId="77777777" w:rsidR="005D2769" w:rsidRPr="003F436E" w:rsidRDefault="005D2769" w:rsidP="00383065">
            <w:pPr>
              <w:tabs>
                <w:tab w:val="left" w:pos="-2268"/>
                <w:tab w:val="left" w:pos="5670"/>
              </w:tabs>
              <w:spacing w:after="0" w:line="240" w:lineRule="auto"/>
              <w:jc w:val="center"/>
              <w:rPr>
                <w:rFonts w:ascii="Arial" w:eastAsia="Times New Roman" w:hAnsi="Arial" w:cs="Arial"/>
                <w:lang w:eastAsia="cs-CZ"/>
              </w:rPr>
            </w:pPr>
          </w:p>
          <w:p w14:paraId="3682EDB9" w14:textId="77777777" w:rsidR="005D2769" w:rsidRPr="003F436E" w:rsidRDefault="005D2769" w:rsidP="00383065">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57E69890" w14:textId="77777777" w:rsidR="005D2769" w:rsidRPr="003F436E" w:rsidRDefault="005D2769" w:rsidP="00383065">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4477BBA8" w14:textId="77777777" w:rsidR="005D2769" w:rsidRPr="003F436E" w:rsidRDefault="005D2769" w:rsidP="00383065">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4066F2B9" w14:textId="77777777" w:rsidR="005D2769" w:rsidRPr="003F436E" w:rsidRDefault="005D2769" w:rsidP="00383065">
            <w:pPr>
              <w:tabs>
                <w:tab w:val="left" w:pos="-2268"/>
                <w:tab w:val="left" w:pos="5670"/>
              </w:tabs>
              <w:spacing w:after="0" w:line="240" w:lineRule="auto"/>
              <w:rPr>
                <w:rFonts w:ascii="Arial" w:eastAsia="Times New Roman" w:hAnsi="Arial" w:cs="Arial"/>
                <w:lang w:eastAsia="cs-CZ"/>
              </w:rPr>
            </w:pPr>
          </w:p>
        </w:tc>
        <w:tc>
          <w:tcPr>
            <w:tcW w:w="4322" w:type="dxa"/>
          </w:tcPr>
          <w:p w14:paraId="487A831D" w14:textId="77777777" w:rsidR="005D2769" w:rsidRPr="003F436E" w:rsidRDefault="005D2769" w:rsidP="00383065">
            <w:pPr>
              <w:tabs>
                <w:tab w:val="left" w:pos="-2268"/>
                <w:tab w:val="left" w:pos="5670"/>
              </w:tabs>
              <w:spacing w:after="0" w:line="240" w:lineRule="auto"/>
              <w:jc w:val="center"/>
              <w:rPr>
                <w:rFonts w:ascii="Arial" w:eastAsia="Times New Roman" w:hAnsi="Arial" w:cs="Arial"/>
                <w:lang w:eastAsia="cs-CZ"/>
              </w:rPr>
            </w:pPr>
          </w:p>
          <w:p w14:paraId="1F04DC8F" w14:textId="77777777" w:rsidR="005D2769" w:rsidRPr="003F436E" w:rsidRDefault="005D2769" w:rsidP="00383065">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w:t>
            </w:r>
          </w:p>
          <w:p w14:paraId="188E1871" w14:textId="77777777" w:rsidR="005D2769" w:rsidRPr="003F436E" w:rsidRDefault="005D2769" w:rsidP="00383065">
            <w:pPr>
              <w:tabs>
                <w:tab w:val="left" w:pos="-2268"/>
                <w:tab w:val="left" w:pos="5670"/>
              </w:tabs>
              <w:spacing w:after="0" w:line="240" w:lineRule="auto"/>
              <w:rPr>
                <w:rFonts w:ascii="Arial" w:hAnsi="Arial" w:cs="Arial"/>
                <w:bCs/>
              </w:rPr>
            </w:pPr>
            <w:r>
              <w:rPr>
                <w:rFonts w:ascii="Arial" w:hAnsi="Arial" w:cs="Arial"/>
                <w:bCs/>
              </w:rPr>
              <w:t xml:space="preserve">            </w:t>
            </w:r>
            <w:r w:rsidRPr="00BF6945">
              <w:rPr>
                <w:rFonts w:ascii="Arial" w:hAnsi="Arial" w:cs="Arial"/>
                <w:bCs/>
              </w:rPr>
              <w:t>Pontex, spol. s r.o.</w:t>
            </w:r>
          </w:p>
          <w:p w14:paraId="1E4C6D43" w14:textId="77777777" w:rsidR="005D2769" w:rsidRPr="003F436E" w:rsidRDefault="005D2769" w:rsidP="00383065">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5D19B489" w14:textId="77777777" w:rsidR="005D2769" w:rsidRPr="003F436E" w:rsidRDefault="005D2769" w:rsidP="005D2769">
      <w:pPr>
        <w:tabs>
          <w:tab w:val="left" w:pos="-2268"/>
        </w:tabs>
        <w:spacing w:after="0" w:line="240" w:lineRule="auto"/>
        <w:jc w:val="both"/>
        <w:rPr>
          <w:rFonts w:ascii="Arial" w:eastAsia="Times New Roman" w:hAnsi="Arial" w:cs="Arial"/>
          <w:lang w:eastAsia="cs-CZ"/>
        </w:rPr>
      </w:pPr>
    </w:p>
    <w:p w14:paraId="3E2FCB01" w14:textId="77777777" w:rsidR="005D2769" w:rsidRPr="003F436E" w:rsidRDefault="005D2769" w:rsidP="005D2769">
      <w:pPr>
        <w:tabs>
          <w:tab w:val="left" w:pos="-2268"/>
        </w:tabs>
        <w:spacing w:after="0" w:line="240" w:lineRule="auto"/>
        <w:jc w:val="both"/>
        <w:rPr>
          <w:rFonts w:ascii="Arial" w:eastAsia="Times New Roman" w:hAnsi="Arial" w:cs="Arial"/>
          <w:lang w:eastAsia="cs-CZ"/>
        </w:rPr>
      </w:pPr>
    </w:p>
    <w:p w14:paraId="4A8BBA08" w14:textId="77777777" w:rsidR="005D2769" w:rsidRPr="003F436E" w:rsidRDefault="005D2769" w:rsidP="005D2769">
      <w:pPr>
        <w:tabs>
          <w:tab w:val="left" w:pos="-2268"/>
        </w:tabs>
        <w:spacing w:after="0" w:line="240" w:lineRule="auto"/>
        <w:jc w:val="both"/>
        <w:rPr>
          <w:rFonts w:ascii="Arial" w:eastAsia="Times New Roman" w:hAnsi="Arial" w:cs="Arial"/>
          <w:lang w:eastAsia="cs-CZ"/>
        </w:rPr>
      </w:pPr>
    </w:p>
    <w:p w14:paraId="6D6CA87C" w14:textId="77777777" w:rsidR="005D2769" w:rsidRPr="003F436E" w:rsidRDefault="005D2769" w:rsidP="005D2769">
      <w:pPr>
        <w:tabs>
          <w:tab w:val="left" w:pos="-2268"/>
        </w:tabs>
        <w:spacing w:after="0" w:line="240" w:lineRule="auto"/>
        <w:jc w:val="both"/>
        <w:rPr>
          <w:rFonts w:ascii="Arial" w:eastAsia="Times New Roman" w:hAnsi="Arial" w:cs="Arial"/>
          <w:lang w:eastAsia="cs-CZ"/>
        </w:rPr>
      </w:pPr>
    </w:p>
    <w:p w14:paraId="7C88863E" w14:textId="77777777" w:rsidR="005D2769" w:rsidRPr="003F436E" w:rsidRDefault="005D2769" w:rsidP="005D2769">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1C92F9A1" w14:textId="2B1566FD" w:rsidR="005D2769" w:rsidRDefault="004129E3" w:rsidP="005D2769">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xxxxxxxxxx                                                                          </w:t>
      </w:r>
      <w:r w:rsidR="005D2769" w:rsidRPr="00546D68">
        <w:rPr>
          <w:rFonts w:ascii="Arial" w:eastAsia="Times New Roman" w:hAnsi="Arial" w:cs="Arial"/>
          <w:lang w:eastAsia="cs-CZ"/>
        </w:rPr>
        <w:t>Ing. Petr Sou</w:t>
      </w:r>
      <w:r w:rsidR="005D2769" w:rsidRPr="00546D68">
        <w:rPr>
          <w:rFonts w:ascii="Arial" w:eastAsia="Times New Roman" w:hAnsi="Arial" w:cs="Arial" w:hint="eastAsia"/>
          <w:lang w:eastAsia="cs-CZ"/>
        </w:rPr>
        <w:t>č</w:t>
      </w:r>
      <w:r w:rsidR="005D2769" w:rsidRPr="00546D68">
        <w:rPr>
          <w:rFonts w:ascii="Arial" w:eastAsia="Times New Roman" w:hAnsi="Arial" w:cs="Arial"/>
          <w:lang w:eastAsia="cs-CZ"/>
        </w:rPr>
        <w:t>ek</w:t>
      </w:r>
    </w:p>
    <w:p w14:paraId="4D7F47C4" w14:textId="77777777" w:rsidR="005D2769" w:rsidRDefault="005D2769" w:rsidP="005D2769">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investičního úseku                                                    </w:t>
      </w:r>
      <w:r w:rsidRPr="00BF6945">
        <w:rPr>
          <w:rFonts w:ascii="Arial" w:eastAsia="Times New Roman" w:hAnsi="Arial" w:cs="Arial"/>
          <w:lang w:eastAsia="cs-CZ"/>
        </w:rPr>
        <w:t>jednatel</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3EC0B8B9" w14:textId="77777777" w:rsidR="00C46669"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72E10D1B" w:rsidR="003F436E" w:rsidRDefault="003F436E" w:rsidP="003F436E">
      <w:pPr>
        <w:spacing w:after="0" w:line="240" w:lineRule="auto"/>
        <w:ind w:left="2836" w:firstLine="709"/>
        <w:rPr>
          <w:rFonts w:ascii="Arial" w:eastAsia="Times New Roman" w:hAnsi="Arial" w:cs="Arial"/>
          <w:b/>
          <w:bCs/>
          <w:color w:val="333333"/>
          <w:lang w:eastAsia="cs-CZ"/>
        </w:rPr>
      </w:pPr>
    </w:p>
    <w:p w14:paraId="0775DBEE"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4D190BD9"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557EF5C3"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CF3FB5F"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AD1229F"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7B3297A2"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095CD113"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61E43782"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7A17DA1E"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23A846DD"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56EEE07"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596231A2"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7D8488B8"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495DD883"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11DBEED1"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06B58206"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68217E28"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6DAA93AD"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037478A"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D72FB70"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CE982C9"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2FF89090"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691290CD"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23D8484F"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4A7C9025"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7231CCEE"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0945D9CC"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65EC2B40"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7EA72D74"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58A136AE"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79F1B2F7"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00CD8EDB"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6734F210"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1EC5EBB"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9842B1D" w14:textId="77777777" w:rsidR="00A62C9D" w:rsidRDefault="00A62C9D" w:rsidP="003F436E">
      <w:pPr>
        <w:spacing w:after="0" w:line="240" w:lineRule="auto"/>
        <w:ind w:left="2836" w:firstLine="709"/>
        <w:rPr>
          <w:rFonts w:ascii="Arial" w:eastAsia="Times New Roman" w:hAnsi="Arial" w:cs="Arial"/>
          <w:b/>
          <w:bCs/>
          <w:color w:val="333333"/>
          <w:lang w:eastAsia="cs-CZ"/>
        </w:rPr>
      </w:pPr>
    </w:p>
    <w:p w14:paraId="39038F9B" w14:textId="77777777" w:rsidR="00A62C9D" w:rsidRPr="003F436E" w:rsidRDefault="00A62C9D" w:rsidP="003F436E">
      <w:pPr>
        <w:spacing w:after="0" w:line="240" w:lineRule="auto"/>
        <w:ind w:left="2836" w:firstLine="709"/>
        <w:rPr>
          <w:rFonts w:ascii="Arial" w:eastAsia="Times New Roman" w:hAnsi="Arial" w:cs="Arial"/>
          <w:b/>
          <w:bCs/>
          <w:color w:val="333333"/>
          <w:lang w:eastAsia="cs-CZ"/>
        </w:rPr>
      </w:pPr>
    </w:p>
    <w:bookmarkEnd w:id="5"/>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1CC9B42C" w14:textId="77777777" w:rsidR="003F436E" w:rsidRPr="003F436E" w:rsidRDefault="003F436E" w:rsidP="003F436E">
      <w:pPr>
        <w:spacing w:after="0" w:line="240" w:lineRule="auto"/>
        <w:jc w:val="center"/>
        <w:rPr>
          <w:rFonts w:ascii="Arial" w:hAnsi="Arial" w:cs="Arial"/>
          <w:b/>
          <w:bCs/>
        </w:rPr>
      </w:pPr>
    </w:p>
    <w:p w14:paraId="6E916913" w14:textId="77777777" w:rsidR="00C46669" w:rsidRDefault="00C46669" w:rsidP="00C46669">
      <w:pPr>
        <w:pStyle w:val="Bezmezer"/>
        <w:jc w:val="center"/>
        <w:rPr>
          <w:rFonts w:ascii="Arial" w:hAnsi="Arial" w:cs="Arial"/>
          <w:b/>
          <w:bCs/>
          <w:sz w:val="28"/>
        </w:rPr>
      </w:pPr>
      <w:r>
        <w:rPr>
          <w:rFonts w:ascii="Arial" w:hAnsi="Arial" w:cs="Arial"/>
          <w:b/>
          <w:bCs/>
          <w:sz w:val="28"/>
        </w:rPr>
        <w:t xml:space="preserve">Souhrnná doložka do smluv </w:t>
      </w:r>
    </w:p>
    <w:p w14:paraId="5B78E5AD" w14:textId="77777777" w:rsidR="00C46669" w:rsidRDefault="00C46669" w:rsidP="00C46669">
      <w:pPr>
        <w:pStyle w:val="Bezmezer"/>
        <w:jc w:val="center"/>
        <w:rPr>
          <w:rFonts w:ascii="Arial" w:hAnsi="Arial" w:cs="Arial"/>
          <w:b/>
          <w:bCs/>
          <w:sz w:val="28"/>
        </w:rPr>
      </w:pPr>
      <w:r>
        <w:rPr>
          <w:rFonts w:ascii="Arial" w:hAnsi="Arial" w:cs="Arial"/>
          <w:b/>
          <w:bCs/>
          <w:sz w:val="28"/>
        </w:rPr>
        <w:t>uzavíraných Technickou správou komunikací hl. m. Prahy, a.s.</w:t>
      </w:r>
    </w:p>
    <w:p w14:paraId="48100DB7" w14:textId="77777777" w:rsidR="00C46669" w:rsidRDefault="00C46669" w:rsidP="00C46669">
      <w:pPr>
        <w:pStyle w:val="Bezmezer"/>
        <w:jc w:val="center"/>
        <w:rPr>
          <w:rFonts w:ascii="Arial" w:hAnsi="Arial" w:cs="Arial"/>
          <w:b/>
          <w:bCs/>
          <w:sz w:val="28"/>
        </w:rPr>
      </w:pPr>
    </w:p>
    <w:p w14:paraId="2AEB0697" w14:textId="77777777" w:rsidR="00C46669" w:rsidRDefault="00C46669" w:rsidP="00C4666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156891EB" w14:textId="77777777" w:rsidR="00C46669" w:rsidRDefault="00C46669" w:rsidP="00C4666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67B2ADA6" w14:textId="77777777" w:rsidR="00C46669" w:rsidRDefault="00C46669" w:rsidP="00C4666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4CBCABDF" w14:textId="77777777" w:rsidR="00C46669" w:rsidRDefault="00C46669" w:rsidP="00C46669">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7D1A596F" w14:textId="77777777" w:rsidR="00C46669" w:rsidRDefault="00C46669" w:rsidP="00C4666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76E5E5D7"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CAF664F"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1FF4D29F"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w:t>
      </w:r>
      <w:r>
        <w:rPr>
          <w:rFonts w:ascii="Arial" w:eastAsia="Times New Roman" w:hAnsi="Arial" w:cs="Arial"/>
          <w:color w:val="333333"/>
          <w:lang w:eastAsia="cs-CZ"/>
        </w:rPr>
        <w:lastRenderedPageBreak/>
        <w:t>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0E40E339"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6A59C3CB"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0B92488"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9BB2A75"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0C589510"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D5B3006"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6E4E2C45"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6"/>
      <w:r>
        <w:rPr>
          <w:rFonts w:ascii="Arial" w:eastAsia="Times New Roman" w:hAnsi="Arial" w:cs="Arial"/>
          <w:color w:val="333333"/>
          <w:lang w:eastAsia="cs-CZ"/>
        </w:rPr>
        <w:t xml:space="preserve">.  </w:t>
      </w:r>
    </w:p>
    <w:p w14:paraId="480547F4" w14:textId="77777777" w:rsidR="00C46669" w:rsidRDefault="00C46669" w:rsidP="00C46669">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0DA64345" w14:textId="77777777" w:rsidR="00C46669" w:rsidRDefault="00C46669" w:rsidP="00C4666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3E6F698F" w14:textId="77777777" w:rsidR="00C46669" w:rsidRDefault="00C46669" w:rsidP="00C46669">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53317554" w14:textId="77777777" w:rsidR="00C46669" w:rsidRDefault="00C46669" w:rsidP="00C46669">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B6F0450" w14:textId="77777777" w:rsidR="00C46669" w:rsidRDefault="00C46669" w:rsidP="00C46669">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5D054102" w14:textId="77777777" w:rsidR="00C46669" w:rsidRDefault="00C46669" w:rsidP="00C4666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D9BE2AA" w14:textId="77777777" w:rsidR="00C46669" w:rsidRDefault="00C46669" w:rsidP="00C4666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50534DAD" w14:textId="77777777" w:rsidR="00C46669" w:rsidRDefault="00C46669" w:rsidP="00C4666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26D7CF59" w14:textId="77777777" w:rsidR="00C46669" w:rsidRDefault="00C46669" w:rsidP="00C4666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403A5995" w14:textId="77777777" w:rsidR="00C46669" w:rsidRDefault="00C46669" w:rsidP="00C4666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198B7136" w14:textId="77777777" w:rsidR="00C46669" w:rsidRDefault="00C46669" w:rsidP="00C46669">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1582F46B" w14:textId="77777777" w:rsidR="00C46669" w:rsidRDefault="00C46669" w:rsidP="00C46669">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5BE77181" w14:textId="77777777" w:rsidR="00C46669" w:rsidRDefault="00C46669" w:rsidP="00C46669">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8FA4A63" w14:textId="77777777" w:rsidR="00C46669" w:rsidRDefault="00C46669" w:rsidP="00C46669">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1504A0B8" w14:textId="77777777" w:rsidR="00C46669" w:rsidRDefault="00C46669" w:rsidP="00C46669">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C4666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1B769452" w:rsidR="003F436E" w:rsidRPr="003F436E" w:rsidRDefault="00AE1694" w:rsidP="00C46669">
      <w:pPr>
        <w:keepNext/>
        <w:keepLines/>
        <w:numPr>
          <w:ilvl w:val="0"/>
          <w:numId w:val="16"/>
        </w:numPr>
        <w:tabs>
          <w:tab w:val="left" w:pos="-2268"/>
        </w:tabs>
        <w:spacing w:before="60" w:after="60" w:line="240" w:lineRule="auto"/>
        <w:ind w:left="426" w:firstLine="0"/>
        <w:jc w:val="both"/>
        <w:rPr>
          <w:rFonts w:ascii="Arial" w:hAnsi="Arial" w:cs="Arial"/>
        </w:rPr>
      </w:pPr>
      <w:bookmarkStart w:id="9" w:name="_Hlk138250649"/>
      <w:r>
        <w:rPr>
          <w:rFonts w:ascii="Arial" w:hAnsi="Arial" w:cs="Arial"/>
        </w:rPr>
        <w:t>xxxxxxxxxx</w:t>
      </w:r>
      <w:r w:rsidR="00C46669" w:rsidRPr="00FF278C">
        <w:rPr>
          <w:rFonts w:ascii="Arial" w:hAnsi="Arial" w:cs="Arial"/>
        </w:rPr>
        <w:tab/>
      </w:r>
      <w:r w:rsidR="00C46669" w:rsidRPr="00FF278C">
        <w:rPr>
          <w:rFonts w:ascii="Arial" w:hAnsi="Arial" w:cs="Arial"/>
        </w:rPr>
        <w:tab/>
      </w:r>
      <w:r w:rsidR="00C46669" w:rsidRPr="00FF278C">
        <w:rPr>
          <w:rFonts w:ascii="Arial" w:hAnsi="Arial" w:cs="Arial"/>
        </w:rPr>
        <w:tab/>
        <w:t xml:space="preserve">+420 </w:t>
      </w:r>
      <w:r>
        <w:rPr>
          <w:rFonts w:ascii="Arial" w:hAnsi="Arial" w:cs="Arial"/>
        </w:rPr>
        <w:t>xxxxxxxxxx</w:t>
      </w:r>
      <w:r w:rsidR="00C46669" w:rsidRPr="00FF278C">
        <w:rPr>
          <w:rFonts w:ascii="Arial" w:hAnsi="Arial" w:cs="Arial"/>
        </w:rPr>
        <w:tab/>
      </w:r>
      <w:bookmarkEnd w:id="9"/>
      <w:r w:rsidR="00C46669" w:rsidRPr="00FF278C">
        <w:rPr>
          <w:rFonts w:ascii="Arial" w:hAnsi="Arial" w:cs="Arial"/>
        </w:rPr>
        <w:fldChar w:fldCharType="begin"/>
      </w:r>
      <w:r w:rsidR="00C46669" w:rsidRPr="00FF278C">
        <w:rPr>
          <w:rFonts w:ascii="Arial" w:hAnsi="Arial" w:cs="Arial"/>
        </w:rPr>
        <w:instrText>HYPERLINK "mailto:milan.zach@tsk-praha.cz"</w:instrText>
      </w:r>
      <w:r w:rsidR="00C46669" w:rsidRPr="00FF278C">
        <w:rPr>
          <w:rFonts w:ascii="Arial" w:hAnsi="Arial" w:cs="Arial"/>
        </w:rPr>
      </w:r>
      <w:r w:rsidR="00C46669" w:rsidRPr="00FF278C">
        <w:rPr>
          <w:rFonts w:ascii="Arial" w:hAnsi="Arial" w:cs="Arial"/>
        </w:rPr>
        <w:fldChar w:fldCharType="separate"/>
      </w:r>
      <w:r>
        <w:rPr>
          <w:rStyle w:val="Hypertextovodkaz"/>
          <w:rFonts w:ascii="Arial" w:hAnsi="Arial" w:cs="Arial"/>
        </w:rPr>
        <w:t>xxxxxxxxxxxx</w:t>
      </w:r>
      <w:r w:rsidR="00C46669" w:rsidRPr="00FF278C">
        <w:rPr>
          <w:rFonts w:ascii="Arial" w:hAnsi="Arial" w:cs="Arial"/>
        </w:rPr>
        <w:fldChar w:fldCharType="end"/>
      </w:r>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C4666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3C5ACC14" w14:textId="1421A38B" w:rsidR="00C46669" w:rsidRPr="00FF278C" w:rsidRDefault="003F436E" w:rsidP="00C46669">
      <w:pPr>
        <w:keepNext/>
        <w:keepLines/>
        <w:tabs>
          <w:tab w:val="left" w:pos="-2268"/>
        </w:tabs>
        <w:spacing w:before="60" w:after="60"/>
        <w:ind w:left="426"/>
        <w:rPr>
          <w:rFonts w:ascii="Arial" w:hAnsi="Arial" w:cs="Arial"/>
          <w:iCs/>
        </w:rPr>
      </w:pPr>
      <w:r w:rsidRPr="00C46669">
        <w:rPr>
          <w:rFonts w:ascii="Arial" w:hAnsi="Arial" w:cs="Arial"/>
        </w:rPr>
        <w:t>●</w:t>
      </w:r>
      <w:r w:rsidR="00C46669" w:rsidRPr="00C46669">
        <w:rPr>
          <w:rFonts w:ascii="Arial" w:hAnsi="Arial" w:cs="Arial"/>
        </w:rPr>
        <w:t xml:space="preserve"> </w:t>
      </w:r>
      <w:r w:rsidR="00C46669" w:rsidRPr="00C46669">
        <w:rPr>
          <w:rFonts w:ascii="Arial" w:hAnsi="Arial" w:cs="Arial"/>
          <w:iCs/>
        </w:rPr>
        <w:t xml:space="preserve">Ing. </w:t>
      </w:r>
      <w:r w:rsidR="00C46669" w:rsidRPr="00FF278C">
        <w:rPr>
          <w:rFonts w:ascii="Arial" w:hAnsi="Arial" w:cs="Arial"/>
          <w:iCs/>
        </w:rPr>
        <w:t>Petr Sou</w:t>
      </w:r>
      <w:r w:rsidR="00C46669" w:rsidRPr="00FF278C">
        <w:rPr>
          <w:rFonts w:ascii="Arial" w:hAnsi="Arial" w:cs="Arial" w:hint="eastAsia"/>
          <w:iCs/>
        </w:rPr>
        <w:t>č</w:t>
      </w:r>
      <w:r w:rsidR="00C46669" w:rsidRPr="00FF278C">
        <w:rPr>
          <w:rFonts w:ascii="Arial" w:hAnsi="Arial" w:cs="Arial"/>
          <w:iCs/>
        </w:rPr>
        <w:t>ek</w:t>
      </w:r>
    </w:p>
    <w:p w14:paraId="0253E1C7" w14:textId="54E8AE7A" w:rsidR="00C46669" w:rsidRPr="00FF278C" w:rsidRDefault="00C46669" w:rsidP="00C46669">
      <w:pPr>
        <w:keepNext/>
        <w:keepLines/>
        <w:tabs>
          <w:tab w:val="left" w:pos="-2268"/>
        </w:tabs>
        <w:spacing w:before="60" w:after="60"/>
        <w:ind w:left="426"/>
        <w:rPr>
          <w:rFonts w:ascii="Arial" w:hAnsi="Arial" w:cs="Arial"/>
          <w:iCs/>
        </w:rPr>
      </w:pPr>
      <w:r w:rsidRPr="00FF278C">
        <w:rPr>
          <w:rFonts w:ascii="Arial" w:hAnsi="Arial" w:cs="Arial"/>
          <w:iCs/>
        </w:rPr>
        <w:t xml:space="preserve">telefon: +420 </w:t>
      </w:r>
      <w:r w:rsidR="00AE1694">
        <w:rPr>
          <w:rFonts w:ascii="Arial" w:hAnsi="Arial" w:cs="Arial"/>
          <w:iCs/>
        </w:rPr>
        <w:t>xxxxxxxxxx</w:t>
      </w:r>
    </w:p>
    <w:p w14:paraId="67093FD8" w14:textId="662290AE" w:rsidR="00C46669" w:rsidRPr="00FF278C" w:rsidRDefault="00C46669" w:rsidP="00C46669">
      <w:pPr>
        <w:keepNext/>
        <w:keepLines/>
        <w:tabs>
          <w:tab w:val="left" w:pos="-2268"/>
        </w:tabs>
        <w:spacing w:before="60" w:after="60"/>
        <w:ind w:left="426"/>
        <w:rPr>
          <w:rFonts w:ascii="Arial" w:hAnsi="Arial" w:cs="Arial"/>
          <w:iCs/>
        </w:rPr>
      </w:pPr>
      <w:r w:rsidRPr="00FF278C">
        <w:rPr>
          <w:rFonts w:ascii="Arial" w:hAnsi="Arial" w:cs="Arial"/>
          <w:iCs/>
        </w:rPr>
        <w:t xml:space="preserve">e-mail: </w:t>
      </w:r>
      <w:hyperlink r:id="rId14" w:history="1">
        <w:r w:rsidR="00AE1694">
          <w:rPr>
            <w:rStyle w:val="Hypertextovodkaz"/>
            <w:rFonts w:ascii="Arial" w:hAnsi="Arial" w:cs="Arial"/>
            <w:iCs/>
          </w:rPr>
          <w:t>xxxxxxxxxxxxxx</w:t>
        </w:r>
      </w:hyperlink>
    </w:p>
    <w:p w14:paraId="25ECFC0A" w14:textId="258E3458" w:rsidR="003F436E" w:rsidRPr="00685E59" w:rsidRDefault="00C46669" w:rsidP="00C46669">
      <w:pPr>
        <w:keepNext/>
        <w:keepLines/>
        <w:tabs>
          <w:tab w:val="left" w:pos="-2268"/>
        </w:tabs>
        <w:spacing w:before="60" w:after="60"/>
        <w:ind w:left="426"/>
        <w:rPr>
          <w:rFonts w:ascii="Arial" w:hAnsi="Arial" w:cs="Arial"/>
          <w:color w:val="FF0000"/>
        </w:rPr>
      </w:pPr>
      <w:r w:rsidRPr="00FF278C">
        <w:rPr>
          <w:rFonts w:ascii="Arial" w:hAnsi="Arial" w:cs="Arial"/>
          <w:iCs/>
        </w:rPr>
        <w:t>koresponden</w:t>
      </w:r>
      <w:r w:rsidRPr="00FF278C">
        <w:rPr>
          <w:rFonts w:ascii="Arial" w:hAnsi="Arial" w:cs="Arial" w:hint="eastAsia"/>
          <w:iCs/>
        </w:rPr>
        <w:t>č</w:t>
      </w:r>
      <w:r w:rsidRPr="00FF278C">
        <w:rPr>
          <w:rFonts w:ascii="Arial" w:hAnsi="Arial" w:cs="Arial"/>
          <w:iCs/>
        </w:rPr>
        <w:t>n</w:t>
      </w:r>
      <w:r w:rsidRPr="00FF278C">
        <w:rPr>
          <w:rFonts w:ascii="Arial" w:hAnsi="Arial" w:cs="Arial" w:hint="eastAsia"/>
          <w:iCs/>
        </w:rPr>
        <w:t>í</w:t>
      </w:r>
      <w:r w:rsidRPr="00FF278C">
        <w:rPr>
          <w:rFonts w:ascii="Arial" w:hAnsi="Arial" w:cs="Arial"/>
          <w:iCs/>
        </w:rPr>
        <w:t xml:space="preserve"> adresa: Na h</w:t>
      </w:r>
      <w:r w:rsidRPr="00FF278C">
        <w:rPr>
          <w:rFonts w:ascii="Arial" w:hAnsi="Arial" w:cs="Arial" w:hint="eastAsia"/>
          <w:iCs/>
        </w:rPr>
        <w:t>ř</w:t>
      </w:r>
      <w:r w:rsidRPr="00FF278C">
        <w:rPr>
          <w:rFonts w:ascii="Arial" w:hAnsi="Arial" w:cs="Arial"/>
          <w:iCs/>
        </w:rPr>
        <w:t>ebenech II 1718/10, 140 00 Praha 4-Nusle</w:t>
      </w:r>
      <w:r w:rsidR="003F436E" w:rsidRPr="00685E59">
        <w:rPr>
          <w:rFonts w:ascii="Arial" w:hAnsi="Arial" w:cs="Arial"/>
          <w:color w:val="FF0000"/>
        </w:rPr>
        <w:t> </w:t>
      </w:r>
    </w:p>
    <w:p w14:paraId="0F8DD2D1" w14:textId="77777777" w:rsidR="003F436E" w:rsidRPr="003F436E" w:rsidRDefault="003F436E" w:rsidP="00C4666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19CABA61" w:rsidR="003F436E" w:rsidRPr="003F436E" w:rsidRDefault="00AE1694" w:rsidP="00C46669">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xxxxxxxxxxxxxxxxx</w:t>
      </w:r>
      <w:r w:rsidR="00C46669" w:rsidRPr="00FF278C">
        <w:rPr>
          <w:rFonts w:ascii="Arial" w:hAnsi="Arial" w:cs="Arial"/>
        </w:rPr>
        <w:tab/>
      </w:r>
      <w:r w:rsidR="00C46669" w:rsidRPr="00FF278C">
        <w:rPr>
          <w:rFonts w:ascii="Arial" w:hAnsi="Arial" w:cs="Arial"/>
        </w:rPr>
        <w:tab/>
      </w:r>
      <w:r w:rsidR="00C46669" w:rsidRPr="00FF278C">
        <w:rPr>
          <w:rFonts w:ascii="Arial" w:hAnsi="Arial" w:cs="Arial"/>
        </w:rPr>
        <w:tab/>
        <w:t xml:space="preserve">+420 </w:t>
      </w:r>
      <w:r>
        <w:rPr>
          <w:rFonts w:ascii="Arial" w:hAnsi="Arial" w:cs="Arial"/>
        </w:rPr>
        <w:t>xxxxxxxxxxxx</w:t>
      </w:r>
      <w:r w:rsidR="00C46669" w:rsidRPr="00FF278C">
        <w:rPr>
          <w:rFonts w:ascii="Arial" w:hAnsi="Arial" w:cs="Arial"/>
        </w:rPr>
        <w:tab/>
      </w:r>
      <w:hyperlink r:id="rId15" w:history="1">
        <w:r>
          <w:rPr>
            <w:rStyle w:val="Hypertextovodkaz"/>
            <w:rFonts w:ascii="Arial" w:hAnsi="Arial" w:cs="Arial"/>
          </w:rPr>
          <w:t>xxxxxxxxxxxxxxx</w:t>
        </w:r>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07B46214" w:rsidR="003F436E" w:rsidRPr="003F436E" w:rsidRDefault="00AE1694" w:rsidP="00C46669">
      <w:pPr>
        <w:keepNext/>
        <w:keepLines/>
        <w:numPr>
          <w:ilvl w:val="0"/>
          <w:numId w:val="16"/>
        </w:numPr>
        <w:tabs>
          <w:tab w:val="left" w:pos="-2268"/>
        </w:tabs>
        <w:spacing w:before="60" w:after="60" w:line="240" w:lineRule="auto"/>
        <w:ind w:left="426" w:firstLine="0"/>
        <w:jc w:val="both"/>
        <w:rPr>
          <w:rFonts w:ascii="Arial" w:hAnsi="Arial" w:cs="Arial"/>
        </w:rPr>
      </w:pPr>
      <w:r>
        <w:rPr>
          <w:rFonts w:ascii="Arial" w:hAnsi="Arial" w:cs="Arial"/>
        </w:rPr>
        <w:t xml:space="preserve">xxxxxxxxxxxxxx           </w:t>
      </w:r>
      <w:r w:rsidR="00C46669" w:rsidRPr="0089091B">
        <w:rPr>
          <w:rFonts w:ascii="Arial" w:hAnsi="Arial" w:cs="Arial"/>
        </w:rPr>
        <w:tab/>
      </w:r>
      <w:r w:rsidR="00C46669" w:rsidRPr="0089091B">
        <w:rPr>
          <w:rFonts w:ascii="Arial" w:hAnsi="Arial" w:cs="Arial"/>
        </w:rPr>
        <w:tab/>
      </w:r>
      <w:bookmarkStart w:id="10" w:name="_Hlk126675478"/>
      <w:r w:rsidR="00C46669" w:rsidRPr="0089091B">
        <w:rPr>
          <w:rFonts w:ascii="Arial" w:hAnsi="Arial" w:cs="Arial"/>
        </w:rPr>
        <w:t>+420 </w:t>
      </w:r>
      <w:bookmarkEnd w:id="10"/>
      <w:r>
        <w:rPr>
          <w:rFonts w:ascii="Arial" w:hAnsi="Arial" w:cs="Arial"/>
        </w:rPr>
        <w:t>xxxxxxxxxx</w:t>
      </w:r>
      <w:r w:rsidR="00C46669" w:rsidRPr="0089091B">
        <w:rPr>
          <w:rFonts w:ascii="Arial" w:hAnsi="Arial" w:cs="Arial"/>
        </w:rPr>
        <w:tab/>
      </w:r>
      <w:hyperlink r:id="rId16" w:history="1">
        <w:r>
          <w:rPr>
            <w:rStyle w:val="Hypertextovodkaz"/>
            <w:rFonts w:ascii="Arial" w:hAnsi="Arial" w:cs="Arial"/>
          </w:rPr>
          <w:t>xxxxxxxxxxx</w:t>
        </w:r>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C46669">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C46669">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28E47A8C" w14:textId="5EC1FB2F" w:rsidR="00C46669" w:rsidRPr="00FE1AFD" w:rsidRDefault="003F436E" w:rsidP="00C46669">
      <w:pPr>
        <w:keepNext/>
        <w:keepLines/>
        <w:tabs>
          <w:tab w:val="left" w:pos="-2268"/>
        </w:tabs>
        <w:spacing w:before="60" w:after="60"/>
        <w:ind w:left="426"/>
        <w:rPr>
          <w:rFonts w:ascii="Arial" w:hAnsi="Arial" w:cs="Arial"/>
          <w:iCs/>
        </w:rPr>
      </w:pPr>
      <w:r w:rsidRPr="00C46669">
        <w:rPr>
          <w:rFonts w:ascii="Arial" w:hAnsi="Arial" w:cs="Arial"/>
        </w:rPr>
        <w:t>●</w:t>
      </w:r>
      <w:r w:rsidR="00C46669" w:rsidRPr="00C46669">
        <w:rPr>
          <w:rFonts w:ascii="Arial" w:hAnsi="Arial" w:cs="Arial"/>
        </w:rPr>
        <w:t xml:space="preserve"> </w:t>
      </w:r>
      <w:r w:rsidR="00AE1694">
        <w:rPr>
          <w:rFonts w:ascii="Arial" w:hAnsi="Arial" w:cs="Arial"/>
          <w:iCs/>
        </w:rPr>
        <w:t>xxxxxxxxxxxx</w:t>
      </w:r>
    </w:p>
    <w:p w14:paraId="603E1ED4" w14:textId="6C9504C7" w:rsidR="00C46669" w:rsidRPr="000E4133" w:rsidRDefault="00C46669" w:rsidP="00C46669">
      <w:pPr>
        <w:keepNext/>
        <w:keepLines/>
        <w:tabs>
          <w:tab w:val="left" w:pos="-2268"/>
        </w:tabs>
        <w:spacing w:before="60" w:after="60"/>
        <w:ind w:left="426"/>
        <w:rPr>
          <w:rFonts w:ascii="Arial" w:hAnsi="Arial" w:cs="Arial"/>
          <w:iCs/>
        </w:rPr>
      </w:pPr>
      <w:r w:rsidRPr="000E4133">
        <w:rPr>
          <w:rFonts w:ascii="Arial" w:hAnsi="Arial" w:cs="Arial"/>
          <w:iCs/>
        </w:rPr>
        <w:t xml:space="preserve">telefon: +420 </w:t>
      </w:r>
      <w:r w:rsidR="00AE1694">
        <w:rPr>
          <w:rFonts w:ascii="Arial" w:hAnsi="Arial" w:cs="Arial"/>
          <w:iCs/>
        </w:rPr>
        <w:t>xxxxxxxxxxxx</w:t>
      </w:r>
    </w:p>
    <w:p w14:paraId="4A31A047" w14:textId="70D5EE0F" w:rsidR="00C46669" w:rsidRPr="000E4133" w:rsidRDefault="00C46669" w:rsidP="00C46669">
      <w:pPr>
        <w:keepNext/>
        <w:keepLines/>
        <w:tabs>
          <w:tab w:val="left" w:pos="-2268"/>
        </w:tabs>
        <w:spacing w:before="60" w:after="60"/>
        <w:ind w:left="426"/>
        <w:rPr>
          <w:rFonts w:ascii="Arial" w:hAnsi="Arial" w:cs="Arial"/>
          <w:iCs/>
        </w:rPr>
      </w:pPr>
      <w:r w:rsidRPr="000E4133">
        <w:rPr>
          <w:rFonts w:ascii="Arial" w:hAnsi="Arial" w:cs="Arial"/>
          <w:iCs/>
        </w:rPr>
        <w:t xml:space="preserve">e-mail: </w:t>
      </w:r>
      <w:hyperlink r:id="rId17" w:history="1">
        <w:r w:rsidR="00AE1694">
          <w:rPr>
            <w:rStyle w:val="Hypertextovodkaz"/>
            <w:rFonts w:ascii="Arial" w:hAnsi="Arial" w:cs="Arial"/>
            <w:iCs/>
          </w:rPr>
          <w:t>xxxxxxxxxxx</w:t>
        </w:r>
      </w:hyperlink>
    </w:p>
    <w:p w14:paraId="0C8EB1F1" w14:textId="3461A879" w:rsidR="003F436E" w:rsidRPr="003F436E" w:rsidRDefault="00C46669" w:rsidP="00C46669">
      <w:pPr>
        <w:keepNext/>
        <w:keepLines/>
        <w:tabs>
          <w:tab w:val="left" w:pos="-2268"/>
        </w:tabs>
        <w:spacing w:before="60" w:after="60"/>
        <w:ind w:left="426"/>
        <w:rPr>
          <w:rFonts w:ascii="Arial" w:hAnsi="Arial" w:cs="Arial"/>
        </w:rPr>
      </w:pPr>
      <w:r w:rsidRPr="00FE1AFD">
        <w:rPr>
          <w:rFonts w:ascii="Arial" w:hAnsi="Arial" w:cs="Arial"/>
          <w:iCs/>
        </w:rPr>
        <w:t>koresponden</w:t>
      </w:r>
      <w:r w:rsidRPr="00FE1AFD">
        <w:rPr>
          <w:rFonts w:ascii="Arial" w:hAnsi="Arial" w:cs="Arial" w:hint="eastAsia"/>
          <w:iCs/>
        </w:rPr>
        <w:t>č</w:t>
      </w:r>
      <w:r w:rsidRPr="00FE1AFD">
        <w:rPr>
          <w:rFonts w:ascii="Arial" w:hAnsi="Arial" w:cs="Arial"/>
          <w:iCs/>
        </w:rPr>
        <w:t>n</w:t>
      </w:r>
      <w:r w:rsidRPr="00FE1AFD">
        <w:rPr>
          <w:rFonts w:ascii="Arial" w:hAnsi="Arial" w:cs="Arial" w:hint="eastAsia"/>
          <w:iCs/>
        </w:rPr>
        <w:t>í</w:t>
      </w:r>
      <w:r w:rsidRPr="00FE1AFD">
        <w:rPr>
          <w:rFonts w:ascii="Arial" w:hAnsi="Arial" w:cs="Arial"/>
          <w:iCs/>
        </w:rPr>
        <w:t xml:space="preserve"> adresa: Dobru</w:t>
      </w:r>
      <w:r w:rsidRPr="00FE1AFD">
        <w:rPr>
          <w:rFonts w:ascii="Arial" w:hAnsi="Arial" w:cs="Arial" w:hint="eastAsia"/>
          <w:iCs/>
        </w:rPr>
        <w:t>š</w:t>
      </w:r>
      <w:r w:rsidRPr="00FE1AFD">
        <w:rPr>
          <w:rFonts w:ascii="Arial" w:hAnsi="Arial" w:cs="Arial"/>
          <w:iCs/>
        </w:rPr>
        <w:t>sk</w:t>
      </w:r>
      <w:r w:rsidRPr="00FE1AFD">
        <w:rPr>
          <w:rFonts w:ascii="Arial" w:hAnsi="Arial" w:cs="Arial" w:hint="eastAsia"/>
          <w:iCs/>
        </w:rPr>
        <w:t>á</w:t>
      </w:r>
      <w:r w:rsidRPr="00FE1AFD">
        <w:rPr>
          <w:rFonts w:ascii="Arial" w:hAnsi="Arial" w:cs="Arial"/>
          <w:iCs/>
        </w:rPr>
        <w:t xml:space="preserve"> 1805/5, 147 00 Praha 4 - Bran</w:t>
      </w:r>
      <w:r w:rsidRPr="00FE1AFD">
        <w:rPr>
          <w:rFonts w:ascii="Arial" w:hAnsi="Arial" w:cs="Arial" w:hint="eastAsia"/>
          <w:iCs/>
        </w:rPr>
        <w:t>í</w:t>
      </w:r>
      <w:r w:rsidRPr="00FE1AFD">
        <w:rPr>
          <w:rFonts w:ascii="Arial" w:hAnsi="Arial" w:cs="Arial"/>
          <w:iCs/>
        </w:rPr>
        <w:t>k</w:t>
      </w:r>
      <w:r w:rsidR="003F436E" w:rsidRPr="00276330">
        <w:rPr>
          <w:rFonts w:ascii="Arial" w:hAnsi="Arial" w:cs="Arial"/>
          <w:color w:val="FF0000"/>
        </w:rPr>
        <w:t> </w:t>
      </w:r>
    </w:p>
    <w:p w14:paraId="594D10D7" w14:textId="77777777" w:rsidR="003F436E" w:rsidRPr="003F436E" w:rsidRDefault="003F436E" w:rsidP="00C46669">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5EE3DD79" w14:textId="352A9C27" w:rsidR="00C46669" w:rsidRPr="00FE1AFD" w:rsidRDefault="003F436E" w:rsidP="00C46669">
      <w:pPr>
        <w:keepNext/>
        <w:keepLines/>
        <w:tabs>
          <w:tab w:val="left" w:pos="-2268"/>
        </w:tabs>
        <w:spacing w:before="60" w:after="60"/>
        <w:ind w:left="426"/>
        <w:rPr>
          <w:rFonts w:ascii="Arial" w:hAnsi="Arial" w:cs="Arial"/>
          <w:iCs/>
        </w:rPr>
      </w:pPr>
      <w:r w:rsidRPr="00C46669">
        <w:rPr>
          <w:rFonts w:ascii="Arial" w:hAnsi="Arial" w:cs="Arial"/>
        </w:rPr>
        <w:t>●</w:t>
      </w:r>
      <w:r w:rsidR="00C46669" w:rsidRPr="00C46669">
        <w:rPr>
          <w:rFonts w:ascii="Arial" w:hAnsi="Arial" w:cs="Arial"/>
        </w:rPr>
        <w:t xml:space="preserve"> </w:t>
      </w:r>
      <w:r w:rsidR="00AE1694">
        <w:rPr>
          <w:rFonts w:ascii="Arial" w:hAnsi="Arial" w:cs="Arial"/>
          <w:iCs/>
        </w:rPr>
        <w:t>xxxxxxxxxxxxx</w:t>
      </w:r>
    </w:p>
    <w:p w14:paraId="66B44ED6" w14:textId="0C75B3C8" w:rsidR="00C46669" w:rsidRPr="00FE1AFD" w:rsidRDefault="00C46669" w:rsidP="00C46669">
      <w:pPr>
        <w:keepNext/>
        <w:keepLines/>
        <w:tabs>
          <w:tab w:val="left" w:pos="-2268"/>
        </w:tabs>
        <w:spacing w:before="60" w:after="60"/>
        <w:ind w:left="426"/>
        <w:rPr>
          <w:rFonts w:ascii="Arial" w:hAnsi="Arial" w:cs="Arial"/>
          <w:iCs/>
        </w:rPr>
      </w:pPr>
      <w:r w:rsidRPr="00FE1AFD">
        <w:rPr>
          <w:rFonts w:ascii="Arial" w:hAnsi="Arial" w:cs="Arial"/>
          <w:iCs/>
        </w:rPr>
        <w:t xml:space="preserve">telefon: +420 </w:t>
      </w:r>
      <w:r w:rsidR="00AE1694">
        <w:rPr>
          <w:rFonts w:ascii="Arial" w:hAnsi="Arial" w:cs="Arial"/>
          <w:iCs/>
        </w:rPr>
        <w:t>xxxxxxxxxx</w:t>
      </w:r>
    </w:p>
    <w:p w14:paraId="2E414674" w14:textId="7DBCC277" w:rsidR="00C46669" w:rsidRPr="00FE1AFD" w:rsidRDefault="00C46669" w:rsidP="00C46669">
      <w:pPr>
        <w:keepNext/>
        <w:keepLines/>
        <w:tabs>
          <w:tab w:val="left" w:pos="-2268"/>
        </w:tabs>
        <w:spacing w:before="60" w:after="60"/>
        <w:ind w:left="426"/>
        <w:rPr>
          <w:rFonts w:ascii="Arial" w:hAnsi="Arial" w:cs="Arial"/>
          <w:iCs/>
        </w:rPr>
      </w:pPr>
      <w:r w:rsidRPr="00FE1AFD">
        <w:rPr>
          <w:rFonts w:ascii="Arial" w:hAnsi="Arial" w:cs="Arial"/>
          <w:iCs/>
        </w:rPr>
        <w:t xml:space="preserve">e-mail: </w:t>
      </w:r>
      <w:hyperlink r:id="rId18" w:history="1">
        <w:r w:rsidR="00AE1694">
          <w:rPr>
            <w:rStyle w:val="Hypertextovodkaz"/>
            <w:rFonts w:ascii="Arial" w:hAnsi="Arial" w:cs="Arial"/>
            <w:iCs/>
          </w:rPr>
          <w:t>xxxxxxxxxxxxxxx</w:t>
        </w:r>
      </w:hyperlink>
    </w:p>
    <w:p w14:paraId="6D2D7256" w14:textId="33D5AE01" w:rsidR="003F436E" w:rsidRPr="003F436E" w:rsidRDefault="00C46669" w:rsidP="00C46669">
      <w:pPr>
        <w:keepNext/>
        <w:keepLines/>
        <w:tabs>
          <w:tab w:val="left" w:pos="-2268"/>
        </w:tabs>
        <w:spacing w:before="60" w:after="60"/>
        <w:ind w:left="426"/>
        <w:rPr>
          <w:rFonts w:ascii="Arial" w:hAnsi="Arial" w:cs="Arial"/>
        </w:rPr>
      </w:pPr>
      <w:r w:rsidRPr="00FE1AFD">
        <w:rPr>
          <w:rFonts w:ascii="Arial" w:hAnsi="Arial" w:cs="Arial"/>
          <w:iCs/>
        </w:rPr>
        <w:t>koresponden</w:t>
      </w:r>
      <w:r w:rsidRPr="00FE1AFD">
        <w:rPr>
          <w:rFonts w:ascii="Arial" w:hAnsi="Arial" w:cs="Arial" w:hint="eastAsia"/>
          <w:iCs/>
        </w:rPr>
        <w:t>č</w:t>
      </w:r>
      <w:r w:rsidRPr="00FE1AFD">
        <w:rPr>
          <w:rFonts w:ascii="Arial" w:hAnsi="Arial" w:cs="Arial"/>
          <w:iCs/>
        </w:rPr>
        <w:t>n</w:t>
      </w:r>
      <w:r w:rsidRPr="00FE1AFD">
        <w:rPr>
          <w:rFonts w:ascii="Arial" w:hAnsi="Arial" w:cs="Arial" w:hint="eastAsia"/>
          <w:iCs/>
        </w:rPr>
        <w:t>í</w:t>
      </w:r>
      <w:r w:rsidRPr="00FE1AFD">
        <w:rPr>
          <w:rFonts w:ascii="Arial" w:hAnsi="Arial" w:cs="Arial"/>
          <w:iCs/>
        </w:rPr>
        <w:t xml:space="preserve"> adresa: Augustinova 2069/4, 148 00 Praha 4 - Chodov</w:t>
      </w:r>
      <w:r w:rsidR="003F436E" w:rsidRPr="00276330">
        <w:rPr>
          <w:rFonts w:ascii="Arial" w:hAnsi="Arial" w:cs="Arial"/>
          <w:color w:val="FF0000"/>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36F93AB2"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19" w:history="1">
        <w:r w:rsidR="00AE1694">
          <w:rPr>
            <w:rFonts w:ascii="Arial" w:hAnsi="Arial" w:cs="Arial"/>
            <w:b/>
            <w:color w:val="0000FF" w:themeColor="hyperlink"/>
            <w:u w:val="single"/>
          </w:rPr>
          <w:t>xxxxxxxxxxxx</w:t>
        </w:r>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7821D3E8" w14:textId="729154C8" w:rsidR="000D3671" w:rsidRPr="00583A3F" w:rsidRDefault="003F436E" w:rsidP="00A475CA">
      <w:pPr>
        <w:keepNext/>
        <w:keepLines/>
        <w:tabs>
          <w:tab w:val="left" w:pos="-2268"/>
        </w:tabs>
        <w:spacing w:before="60" w:after="60"/>
        <w:rPr>
          <w:rFonts w:ascii="Arial" w:hAnsi="Arial" w:cs="Arial"/>
        </w:rPr>
      </w:pPr>
      <w:r w:rsidRPr="003F436E">
        <w:rPr>
          <w:rFonts w:ascii="Arial" w:hAnsi="Arial" w:cs="Arial"/>
        </w:rPr>
        <w:tab/>
      </w:r>
      <w:hyperlink r:id="rId20" w:history="1">
        <w:r w:rsidR="00AE1694">
          <w:rPr>
            <w:rStyle w:val="Hypertextovodkaz"/>
            <w:rFonts w:ascii="Arial" w:hAnsi="Arial" w:cs="Arial"/>
            <w:b/>
            <w:bCs/>
          </w:rPr>
          <w:t>xxxxxxxxxxxxx</w:t>
        </w:r>
      </w:hyperlink>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FC75C7">
            <w:rPr>
              <w:i/>
              <w:sz w:val="16"/>
              <w:szCs w:val="16"/>
            </w:rPr>
            <w:t>VD-</w:t>
          </w:r>
          <w:r w:rsidR="00BB38B9" w:rsidRPr="00FC75C7">
            <w:rPr>
              <w:i/>
              <w:sz w:val="16"/>
              <w:szCs w:val="16"/>
            </w:rPr>
            <w:t>77/W/</w:t>
          </w:r>
          <w:r w:rsidR="00583A3F" w:rsidRPr="00FC75C7">
            <w:rPr>
              <w:i/>
              <w:sz w:val="16"/>
              <w:szCs w:val="16"/>
            </w:rPr>
            <w:t>5</w:t>
          </w:r>
          <w:r w:rsidR="00BB38B9" w:rsidRPr="00FC75C7">
            <w:rPr>
              <w:i/>
              <w:sz w:val="16"/>
              <w:szCs w:val="16"/>
            </w:rPr>
            <w:t>/</w:t>
          </w:r>
          <w:r w:rsidR="00583A3F" w:rsidRPr="00FC75C7">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FC75C7">
                <w:rPr>
                  <w:i/>
                  <w:sz w:val="14"/>
                  <w:szCs w:val="14"/>
                </w:rPr>
                <w:t>VD-77/W/</w:t>
              </w:r>
              <w:r w:rsidR="00583A3F" w:rsidRPr="00FC75C7">
                <w:rPr>
                  <w:i/>
                  <w:sz w:val="14"/>
                  <w:szCs w:val="14"/>
                </w:rPr>
                <w:t>5</w:t>
              </w:r>
              <w:r w:rsidRPr="00FC75C7">
                <w:rPr>
                  <w:i/>
                  <w:sz w:val="14"/>
                  <w:szCs w:val="14"/>
                </w:rPr>
                <w:t>/</w:t>
              </w:r>
              <w:r w:rsidR="00583A3F" w:rsidRPr="00FC75C7">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AE1694"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671"/>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1283B"/>
    <w:rsid w:val="004129E3"/>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86F48"/>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2E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2769"/>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1B6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0A0D"/>
    <w:rsid w:val="009A15FE"/>
    <w:rsid w:val="009A72C0"/>
    <w:rsid w:val="009B5653"/>
    <w:rsid w:val="009B5E73"/>
    <w:rsid w:val="009B68CD"/>
    <w:rsid w:val="009C19E2"/>
    <w:rsid w:val="009C5161"/>
    <w:rsid w:val="009C592D"/>
    <w:rsid w:val="009C6FA2"/>
    <w:rsid w:val="009C7B8E"/>
    <w:rsid w:val="009D13BB"/>
    <w:rsid w:val="009D243B"/>
    <w:rsid w:val="009D3C5B"/>
    <w:rsid w:val="009D4192"/>
    <w:rsid w:val="009E2722"/>
    <w:rsid w:val="009E30A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475CA"/>
    <w:rsid w:val="00A54731"/>
    <w:rsid w:val="00A56F38"/>
    <w:rsid w:val="00A61ECD"/>
    <w:rsid w:val="00A62C9D"/>
    <w:rsid w:val="00A64DFC"/>
    <w:rsid w:val="00A740F0"/>
    <w:rsid w:val="00A74983"/>
    <w:rsid w:val="00A75257"/>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5AB5"/>
    <w:rsid w:val="00AE1694"/>
    <w:rsid w:val="00AE3D1C"/>
    <w:rsid w:val="00AE3D28"/>
    <w:rsid w:val="00AE5461"/>
    <w:rsid w:val="00AE5A7C"/>
    <w:rsid w:val="00AF1407"/>
    <w:rsid w:val="00AF27EC"/>
    <w:rsid w:val="00AF2849"/>
    <w:rsid w:val="00AF3A72"/>
    <w:rsid w:val="00AF6D02"/>
    <w:rsid w:val="00B0158E"/>
    <w:rsid w:val="00B05097"/>
    <w:rsid w:val="00B06B07"/>
    <w:rsid w:val="00B07EFB"/>
    <w:rsid w:val="00B10B64"/>
    <w:rsid w:val="00B16F61"/>
    <w:rsid w:val="00B2125F"/>
    <w:rsid w:val="00B323D5"/>
    <w:rsid w:val="00B4013C"/>
    <w:rsid w:val="00B421BD"/>
    <w:rsid w:val="00B527B6"/>
    <w:rsid w:val="00B6033F"/>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615"/>
    <w:rsid w:val="00C05FDB"/>
    <w:rsid w:val="00C0780C"/>
    <w:rsid w:val="00C261DE"/>
    <w:rsid w:val="00C3323B"/>
    <w:rsid w:val="00C368AE"/>
    <w:rsid w:val="00C40288"/>
    <w:rsid w:val="00C40782"/>
    <w:rsid w:val="00C46669"/>
    <w:rsid w:val="00C50BBA"/>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C62A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30A5"/>
    <w:rsid w:val="00EC56F1"/>
    <w:rsid w:val="00EC6C9A"/>
    <w:rsid w:val="00EC6F0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3181"/>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C75C7"/>
    <w:rsid w:val="00FD22A5"/>
    <w:rsid w:val="00FD2B95"/>
    <w:rsid w:val="00FD4144"/>
    <w:rsid w:val="00FD4EBD"/>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8F1B6C"/>
    <w:pPr>
      <w:autoSpaceDE w:val="0"/>
      <w:autoSpaceDN w:val="0"/>
      <w:spacing w:before="57" w:after="0" w:line="220" w:lineRule="atLeast"/>
      <w:jc w:val="both"/>
    </w:pPr>
    <w:rPr>
      <w:rFonts w:ascii="Times" w:eastAsia="Times New Roman" w:hAnsi="Times" w:cs="Times"/>
      <w:color w:val="000000"/>
      <w:sz w:val="20"/>
      <w:szCs w:val="20"/>
      <w:lang w:eastAsia="cs-CZ"/>
    </w:rPr>
  </w:style>
  <w:style w:type="character" w:styleId="Nevyeenzmnka">
    <w:name w:val="Unresolved Mention"/>
    <w:basedOn w:val="Standardnpsmoodstavce"/>
    <w:uiPriority w:val="99"/>
    <w:semiHidden/>
    <w:unhideWhenUsed/>
    <w:rsid w:val="00520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novotnyvlastislav@seznam.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jerabek@sinpp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tomas@tsk-praha.cz" TargetMode="External"/><Relationship Id="rId20" Type="http://schemas.openxmlformats.org/officeDocument/2006/relationships/hyperlink" Target="mailto:rejzkova@pontex.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400F33"/>
    <w:rsid w:val="0041283B"/>
    <w:rsid w:val="00440286"/>
    <w:rsid w:val="005B58B1"/>
    <w:rsid w:val="005D2647"/>
    <w:rsid w:val="006A388F"/>
    <w:rsid w:val="006A5C5E"/>
    <w:rsid w:val="006B787B"/>
    <w:rsid w:val="00745643"/>
    <w:rsid w:val="007966A5"/>
    <w:rsid w:val="008119F4"/>
    <w:rsid w:val="00860D40"/>
    <w:rsid w:val="0087582D"/>
    <w:rsid w:val="009878FA"/>
    <w:rsid w:val="009A0A0D"/>
    <w:rsid w:val="009B10FA"/>
    <w:rsid w:val="00AA5422"/>
    <w:rsid w:val="00B10B64"/>
    <w:rsid w:val="00CE1D4A"/>
    <w:rsid w:val="00D051C8"/>
    <w:rsid w:val="00D30D5D"/>
    <w:rsid w:val="00E16322"/>
    <w:rsid w:val="00E72960"/>
    <w:rsid w:val="00E955B7"/>
    <w:rsid w:val="00EF5142"/>
    <w:rsid w:val="00F41A1B"/>
    <w:rsid w:val="00F731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7B8C-3E80-4F94-8D4D-3402DB2ED2D5}">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07f3cc84-d0a4-4be5-94d3-3c3ec02abe0c"/>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6505</Words>
  <Characters>38385</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7</cp:revision>
  <cp:lastPrinted>2025-11-27T13:15:00Z</cp:lastPrinted>
  <dcterms:created xsi:type="dcterms:W3CDTF">2025-12-04T06:40:00Z</dcterms:created>
  <dcterms:modified xsi:type="dcterms:W3CDTF">2025-12-04T06:43:00Z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