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C7AE" w14:textId="4E57F907" w:rsidR="00AC3D27" w:rsidRPr="00AC3D27" w:rsidRDefault="00AC3D27" w:rsidP="00AC3D27">
      <w:pPr>
        <w:spacing w:after="0" w:line="240" w:lineRule="auto"/>
        <w:jc w:val="center"/>
        <w:rPr>
          <w:b/>
          <w:bCs/>
        </w:rPr>
      </w:pPr>
      <w:r w:rsidRPr="00AC3D27">
        <w:rPr>
          <w:b/>
          <w:bCs/>
        </w:rPr>
        <w:t xml:space="preserve">Dodatek č. </w:t>
      </w:r>
      <w:r w:rsidR="00B3490F">
        <w:rPr>
          <w:b/>
          <w:bCs/>
        </w:rPr>
        <w:t>1</w:t>
      </w:r>
      <w:r>
        <w:t xml:space="preserve"> </w:t>
      </w:r>
      <w:r w:rsidRPr="00AC3D27">
        <w:rPr>
          <w:b/>
          <w:bCs/>
        </w:rPr>
        <w:t xml:space="preserve">ke SMLOUVĚ O </w:t>
      </w:r>
      <w:r w:rsidR="00B3490F" w:rsidRPr="0081582E">
        <w:rPr>
          <w:rFonts w:asciiTheme="minorHAnsi" w:hAnsiTheme="minorHAnsi" w:cstheme="minorHAnsi"/>
          <w:b/>
        </w:rPr>
        <w:t>REALIZACI PROJEKTU ENGAGE</w:t>
      </w:r>
    </w:p>
    <w:p w14:paraId="17FE2792" w14:textId="77777777" w:rsidR="00AC3D27" w:rsidRDefault="00AC3D27" w:rsidP="00AC3D27">
      <w:pPr>
        <w:spacing w:after="0" w:line="240" w:lineRule="auto"/>
        <w:jc w:val="center"/>
      </w:pPr>
      <w:r>
        <w:t xml:space="preserve">uzavřené dle </w:t>
      </w:r>
      <w:proofErr w:type="spellStart"/>
      <w:r>
        <w:t>ust</w:t>
      </w:r>
      <w:proofErr w:type="spellEnd"/>
      <w:r>
        <w:t>. § 1746 odst. 2) zákona č. 89/2012 Sb., občanský zákoník, ve znění pozdějších předpisů</w:t>
      </w:r>
    </w:p>
    <w:p w14:paraId="0C40B8DA" w14:textId="77777777" w:rsidR="00AC3D27" w:rsidRDefault="00AC3D27" w:rsidP="00AC3D27">
      <w:pPr>
        <w:spacing w:after="0" w:line="240" w:lineRule="auto"/>
      </w:pPr>
    </w:p>
    <w:p w14:paraId="2A002823" w14:textId="77777777" w:rsidR="00AC3D27" w:rsidRPr="00AC3D27" w:rsidRDefault="00AC3D27" w:rsidP="00AC3D27">
      <w:pPr>
        <w:spacing w:after="0" w:line="240" w:lineRule="auto"/>
        <w:jc w:val="center"/>
        <w:rPr>
          <w:b/>
          <w:bCs/>
        </w:rPr>
      </w:pPr>
      <w:r w:rsidRPr="00AC3D27">
        <w:rPr>
          <w:b/>
          <w:bCs/>
        </w:rPr>
        <w:t>Článek 1</w:t>
      </w:r>
    </w:p>
    <w:p w14:paraId="63108F3E" w14:textId="77777777" w:rsidR="00AC3D27" w:rsidRPr="00AC3D27" w:rsidRDefault="00AC3D27" w:rsidP="00AC3D27">
      <w:pPr>
        <w:spacing w:after="0" w:line="240" w:lineRule="auto"/>
        <w:jc w:val="center"/>
        <w:rPr>
          <w:b/>
          <w:bCs/>
        </w:rPr>
      </w:pPr>
      <w:r w:rsidRPr="00AC3D27">
        <w:rPr>
          <w:b/>
          <w:bCs/>
        </w:rPr>
        <w:t>Smluvní strany</w:t>
      </w:r>
    </w:p>
    <w:p w14:paraId="0D543723" w14:textId="77777777" w:rsidR="00AC3D27" w:rsidRDefault="00AC3D27" w:rsidP="00AC3D27">
      <w:pPr>
        <w:spacing w:after="0" w:line="240" w:lineRule="auto"/>
      </w:pPr>
    </w:p>
    <w:p w14:paraId="3BC3354A" w14:textId="77777777" w:rsidR="00AC3D27" w:rsidRPr="00AC3D27" w:rsidRDefault="00AC3D27" w:rsidP="00AC3D27">
      <w:pPr>
        <w:autoSpaceDE w:val="0"/>
        <w:autoSpaceDN w:val="0"/>
        <w:adjustRightInd w:val="0"/>
        <w:spacing w:after="0" w:line="240" w:lineRule="auto"/>
        <w:rPr>
          <w:rFonts w:eastAsiaTheme="minorHAnsi" w:cs="Calibri"/>
          <w:color w:val="000000"/>
          <w:sz w:val="24"/>
          <w:szCs w:val="24"/>
        </w:rPr>
      </w:pPr>
    </w:p>
    <w:p w14:paraId="4DCA8F0C" w14:textId="77777777" w:rsidR="00B3490F" w:rsidRPr="0081582E" w:rsidRDefault="00B3490F" w:rsidP="00B3490F">
      <w:pPr>
        <w:spacing w:after="0" w:line="240" w:lineRule="auto"/>
        <w:jc w:val="both"/>
        <w:rPr>
          <w:rFonts w:eastAsia="SimSun" w:cstheme="minorHAnsi"/>
          <w:b/>
          <w:color w:val="00000A"/>
          <w:lang w:eastAsia="ar-SA"/>
        </w:rPr>
      </w:pPr>
      <w:r w:rsidRPr="0081582E">
        <w:rPr>
          <w:rFonts w:eastAsia="SimSun" w:cstheme="minorHAnsi"/>
          <w:b/>
          <w:color w:val="00000A"/>
          <w:lang w:eastAsia="ar-SA"/>
        </w:rPr>
        <w:t>Thomas International CZ s.r.o.</w:t>
      </w:r>
    </w:p>
    <w:p w14:paraId="6EDE8D48" w14:textId="77777777" w:rsidR="00B3490F" w:rsidRPr="0081582E" w:rsidRDefault="00B3490F" w:rsidP="00B3490F">
      <w:pPr>
        <w:spacing w:after="0" w:line="240" w:lineRule="auto"/>
        <w:jc w:val="both"/>
        <w:rPr>
          <w:rFonts w:eastAsia="SimSun" w:cstheme="minorHAnsi"/>
          <w:bCs/>
          <w:color w:val="00000A"/>
          <w:lang w:eastAsia="ar-SA"/>
        </w:rPr>
      </w:pPr>
      <w:r w:rsidRPr="0081582E">
        <w:rPr>
          <w:rFonts w:eastAsia="SimSun" w:cstheme="minorHAnsi"/>
          <w:bCs/>
          <w:color w:val="00000A"/>
          <w:lang w:eastAsia="ar-SA"/>
        </w:rPr>
        <w:t>se sídlem: Lelkova 930/56, 637 00 Brno – Jundrov</w:t>
      </w:r>
    </w:p>
    <w:p w14:paraId="6ADEFFC2" w14:textId="77777777" w:rsidR="00B3490F" w:rsidRPr="0081582E" w:rsidRDefault="00B3490F" w:rsidP="00B3490F">
      <w:pPr>
        <w:spacing w:after="0" w:line="240" w:lineRule="auto"/>
        <w:jc w:val="both"/>
        <w:rPr>
          <w:rFonts w:eastAsia="SimSun" w:cstheme="minorHAnsi"/>
          <w:bCs/>
          <w:color w:val="00000A"/>
          <w:lang w:eastAsia="ar-SA"/>
        </w:rPr>
      </w:pPr>
      <w:r w:rsidRPr="0081582E">
        <w:rPr>
          <w:rFonts w:eastAsia="SimSun" w:cstheme="minorHAnsi"/>
          <w:bCs/>
          <w:color w:val="00000A"/>
          <w:lang w:eastAsia="ar-SA"/>
        </w:rPr>
        <w:t>IČ: 25294610, DIČ: CZ25294610</w:t>
      </w:r>
    </w:p>
    <w:p w14:paraId="0806B861" w14:textId="77777777" w:rsidR="00B3490F" w:rsidRPr="0081582E" w:rsidRDefault="00B3490F" w:rsidP="00B3490F">
      <w:pPr>
        <w:spacing w:after="0" w:line="240" w:lineRule="auto"/>
        <w:jc w:val="both"/>
        <w:rPr>
          <w:rFonts w:eastAsia="SimSun" w:cstheme="minorHAnsi"/>
          <w:bCs/>
          <w:color w:val="00000A"/>
          <w:lang w:eastAsia="ar-SA"/>
        </w:rPr>
      </w:pPr>
      <w:r w:rsidRPr="0081582E">
        <w:rPr>
          <w:rFonts w:eastAsia="SimSun" w:cstheme="minorHAnsi"/>
          <w:bCs/>
          <w:color w:val="00000A"/>
          <w:lang w:eastAsia="ar-SA"/>
        </w:rPr>
        <w:t xml:space="preserve">zapsaná v OR vedeném Krajským soudem v Brně, pod </w:t>
      </w:r>
      <w:proofErr w:type="spellStart"/>
      <w:r w:rsidRPr="0081582E">
        <w:rPr>
          <w:rFonts w:eastAsia="SimSun" w:cstheme="minorHAnsi"/>
          <w:bCs/>
          <w:color w:val="00000A"/>
          <w:lang w:eastAsia="ar-SA"/>
        </w:rPr>
        <w:t>sp</w:t>
      </w:r>
      <w:proofErr w:type="spellEnd"/>
      <w:r w:rsidRPr="0081582E">
        <w:rPr>
          <w:rFonts w:eastAsia="SimSun" w:cstheme="minorHAnsi"/>
          <w:bCs/>
          <w:color w:val="00000A"/>
          <w:lang w:eastAsia="ar-SA"/>
        </w:rPr>
        <w:t>. zn. C105108</w:t>
      </w:r>
    </w:p>
    <w:p w14:paraId="04DC214E" w14:textId="77777777" w:rsidR="00B3490F" w:rsidRPr="0081582E" w:rsidRDefault="00B3490F" w:rsidP="00B3490F">
      <w:pPr>
        <w:spacing w:after="0" w:line="240" w:lineRule="auto"/>
        <w:jc w:val="both"/>
        <w:rPr>
          <w:rFonts w:eastAsia="SimSun" w:cstheme="minorHAnsi"/>
          <w:bCs/>
          <w:color w:val="00000A"/>
          <w:lang w:eastAsia="ar-SA"/>
        </w:rPr>
      </w:pPr>
      <w:r w:rsidRPr="0081582E">
        <w:rPr>
          <w:rFonts w:eastAsia="SimSun" w:cstheme="minorHAnsi"/>
          <w:bCs/>
          <w:color w:val="00000A"/>
          <w:lang w:eastAsia="ar-SA"/>
        </w:rPr>
        <w:t>zastoupena: Mgr. Soňou Nedomovou, jednatelkou</w:t>
      </w:r>
    </w:p>
    <w:p w14:paraId="0BF66C6E" w14:textId="7C666FA0" w:rsidR="00B3490F" w:rsidRPr="0081582E" w:rsidRDefault="00B3490F" w:rsidP="00B3490F">
      <w:pPr>
        <w:spacing w:after="0" w:line="240" w:lineRule="auto"/>
        <w:jc w:val="both"/>
        <w:rPr>
          <w:rFonts w:eastAsia="SimSun" w:cstheme="minorHAnsi"/>
          <w:bCs/>
          <w:color w:val="00000A"/>
          <w:lang w:eastAsia="ar-SA"/>
        </w:rPr>
      </w:pPr>
      <w:r w:rsidRPr="0081582E">
        <w:rPr>
          <w:rFonts w:eastAsia="SimSun" w:cstheme="minorHAnsi"/>
          <w:bCs/>
          <w:color w:val="00000A"/>
          <w:lang w:eastAsia="ar-SA"/>
        </w:rPr>
        <w:t xml:space="preserve">kontaktní osoba: </w:t>
      </w:r>
    </w:p>
    <w:p w14:paraId="07AA6931" w14:textId="00D53B0D" w:rsidR="00B3490F" w:rsidRPr="0081582E" w:rsidRDefault="00B3490F" w:rsidP="00B3490F">
      <w:pPr>
        <w:spacing w:after="0" w:line="240" w:lineRule="auto"/>
        <w:jc w:val="both"/>
        <w:rPr>
          <w:rFonts w:cstheme="minorHAnsi"/>
        </w:rPr>
      </w:pPr>
      <w:r w:rsidRPr="0081582E">
        <w:rPr>
          <w:rFonts w:cstheme="minorHAnsi"/>
        </w:rPr>
        <w:t xml:space="preserve">bankovní spojení: </w:t>
      </w:r>
    </w:p>
    <w:p w14:paraId="2F923D3E" w14:textId="0F4700D2" w:rsidR="00B3490F" w:rsidRPr="0081582E" w:rsidRDefault="00B3490F" w:rsidP="00B3490F">
      <w:pPr>
        <w:spacing w:after="0" w:line="240" w:lineRule="auto"/>
        <w:jc w:val="both"/>
        <w:rPr>
          <w:rFonts w:cstheme="minorHAnsi"/>
        </w:rPr>
      </w:pPr>
      <w:r w:rsidRPr="0081582E">
        <w:rPr>
          <w:rFonts w:cstheme="minorHAnsi"/>
        </w:rPr>
        <w:t xml:space="preserve">číslo účtu: </w:t>
      </w:r>
    </w:p>
    <w:p w14:paraId="18442F18" w14:textId="77777777" w:rsidR="00B3490F" w:rsidRPr="0081582E" w:rsidRDefault="00B3490F" w:rsidP="00B3490F">
      <w:pPr>
        <w:spacing w:after="0" w:line="240" w:lineRule="auto"/>
        <w:jc w:val="both"/>
        <w:rPr>
          <w:rStyle w:val="apple-converted-space"/>
          <w:rFonts w:cstheme="minorHAnsi"/>
          <w:bCs/>
          <w:shd w:val="clear" w:color="auto" w:fill="FFFFFF"/>
        </w:rPr>
      </w:pPr>
      <w:r w:rsidRPr="0081582E">
        <w:rPr>
          <w:rFonts w:cstheme="minorHAnsi"/>
        </w:rPr>
        <w:t>ID datové schránky: iri68wu</w:t>
      </w:r>
    </w:p>
    <w:p w14:paraId="38A13E82" w14:textId="000AA54A" w:rsidR="00AC3D27" w:rsidRDefault="00AC3D27" w:rsidP="00AC3D27">
      <w:pPr>
        <w:spacing w:after="0" w:line="240" w:lineRule="auto"/>
        <w:rPr>
          <w:rFonts w:eastAsiaTheme="minorHAnsi" w:cs="Calibri"/>
          <w:color w:val="000009"/>
        </w:rPr>
      </w:pPr>
      <w:r w:rsidRPr="00AC3D27">
        <w:rPr>
          <w:rFonts w:eastAsiaTheme="minorHAnsi" w:cs="Calibri"/>
          <w:color w:val="000009"/>
        </w:rPr>
        <w:t>(dále jen „</w:t>
      </w:r>
      <w:r w:rsidR="00B3490F">
        <w:rPr>
          <w:rFonts w:eastAsiaTheme="minorHAnsi" w:cs="Calibri"/>
          <w:color w:val="000009"/>
        </w:rPr>
        <w:t>Poskytovatel</w:t>
      </w:r>
      <w:r w:rsidRPr="00AC3D27">
        <w:rPr>
          <w:rFonts w:eastAsiaTheme="minorHAnsi" w:cs="Calibri"/>
          <w:color w:val="000009"/>
        </w:rPr>
        <w:t>“)</w:t>
      </w:r>
    </w:p>
    <w:p w14:paraId="4A015E8F" w14:textId="77777777" w:rsidR="00AC3D27" w:rsidRDefault="00AC3D27" w:rsidP="00AC3D27">
      <w:pPr>
        <w:spacing w:after="0" w:line="240" w:lineRule="auto"/>
      </w:pPr>
    </w:p>
    <w:p w14:paraId="1CE7DF1D" w14:textId="77777777" w:rsidR="00AC3D27" w:rsidRDefault="00AC3D27" w:rsidP="00AC3D27">
      <w:pPr>
        <w:spacing w:after="0" w:line="240" w:lineRule="auto"/>
      </w:pPr>
      <w:r>
        <w:t>a</w:t>
      </w:r>
    </w:p>
    <w:p w14:paraId="066725DE" w14:textId="77777777" w:rsidR="00AC3D27" w:rsidRDefault="00AC3D27" w:rsidP="00AC3D27">
      <w:pPr>
        <w:spacing w:after="0" w:line="240" w:lineRule="auto"/>
      </w:pPr>
    </w:p>
    <w:p w14:paraId="3E247051" w14:textId="3C73DCDD" w:rsidR="00AC3D27" w:rsidRDefault="00AC3D27" w:rsidP="00AC3D27">
      <w:pPr>
        <w:spacing w:after="0" w:line="240" w:lineRule="auto"/>
      </w:pPr>
      <w:r w:rsidRPr="00AC3D27">
        <w:rPr>
          <w:b/>
          <w:bCs/>
        </w:rPr>
        <w:t xml:space="preserve">Vysočina </w:t>
      </w:r>
      <w:proofErr w:type="spellStart"/>
      <w:r w:rsidRPr="00AC3D27">
        <w:rPr>
          <w:b/>
          <w:bCs/>
        </w:rPr>
        <w:t>Service</w:t>
      </w:r>
      <w:proofErr w:type="spellEnd"/>
      <w:r w:rsidRPr="00AC3D27">
        <w:rPr>
          <w:b/>
          <w:bCs/>
        </w:rPr>
        <w:t>, příspěvková organizace</w:t>
      </w:r>
    </w:p>
    <w:p w14:paraId="16F5B5E2" w14:textId="77777777" w:rsidR="00AC3D27" w:rsidRDefault="00AC3D27" w:rsidP="00AC3D27">
      <w:pPr>
        <w:spacing w:after="0" w:line="240" w:lineRule="auto"/>
      </w:pPr>
      <w:r>
        <w:t>se sídlem Ke Skalce 5907/47, 586 01 Jihlava,</w:t>
      </w:r>
    </w:p>
    <w:p w14:paraId="6B4F6C80" w14:textId="71DE9275" w:rsidR="00AC3D27" w:rsidRDefault="00AC3D27" w:rsidP="00AC3D27">
      <w:pPr>
        <w:spacing w:after="0" w:line="240" w:lineRule="auto"/>
      </w:pPr>
      <w:r>
        <w:t>IČO: 71294376</w:t>
      </w:r>
    </w:p>
    <w:p w14:paraId="02A590FD" w14:textId="26B75511" w:rsidR="00AC3D27" w:rsidRDefault="00AC3D27" w:rsidP="00AC3D27">
      <w:pPr>
        <w:spacing w:after="0" w:line="240" w:lineRule="auto"/>
      </w:pPr>
      <w:r>
        <w:t>DIČ: CZ71294376</w:t>
      </w:r>
    </w:p>
    <w:p w14:paraId="61025CB0" w14:textId="77777777" w:rsidR="00AC3D27" w:rsidRDefault="00AC3D27" w:rsidP="00AC3D27">
      <w:pPr>
        <w:spacing w:after="0" w:line="240" w:lineRule="auto"/>
      </w:pPr>
      <w:r>
        <w:t xml:space="preserve">zapsaná v obchodním rejstříku vedeném Krajským soudem v Brně, spisová značka </w:t>
      </w:r>
      <w:proofErr w:type="spellStart"/>
      <w:r>
        <w:t>Pr</w:t>
      </w:r>
      <w:proofErr w:type="spellEnd"/>
      <w:r>
        <w:t xml:space="preserve"> 1932</w:t>
      </w:r>
    </w:p>
    <w:p w14:paraId="32AAC53F" w14:textId="77777777" w:rsidR="00AC3D27" w:rsidRDefault="00AC3D27" w:rsidP="00AC3D27">
      <w:pPr>
        <w:spacing w:after="0" w:line="240" w:lineRule="auto"/>
      </w:pPr>
      <w:r>
        <w:t>zastoupená ředitelkou Ing. Erikou Šteflovou, MBA</w:t>
      </w:r>
    </w:p>
    <w:p w14:paraId="18335B34" w14:textId="31F73A61" w:rsidR="00AC3D27" w:rsidRDefault="00AC3D27" w:rsidP="00AC3D27">
      <w:pPr>
        <w:spacing w:after="0" w:line="240" w:lineRule="auto"/>
      </w:pPr>
      <w:r>
        <w:t xml:space="preserve">Kontaktní osoba: </w:t>
      </w:r>
    </w:p>
    <w:p w14:paraId="053E85A7" w14:textId="74876228" w:rsidR="00AC3D27" w:rsidRDefault="00AC3D27" w:rsidP="00AC3D27">
      <w:pPr>
        <w:spacing w:after="0" w:line="240" w:lineRule="auto"/>
      </w:pPr>
      <w:r>
        <w:t xml:space="preserve">Číslo účtu: </w:t>
      </w:r>
    </w:p>
    <w:p w14:paraId="4A9A0E24" w14:textId="77777777" w:rsidR="00AC3D27" w:rsidRDefault="00AC3D27" w:rsidP="00AC3D27">
      <w:pPr>
        <w:spacing w:after="0" w:line="240" w:lineRule="auto"/>
      </w:pPr>
      <w:r>
        <w:t xml:space="preserve">ID datové schránky: </w:t>
      </w:r>
      <w:proofErr w:type="spellStart"/>
      <w:r>
        <w:t>westzkg</w:t>
      </w:r>
      <w:proofErr w:type="spellEnd"/>
    </w:p>
    <w:p w14:paraId="131D56F1" w14:textId="39C9F552" w:rsidR="00AC3D27" w:rsidRDefault="00AC3D27" w:rsidP="00AC3D27">
      <w:pPr>
        <w:spacing w:after="0" w:line="240" w:lineRule="auto"/>
      </w:pPr>
      <w:r>
        <w:t>(dále jen „</w:t>
      </w:r>
      <w:r w:rsidR="00B3490F">
        <w:t>Objednatel</w:t>
      </w:r>
      <w:r>
        <w:t>“).</w:t>
      </w:r>
    </w:p>
    <w:p w14:paraId="679D298D" w14:textId="77777777" w:rsidR="00AC3D27" w:rsidRDefault="00AC3D27" w:rsidP="00AC3D27">
      <w:pPr>
        <w:spacing w:after="0" w:line="240" w:lineRule="auto"/>
      </w:pPr>
    </w:p>
    <w:p w14:paraId="134FE370" w14:textId="4E4A4DCD" w:rsidR="00AC3D27" w:rsidRDefault="00AC3D27" w:rsidP="00AC3D27">
      <w:pPr>
        <w:spacing w:after="0" w:line="240" w:lineRule="auto"/>
      </w:pPr>
      <w:r>
        <w:t xml:space="preserve">se dohodly na níže uvedeném dodatku č. </w:t>
      </w:r>
      <w:r w:rsidR="00B3490F">
        <w:t>1</w:t>
      </w:r>
      <w:r>
        <w:t xml:space="preserve"> ke smlouvě o </w:t>
      </w:r>
      <w:r w:rsidR="00B3490F">
        <w:t xml:space="preserve">realizaci projektu </w:t>
      </w:r>
      <w:proofErr w:type="spellStart"/>
      <w:r w:rsidR="00B3490F">
        <w:t>engage</w:t>
      </w:r>
      <w:proofErr w:type="spellEnd"/>
      <w:r>
        <w:t xml:space="preserve">, uzavřené </w:t>
      </w:r>
      <w:r w:rsidRPr="00E65A43">
        <w:t xml:space="preserve">dne </w:t>
      </w:r>
      <w:r w:rsidR="00E65A43" w:rsidRPr="00E65A43">
        <w:t>1</w:t>
      </w:r>
      <w:r w:rsidR="00E65A43">
        <w:t>2. 5. 2025.</w:t>
      </w:r>
      <w:r>
        <w:tab/>
      </w:r>
    </w:p>
    <w:p w14:paraId="7AD4F1A9" w14:textId="77777777" w:rsidR="00AC3D27" w:rsidRDefault="00AC3D27" w:rsidP="00AC3D27">
      <w:pPr>
        <w:spacing w:after="0" w:line="240" w:lineRule="auto"/>
      </w:pPr>
    </w:p>
    <w:p w14:paraId="5647E684" w14:textId="77777777" w:rsidR="00AC3D27" w:rsidRPr="00AC3D27" w:rsidRDefault="00AC3D27" w:rsidP="00AC3D27">
      <w:pPr>
        <w:spacing w:after="0" w:line="240" w:lineRule="auto"/>
        <w:jc w:val="center"/>
        <w:rPr>
          <w:b/>
          <w:bCs/>
        </w:rPr>
      </w:pPr>
      <w:r w:rsidRPr="00AC3D27">
        <w:rPr>
          <w:b/>
          <w:bCs/>
        </w:rPr>
        <w:t>Článek 2</w:t>
      </w:r>
    </w:p>
    <w:p w14:paraId="1F633530" w14:textId="77777777" w:rsidR="00AC3D27" w:rsidRPr="00AC3D27" w:rsidRDefault="00AC3D27" w:rsidP="00AC3D27">
      <w:pPr>
        <w:spacing w:after="0" w:line="240" w:lineRule="auto"/>
        <w:jc w:val="center"/>
        <w:rPr>
          <w:b/>
          <w:bCs/>
        </w:rPr>
      </w:pPr>
      <w:r w:rsidRPr="00AC3D27">
        <w:rPr>
          <w:b/>
          <w:bCs/>
        </w:rPr>
        <w:t>Předmět změny</w:t>
      </w:r>
    </w:p>
    <w:p w14:paraId="3BFC471B" w14:textId="77777777" w:rsidR="00AC3D27" w:rsidRDefault="00AC3D27" w:rsidP="00AC3D27">
      <w:pPr>
        <w:spacing w:after="0" w:line="240" w:lineRule="auto"/>
      </w:pPr>
    </w:p>
    <w:p w14:paraId="5840BA63" w14:textId="2FAFB1EF" w:rsidR="00AC3D27" w:rsidRDefault="00554214" w:rsidP="00CE0E45">
      <w:pPr>
        <w:spacing w:after="0" w:line="240" w:lineRule="auto"/>
        <w:jc w:val="both"/>
      </w:pPr>
      <w:r>
        <w:t>Ke dni 1</w:t>
      </w:r>
      <w:r w:rsidR="00601C35">
        <w:t>0</w:t>
      </w:r>
      <w:r>
        <w:t xml:space="preserve">. listopadu 2025 dochází k přejmenování </w:t>
      </w:r>
      <w:r w:rsidR="00B3490F">
        <w:t>objednatele</w:t>
      </w:r>
      <w:r>
        <w:t xml:space="preserve">, </w:t>
      </w:r>
      <w:r w:rsidR="00423B7D">
        <w:t xml:space="preserve">se kterým byla uzavřena dne </w:t>
      </w:r>
      <w:r w:rsidR="00E65A43">
        <w:t xml:space="preserve">12. 5. </w:t>
      </w:r>
      <w:r w:rsidR="003708DF">
        <w:t>2025 S</w:t>
      </w:r>
      <w:r w:rsidR="00E3281A">
        <w:t>mlouva</w:t>
      </w:r>
      <w:r w:rsidR="003708DF">
        <w:t xml:space="preserve"> o </w:t>
      </w:r>
      <w:r w:rsidR="00B3490F">
        <w:t xml:space="preserve">realizaci projektu </w:t>
      </w:r>
      <w:proofErr w:type="spellStart"/>
      <w:r w:rsidR="00B3490F">
        <w:t>engage</w:t>
      </w:r>
      <w:proofErr w:type="spellEnd"/>
      <w:r w:rsidR="00B3490F">
        <w:t xml:space="preserve"> (dále jen „Smlouva“)</w:t>
      </w:r>
      <w:r w:rsidR="003708DF">
        <w:t xml:space="preserve">, kdy původní název </w:t>
      </w:r>
      <w:r w:rsidR="00E65A43">
        <w:t>objednatele</w:t>
      </w:r>
      <w:r w:rsidR="003708DF">
        <w:t xml:space="preserve"> byl Projektová kancelář </w:t>
      </w:r>
      <w:r w:rsidR="000B0EFE">
        <w:t>K</w:t>
      </w:r>
      <w:r w:rsidR="003708DF">
        <w:t>raje Vysočina, příspěvková organizace.</w:t>
      </w:r>
      <w:r w:rsidR="00E3281A">
        <w:t xml:space="preserve"> </w:t>
      </w:r>
      <w:r w:rsidR="00AC3D27">
        <w:t xml:space="preserve">Smluvní strany se </w:t>
      </w:r>
      <w:r w:rsidR="003708DF">
        <w:t xml:space="preserve">dále </w:t>
      </w:r>
      <w:r w:rsidR="00AC3D27">
        <w:t xml:space="preserve">dohodly na těchto změnách </w:t>
      </w:r>
      <w:r w:rsidR="00B3490F">
        <w:t>S</w:t>
      </w:r>
      <w:r w:rsidR="00AC3D27">
        <w:t>mlouvy:</w:t>
      </w:r>
    </w:p>
    <w:p w14:paraId="463B512A" w14:textId="77777777" w:rsidR="00AC3D27" w:rsidRDefault="00AC3D27" w:rsidP="00AC3D27">
      <w:pPr>
        <w:spacing w:after="0" w:line="240" w:lineRule="auto"/>
      </w:pPr>
    </w:p>
    <w:p w14:paraId="27051934" w14:textId="034C7800" w:rsidR="00AC3D27" w:rsidRDefault="00B3490F" w:rsidP="00AC3D27">
      <w:pPr>
        <w:spacing w:after="0" w:line="240" w:lineRule="auto"/>
      </w:pPr>
      <w:r>
        <w:t>1</w:t>
      </w:r>
      <w:r w:rsidR="00AC3D27">
        <w:t>.</w:t>
      </w:r>
      <w:r w:rsidR="006448F5">
        <w:t xml:space="preserve"> </w:t>
      </w:r>
      <w:r w:rsidR="00AC3D27">
        <w:t xml:space="preserve">V Článku </w:t>
      </w:r>
      <w:r>
        <w:t>3</w:t>
      </w:r>
      <w:r w:rsidR="00AC3D27">
        <w:t xml:space="preserve"> </w:t>
      </w:r>
      <w:r>
        <w:t>Termín plnění</w:t>
      </w:r>
      <w:r w:rsidR="00AC3D27">
        <w:t xml:space="preserve"> se odstavec 1 mění takto:</w:t>
      </w:r>
    </w:p>
    <w:p w14:paraId="09A4AE58" w14:textId="77777777" w:rsidR="00AC3D27" w:rsidRDefault="00AC3D27" w:rsidP="00AC3D27">
      <w:pPr>
        <w:spacing w:after="0" w:line="240" w:lineRule="auto"/>
      </w:pPr>
    </w:p>
    <w:p w14:paraId="01F18E56" w14:textId="4ED5C0B6" w:rsidR="00B3490F" w:rsidRPr="00B3490F" w:rsidRDefault="00B3490F" w:rsidP="00B3490F">
      <w:pPr>
        <w:pStyle w:val="Odstavecseseznamem"/>
        <w:numPr>
          <w:ilvl w:val="0"/>
          <w:numId w:val="3"/>
        </w:numPr>
        <w:jc w:val="both"/>
        <w:rPr>
          <w:rFonts w:asciiTheme="minorHAnsi" w:hAnsiTheme="minorHAnsi" w:cstheme="minorHAnsi"/>
          <w:b/>
          <w:sz w:val="22"/>
          <w:szCs w:val="22"/>
        </w:rPr>
      </w:pPr>
      <w:r w:rsidRPr="0081582E">
        <w:rPr>
          <w:rFonts w:asciiTheme="minorHAnsi" w:eastAsia="SimSun" w:hAnsiTheme="minorHAnsi" w:cstheme="minorHAnsi"/>
          <w:color w:val="00000A"/>
          <w:sz w:val="22"/>
          <w:szCs w:val="22"/>
          <w:lang w:eastAsia="ar-SA"/>
        </w:rPr>
        <w:t>Projekt bude prováděn a písemné výstupy z něj budou předávány průběžně v období ode dne účinnosti této smlouvy do 31. 12. 202</w:t>
      </w:r>
      <w:r>
        <w:rPr>
          <w:rFonts w:asciiTheme="minorHAnsi" w:eastAsia="SimSun" w:hAnsiTheme="minorHAnsi" w:cstheme="minorHAnsi"/>
          <w:color w:val="00000A"/>
          <w:sz w:val="22"/>
          <w:szCs w:val="22"/>
          <w:lang w:eastAsia="ar-SA"/>
        </w:rPr>
        <w:t>6</w:t>
      </w:r>
      <w:r w:rsidRPr="0081582E">
        <w:rPr>
          <w:rFonts w:asciiTheme="minorHAnsi" w:eastAsia="SimSun" w:hAnsiTheme="minorHAnsi" w:cstheme="minorHAnsi"/>
          <w:color w:val="00000A"/>
          <w:sz w:val="22"/>
          <w:szCs w:val="22"/>
          <w:lang w:eastAsia="ar-SA"/>
        </w:rPr>
        <w:t xml:space="preserve">. </w:t>
      </w:r>
    </w:p>
    <w:p w14:paraId="794EF874" w14:textId="77777777" w:rsidR="00B3490F" w:rsidRPr="00B3490F" w:rsidRDefault="00B3490F" w:rsidP="00B3490F">
      <w:pPr>
        <w:jc w:val="both"/>
        <w:rPr>
          <w:rFonts w:asciiTheme="minorHAnsi" w:hAnsiTheme="minorHAnsi" w:cstheme="minorHAnsi"/>
          <w:b/>
        </w:rPr>
      </w:pPr>
    </w:p>
    <w:p w14:paraId="5DF71195" w14:textId="2AEE20E2" w:rsidR="002F077D" w:rsidRDefault="002F077D" w:rsidP="00B3490F">
      <w:pPr>
        <w:spacing w:after="0" w:line="240" w:lineRule="auto"/>
        <w:jc w:val="both"/>
      </w:pPr>
    </w:p>
    <w:p w14:paraId="2B0B6065" w14:textId="77777777" w:rsidR="00751B92" w:rsidRDefault="00751B92" w:rsidP="00B3490F">
      <w:pPr>
        <w:spacing w:after="0" w:line="240" w:lineRule="auto"/>
        <w:jc w:val="both"/>
      </w:pPr>
    </w:p>
    <w:p w14:paraId="5D07E942" w14:textId="11DA0A49" w:rsidR="002F077D" w:rsidRDefault="002F077D" w:rsidP="003575D5">
      <w:pPr>
        <w:spacing w:after="0" w:line="240" w:lineRule="auto"/>
      </w:pPr>
    </w:p>
    <w:p w14:paraId="1B50556F" w14:textId="7893D70D" w:rsidR="00AC3D27" w:rsidRPr="006448F5" w:rsidRDefault="00AC3D27" w:rsidP="006448F5">
      <w:pPr>
        <w:spacing w:after="0" w:line="240" w:lineRule="auto"/>
        <w:jc w:val="center"/>
        <w:rPr>
          <w:b/>
          <w:bCs/>
        </w:rPr>
      </w:pPr>
      <w:r w:rsidRPr="006448F5">
        <w:rPr>
          <w:b/>
          <w:bCs/>
        </w:rPr>
        <w:lastRenderedPageBreak/>
        <w:t>Článek 3</w:t>
      </w:r>
    </w:p>
    <w:p w14:paraId="73EA4D47" w14:textId="77777777" w:rsidR="00AC3D27" w:rsidRDefault="00AC3D27" w:rsidP="006448F5">
      <w:pPr>
        <w:spacing w:after="0" w:line="240" w:lineRule="auto"/>
        <w:jc w:val="center"/>
        <w:rPr>
          <w:b/>
          <w:bCs/>
        </w:rPr>
      </w:pPr>
      <w:r w:rsidRPr="006448F5">
        <w:rPr>
          <w:b/>
          <w:bCs/>
        </w:rPr>
        <w:t>Ustanovení společná a závěrečná</w:t>
      </w:r>
    </w:p>
    <w:p w14:paraId="6CB60842" w14:textId="77777777" w:rsidR="00751B92" w:rsidRPr="006448F5" w:rsidRDefault="00751B92" w:rsidP="006448F5">
      <w:pPr>
        <w:spacing w:after="0" w:line="240" w:lineRule="auto"/>
        <w:jc w:val="center"/>
        <w:rPr>
          <w:b/>
          <w:bCs/>
        </w:rPr>
      </w:pPr>
    </w:p>
    <w:p w14:paraId="7EA38158" w14:textId="7F8FC3AA" w:rsidR="00AC3D27" w:rsidRDefault="00AC3D27" w:rsidP="00E02F51">
      <w:pPr>
        <w:spacing w:after="0" w:line="240" w:lineRule="auto"/>
        <w:jc w:val="both"/>
      </w:pPr>
      <w:r>
        <w:t>1.</w:t>
      </w:r>
      <w:r w:rsidR="00E02F51">
        <w:t xml:space="preserve"> </w:t>
      </w:r>
      <w:r>
        <w:t>Ostatní ustanovení smlouvy zůstávají v platnosti beze změny.</w:t>
      </w:r>
    </w:p>
    <w:p w14:paraId="61A6042E" w14:textId="77777777" w:rsidR="00AC3D27" w:rsidRDefault="00AC3D27" w:rsidP="00E02F51">
      <w:pPr>
        <w:spacing w:after="0" w:line="240" w:lineRule="auto"/>
        <w:jc w:val="both"/>
      </w:pPr>
    </w:p>
    <w:p w14:paraId="38FB3240" w14:textId="3503B439" w:rsidR="00AC3D27" w:rsidRDefault="00AC3D27" w:rsidP="00E02F51">
      <w:pPr>
        <w:spacing w:after="0" w:line="240" w:lineRule="auto"/>
        <w:jc w:val="both"/>
      </w:pPr>
      <w:r>
        <w:t>2.</w:t>
      </w:r>
      <w:r w:rsidR="00E02F51">
        <w:t xml:space="preserve"> </w:t>
      </w:r>
      <w:r>
        <w:t xml:space="preserve">Smluvní strany, resp. osoby oprávněné za ně jednat, prohlašují, že tento dodatek č. </w:t>
      </w:r>
      <w:r w:rsidR="00E65A43">
        <w:t>1</w:t>
      </w:r>
      <w:r>
        <w:t xml:space="preserve"> byl uzavřen na základě jejich pravé a svobodné vůle</w:t>
      </w:r>
      <w:r w:rsidR="00B5653D">
        <w:t>,</w:t>
      </w:r>
      <w:r>
        <w:t xml:space="preserve"> a nikoliv v tísni ani za jinak nápadně nevýhodných podmínek. Smluvní strany současně prohlašují, že osoby podepisující tento dodatek jsou k tomu úkonu oprávněny.</w:t>
      </w:r>
    </w:p>
    <w:p w14:paraId="17C39D6A" w14:textId="77777777" w:rsidR="00AC3D27" w:rsidRDefault="00AC3D27" w:rsidP="00E02F51">
      <w:pPr>
        <w:spacing w:after="0" w:line="240" w:lineRule="auto"/>
        <w:jc w:val="both"/>
      </w:pPr>
    </w:p>
    <w:p w14:paraId="467AAF05" w14:textId="47492BFF" w:rsidR="00AC3D27" w:rsidRDefault="00AC3D27" w:rsidP="00E02F51">
      <w:pPr>
        <w:spacing w:after="0" w:line="240" w:lineRule="auto"/>
        <w:jc w:val="both"/>
      </w:pPr>
      <w:r>
        <w:t>3.</w:t>
      </w:r>
      <w:r w:rsidR="00E02F51">
        <w:t xml:space="preserve"> </w:t>
      </w:r>
      <w:r>
        <w:t xml:space="preserve">Tento dodatek č. </w:t>
      </w:r>
      <w:r w:rsidR="00E65A43">
        <w:t>1</w:t>
      </w:r>
      <w:r>
        <w:t xml:space="preserve"> je v případě jeho tištěného provedení vyhotoven ve dvou rovnocenných stejnopisech, z nichž každá strana obdrží po jednom vyhotovení, 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6B991F8A" w14:textId="77777777" w:rsidR="00AC3D27" w:rsidRDefault="00AC3D27" w:rsidP="00E02F51">
      <w:pPr>
        <w:spacing w:after="0" w:line="240" w:lineRule="auto"/>
        <w:jc w:val="both"/>
      </w:pPr>
    </w:p>
    <w:p w14:paraId="6C5BF155" w14:textId="039F0338" w:rsidR="00AC3D27" w:rsidRDefault="00AC3D27" w:rsidP="00E02F51">
      <w:pPr>
        <w:spacing w:after="0" w:line="240" w:lineRule="auto"/>
        <w:jc w:val="both"/>
      </w:pPr>
      <w:r>
        <w:t>4.</w:t>
      </w:r>
      <w:r w:rsidR="00E02F51">
        <w:t xml:space="preserve"> </w:t>
      </w:r>
      <w:r>
        <w:t>Platnost tohoto dodatku nastává ode dne podpisu oběma smluvními stranami</w:t>
      </w:r>
      <w:r w:rsidR="00E02F51">
        <w:t xml:space="preserve">, účinnost tohoto dodatku nastává </w:t>
      </w:r>
      <w:r w:rsidR="00E65A43">
        <w:t>dnem jeho</w:t>
      </w:r>
      <w:r w:rsidR="00E02F51">
        <w:t xml:space="preserve"> </w:t>
      </w:r>
      <w:r w:rsidR="00E65A43">
        <w:t>u</w:t>
      </w:r>
      <w:r w:rsidR="00E02F51">
        <w:t>veřejnění v registru smluv</w:t>
      </w:r>
      <w:r w:rsidR="00E65A43">
        <w:t xml:space="preserve">. </w:t>
      </w:r>
    </w:p>
    <w:p w14:paraId="1E4641FE" w14:textId="77777777" w:rsidR="00AC3D27" w:rsidRPr="00751B92" w:rsidRDefault="00AC3D27" w:rsidP="00E02F51">
      <w:pPr>
        <w:spacing w:after="0" w:line="240" w:lineRule="auto"/>
        <w:jc w:val="both"/>
        <w:rPr>
          <w:color w:val="000000" w:themeColor="text1"/>
        </w:rPr>
      </w:pPr>
    </w:p>
    <w:p w14:paraId="2D9893EC" w14:textId="77777777" w:rsidR="00AC3D27" w:rsidRPr="00751B92" w:rsidRDefault="00AC3D27" w:rsidP="00AC3D27">
      <w:pPr>
        <w:spacing w:after="0" w:line="240" w:lineRule="auto"/>
        <w:rPr>
          <w:color w:val="000000" w:themeColor="text1"/>
        </w:rPr>
      </w:pPr>
    </w:p>
    <w:p w14:paraId="516F8685" w14:textId="70793D87" w:rsidR="00AC3D27" w:rsidRPr="00751B92" w:rsidRDefault="00AC3D27" w:rsidP="00AC3D27">
      <w:pPr>
        <w:spacing w:after="0" w:line="240" w:lineRule="auto"/>
        <w:rPr>
          <w:color w:val="000000" w:themeColor="text1"/>
        </w:rPr>
      </w:pPr>
      <w:r w:rsidRPr="00751B92">
        <w:rPr>
          <w:color w:val="000000" w:themeColor="text1"/>
        </w:rPr>
        <w:t xml:space="preserve">V </w:t>
      </w:r>
      <w:r w:rsidR="00E65A43" w:rsidRPr="00751B92">
        <w:rPr>
          <w:color w:val="000000" w:themeColor="text1"/>
        </w:rPr>
        <w:t>Brně</w:t>
      </w:r>
      <w:r w:rsidRPr="00751B92">
        <w:rPr>
          <w:color w:val="000000" w:themeColor="text1"/>
        </w:rPr>
        <w:t xml:space="preserve"> dne </w:t>
      </w:r>
      <w:r w:rsidR="00751B92" w:rsidRPr="00751B92">
        <w:rPr>
          <w:color w:val="000000" w:themeColor="text1"/>
        </w:rPr>
        <w:t xml:space="preserve">21. 11. 2025 </w:t>
      </w:r>
      <w:r w:rsidR="00BC31DB" w:rsidRPr="00751B92">
        <w:rPr>
          <w:color w:val="000000" w:themeColor="text1"/>
        </w:rPr>
        <w:t xml:space="preserve">(dle </w:t>
      </w:r>
      <w:proofErr w:type="gramStart"/>
      <w:r w:rsidR="00BC31DB" w:rsidRPr="00751B92">
        <w:rPr>
          <w:color w:val="000000" w:themeColor="text1"/>
        </w:rPr>
        <w:t>el.p</w:t>
      </w:r>
      <w:proofErr w:type="spellStart"/>
      <w:r w:rsidR="00BC31DB" w:rsidRPr="00751B92">
        <w:rPr>
          <w:color w:val="000000" w:themeColor="text1"/>
        </w:rPr>
        <w:t>odpisu</w:t>
      </w:r>
      <w:proofErr w:type="spellEnd"/>
      <w:proofErr w:type="gramEnd"/>
      <w:r w:rsidR="00BC31DB" w:rsidRPr="00751B92">
        <w:rPr>
          <w:color w:val="000000" w:themeColor="text1"/>
        </w:rPr>
        <w:t>)</w:t>
      </w:r>
      <w:proofErr w:type="gramStart"/>
      <w:r w:rsidRPr="00751B92">
        <w:rPr>
          <w:color w:val="000000" w:themeColor="text1"/>
        </w:rPr>
        <w:tab/>
        <w:t xml:space="preserve">  </w:t>
      </w:r>
      <w:r w:rsidRPr="00751B92">
        <w:rPr>
          <w:color w:val="000000" w:themeColor="text1"/>
        </w:rPr>
        <w:tab/>
      </w:r>
      <w:proofErr w:type="gramEnd"/>
      <w:r w:rsidRPr="00751B92">
        <w:rPr>
          <w:color w:val="000000" w:themeColor="text1"/>
        </w:rPr>
        <w:t>V Jihlavě dne</w:t>
      </w:r>
      <w:r w:rsidR="00751B92" w:rsidRPr="00751B92">
        <w:rPr>
          <w:color w:val="000000" w:themeColor="text1"/>
        </w:rPr>
        <w:t xml:space="preserve"> 25. 11. 2025</w:t>
      </w:r>
      <w:r w:rsidR="00E65A43" w:rsidRPr="00751B92">
        <w:rPr>
          <w:color w:val="000000" w:themeColor="text1"/>
        </w:rPr>
        <w:t xml:space="preserve"> </w:t>
      </w:r>
      <w:r w:rsidR="00BC31DB" w:rsidRPr="00751B92">
        <w:rPr>
          <w:color w:val="000000" w:themeColor="text1"/>
        </w:rPr>
        <w:t xml:space="preserve">(dle </w:t>
      </w:r>
      <w:proofErr w:type="spellStart"/>
      <w:proofErr w:type="gramStart"/>
      <w:r w:rsidR="00BC31DB" w:rsidRPr="00751B92">
        <w:rPr>
          <w:color w:val="000000" w:themeColor="text1"/>
        </w:rPr>
        <w:t>el.podpisu</w:t>
      </w:r>
      <w:proofErr w:type="spellEnd"/>
      <w:proofErr w:type="gramEnd"/>
      <w:r w:rsidR="00BC31DB" w:rsidRPr="00751B92">
        <w:rPr>
          <w:color w:val="000000" w:themeColor="text1"/>
        </w:rPr>
        <w:t>)</w:t>
      </w:r>
      <w:r w:rsidRPr="00751B92">
        <w:rPr>
          <w:color w:val="000000" w:themeColor="text1"/>
        </w:rPr>
        <w:tab/>
      </w:r>
    </w:p>
    <w:p w14:paraId="3E888897" w14:textId="77777777" w:rsidR="00AC3D27" w:rsidRDefault="00AC3D27" w:rsidP="00AC3D27">
      <w:pPr>
        <w:spacing w:after="0" w:line="240" w:lineRule="auto"/>
      </w:pPr>
    </w:p>
    <w:p w14:paraId="16ECCE64" w14:textId="77777777" w:rsidR="00AC3D27" w:rsidRDefault="00AC3D27" w:rsidP="00AC3D27">
      <w:pPr>
        <w:spacing w:after="0" w:line="240" w:lineRule="auto"/>
      </w:pPr>
    </w:p>
    <w:p w14:paraId="15B69B63" w14:textId="7AFB7838" w:rsidR="00AC3D27" w:rsidRDefault="00AC3D27" w:rsidP="00AC3D27">
      <w:pPr>
        <w:spacing w:after="0" w:line="240" w:lineRule="auto"/>
      </w:pPr>
      <w:r>
        <w:tab/>
      </w:r>
      <w:r>
        <w:tab/>
      </w:r>
      <w:r>
        <w:tab/>
      </w:r>
    </w:p>
    <w:p w14:paraId="1C3FF08F" w14:textId="5BFC6D4C" w:rsidR="00E65A43" w:rsidRDefault="00E65A43" w:rsidP="00AC3D27">
      <w:pPr>
        <w:spacing w:after="0" w:line="240" w:lineRule="auto"/>
      </w:pPr>
    </w:p>
    <w:p w14:paraId="7DF9E428" w14:textId="77777777" w:rsidR="00E65A43" w:rsidRDefault="00E65A43" w:rsidP="00AC3D27">
      <w:pPr>
        <w:spacing w:after="0" w:line="240" w:lineRule="auto"/>
      </w:pPr>
    </w:p>
    <w:p w14:paraId="1973DC44" w14:textId="393365CD" w:rsidR="00AC3D27" w:rsidRDefault="00AC3D27" w:rsidP="00AC3D27">
      <w:pPr>
        <w:spacing w:after="0" w:line="240" w:lineRule="auto"/>
      </w:pPr>
      <w:r>
        <w:t xml:space="preserve">Za </w:t>
      </w:r>
      <w:r w:rsidR="00E65A43">
        <w:t>poskytovatele</w:t>
      </w:r>
      <w:r>
        <w:t>:</w:t>
      </w:r>
      <w:r>
        <w:tab/>
      </w:r>
      <w:r>
        <w:tab/>
      </w:r>
      <w:r>
        <w:tab/>
      </w:r>
      <w:r>
        <w:tab/>
      </w:r>
      <w:r>
        <w:tab/>
        <w:t xml:space="preserve">Za </w:t>
      </w:r>
      <w:r w:rsidR="00E65A43">
        <w:t>objednatele</w:t>
      </w:r>
      <w:r>
        <w:t>:</w:t>
      </w:r>
    </w:p>
    <w:p w14:paraId="0CD5D221" w14:textId="53D9B0E1" w:rsidR="00AC3D27" w:rsidRDefault="00E65A43" w:rsidP="00AC3D27">
      <w:pPr>
        <w:spacing w:after="0" w:line="240" w:lineRule="auto"/>
      </w:pPr>
      <w:r>
        <w:t>Mgr. Soňa Nedomová</w:t>
      </w:r>
      <w:r w:rsidR="00AC3D27">
        <w:t xml:space="preserve"> </w:t>
      </w:r>
      <w:r w:rsidR="00AC3D27">
        <w:tab/>
      </w:r>
      <w:r w:rsidR="00AC3D27">
        <w:tab/>
      </w:r>
      <w:r w:rsidR="00AC3D27">
        <w:tab/>
      </w:r>
      <w:r w:rsidR="00AC3D27">
        <w:tab/>
      </w:r>
      <w:r w:rsidR="00AC3D27">
        <w:tab/>
        <w:t>Ing. Erika Šteflová, MBA,</w:t>
      </w:r>
    </w:p>
    <w:p w14:paraId="01EB0306" w14:textId="5ADCCE64" w:rsidR="00AC3D27" w:rsidRDefault="00E65A43" w:rsidP="00AC3D27">
      <w:pPr>
        <w:spacing w:after="0" w:line="240" w:lineRule="auto"/>
      </w:pPr>
      <w:r>
        <w:t>jednatelka</w:t>
      </w:r>
      <w:r w:rsidR="00AC3D27">
        <w:t xml:space="preserve"> </w:t>
      </w:r>
      <w:r w:rsidR="00AC3D27">
        <w:tab/>
      </w:r>
      <w:r w:rsidR="00AC3D27">
        <w:tab/>
      </w:r>
      <w:r w:rsidR="00AC3D27">
        <w:tab/>
      </w:r>
      <w:r w:rsidR="00AC3D27">
        <w:tab/>
      </w:r>
      <w:r w:rsidR="00AC3D27">
        <w:tab/>
      </w:r>
      <w:r w:rsidR="00AC3D27">
        <w:tab/>
        <w:t>ředitelka</w:t>
      </w:r>
    </w:p>
    <w:p w14:paraId="2D225B85" w14:textId="183235A7" w:rsidR="00B678EB" w:rsidRDefault="00E65A43" w:rsidP="00AC3D27">
      <w:pPr>
        <w:spacing w:after="0" w:line="240" w:lineRule="auto"/>
      </w:pPr>
      <w:r>
        <w:tab/>
      </w:r>
      <w:r>
        <w:tab/>
      </w:r>
      <w:r>
        <w:tab/>
      </w:r>
      <w:r>
        <w:tab/>
      </w:r>
      <w:r>
        <w:tab/>
      </w:r>
      <w:r w:rsidR="00AC3D27">
        <w:tab/>
      </w:r>
      <w:r w:rsidR="00AC3D27">
        <w:tab/>
      </w:r>
      <w:r w:rsidR="00B678EB">
        <w:t xml:space="preserve">Vysočina </w:t>
      </w:r>
      <w:proofErr w:type="spellStart"/>
      <w:r w:rsidR="00B678EB">
        <w:t>Service</w:t>
      </w:r>
      <w:proofErr w:type="spellEnd"/>
      <w:r w:rsidR="00AC3D27">
        <w:t>, příspěvková</w:t>
      </w:r>
      <w:r w:rsidR="00B678EB">
        <w:t xml:space="preserve"> organizace</w:t>
      </w:r>
    </w:p>
    <w:p w14:paraId="0CF02EAF" w14:textId="5941021C" w:rsidR="00B678EB" w:rsidRDefault="00B678EB" w:rsidP="00AC3D27">
      <w:pPr>
        <w:spacing w:after="0" w:line="240" w:lineRule="auto"/>
      </w:pPr>
      <w:r>
        <w:tab/>
      </w:r>
      <w:r>
        <w:tab/>
      </w:r>
      <w:r>
        <w:tab/>
      </w:r>
      <w:r>
        <w:tab/>
      </w:r>
    </w:p>
    <w:p w14:paraId="0C83548B" w14:textId="77777777" w:rsidR="00B678EB" w:rsidRDefault="00B678EB" w:rsidP="00AC3D27">
      <w:pPr>
        <w:spacing w:after="0" w:line="240" w:lineRule="auto"/>
      </w:pPr>
    </w:p>
    <w:p w14:paraId="66400D78" w14:textId="77777777" w:rsidR="00B678EB" w:rsidRDefault="00B678EB" w:rsidP="00AC3D27">
      <w:pPr>
        <w:spacing w:after="0" w:line="240" w:lineRule="auto"/>
      </w:pPr>
    </w:p>
    <w:p w14:paraId="161097DF" w14:textId="363ED82D" w:rsidR="0014798A" w:rsidRPr="0014798A" w:rsidRDefault="0014798A" w:rsidP="00B678EB">
      <w:pPr>
        <w:spacing w:after="0" w:line="240" w:lineRule="auto"/>
      </w:pPr>
    </w:p>
    <w:sectPr w:rsidR="0014798A" w:rsidRPr="0014798A" w:rsidSect="001D0AA3">
      <w:headerReference w:type="even" r:id="rId11"/>
      <w:headerReference w:type="default" r:id="rId12"/>
      <w:footerReference w:type="default" r:id="rId13"/>
      <w:headerReference w:type="first" r:id="rId14"/>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89BF" w14:textId="77777777" w:rsidR="00D0598E" w:rsidRDefault="00D0598E" w:rsidP="001044AD">
      <w:pPr>
        <w:spacing w:after="0" w:line="240" w:lineRule="auto"/>
      </w:pPr>
      <w:r>
        <w:separator/>
      </w:r>
    </w:p>
  </w:endnote>
  <w:endnote w:type="continuationSeparator" w:id="0">
    <w:p w14:paraId="28750AD0" w14:textId="77777777" w:rsidR="00D0598E" w:rsidRDefault="00D0598E"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variable"/>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CA70" w14:textId="41109B35" w:rsidR="001044AD" w:rsidRDefault="004717F6" w:rsidP="001044AD">
    <w:pPr>
      <w:pStyle w:val="Zpat"/>
    </w:pPr>
    <w:r>
      <w:rPr>
        <w:noProof/>
        <w:lang w:eastAsia="cs-CZ"/>
      </w:rPr>
      <w:drawing>
        <wp:anchor distT="0" distB="0" distL="114300" distR="114300" simplePos="0" relativeHeight="251660288" behindDoc="1" locked="0" layoutInCell="1" allowOverlap="1" wp14:anchorId="5DFF4B1B" wp14:editId="0BA87466">
          <wp:simplePos x="0" y="0"/>
          <wp:positionH relativeFrom="margin">
            <wp:posOffset>1553845</wp:posOffset>
          </wp:positionH>
          <wp:positionV relativeFrom="margin">
            <wp:posOffset>5173345</wp:posOffset>
          </wp:positionV>
          <wp:extent cx="5562600" cy="2870200"/>
          <wp:effectExtent l="0" t="0" r="0" b="0"/>
          <wp:wrapNone/>
          <wp:docPr id="10205803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0315" name="Obrázek 1020580315"/>
                  <pic:cNvPicPr/>
                </pic:nvPicPr>
                <pic:blipFill>
                  <a:blip r:embed="rId1">
                    <a:extLst>
                      <a:ext uri="{28A0092B-C50C-407E-A947-70E740481C1C}">
                        <a14:useLocalDpi xmlns:a14="http://schemas.microsoft.com/office/drawing/2010/main" val="0"/>
                      </a:ext>
                    </a:extLst>
                  </a:blip>
                  <a:stretch>
                    <a:fillRect/>
                  </a:stretch>
                </pic:blipFill>
                <pic:spPr>
                  <a:xfrm>
                    <a:off x="0" y="0"/>
                    <a:ext cx="5562600" cy="2870200"/>
                  </a:xfrm>
                  <a:prstGeom prst="rect">
                    <a:avLst/>
                  </a:prstGeom>
                </pic:spPr>
              </pic:pic>
            </a:graphicData>
          </a:graphic>
        </wp:anchor>
      </w:drawing>
    </w:r>
    <w:r w:rsidR="001044AD" w:rsidRPr="001044AD">
      <w:rPr>
        <w:noProof/>
        <w:lang w:eastAsia="cs-CZ"/>
      </w:rPr>
      <w:drawing>
        <wp:inline distT="0" distB="0" distL="0" distR="0" wp14:anchorId="606EEFA0" wp14:editId="351F11DA">
          <wp:extent cx="6833295" cy="457200"/>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83329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B198" w14:textId="77777777" w:rsidR="00D0598E" w:rsidRDefault="00D0598E" w:rsidP="001044AD">
      <w:pPr>
        <w:spacing w:after="0" w:line="240" w:lineRule="auto"/>
      </w:pPr>
      <w:r>
        <w:separator/>
      </w:r>
    </w:p>
  </w:footnote>
  <w:footnote w:type="continuationSeparator" w:id="0">
    <w:p w14:paraId="10B1E89A" w14:textId="77777777" w:rsidR="00D0598E" w:rsidRDefault="00D0598E" w:rsidP="0010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70BE" w14:textId="77777777" w:rsidR="00A2789E" w:rsidRDefault="00751B92">
    <w:pPr>
      <w:pStyle w:val="Zhlav"/>
    </w:pPr>
    <w:r>
      <w:rPr>
        <w:noProof/>
        <w:lang w:eastAsia="cs-CZ"/>
      </w:rPr>
      <w:pict w14:anchorId="29410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1026" type="#_x0000_t75" alt="" style="position:absolute;margin-left:0;margin-top:0;width:524.2pt;height:42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AE3" w14:textId="77777777" w:rsidR="001044AD" w:rsidRDefault="001044AD" w:rsidP="001D0AA3">
    <w:pPr>
      <w:pStyle w:val="Zhlav"/>
      <w:ind w:right="-284"/>
    </w:pPr>
    <w:r w:rsidRPr="001044AD">
      <w:rPr>
        <w:noProof/>
        <w:lang w:eastAsia="cs-CZ"/>
      </w:rPr>
      <w:drawing>
        <wp:inline distT="0" distB="0" distL="0" distR="0" wp14:anchorId="673933EE" wp14:editId="5C0AFF96">
          <wp:extent cx="1223132" cy="720000"/>
          <wp:effectExtent l="0" t="0" r="0" b="4445"/>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3132" cy="720000"/>
                  </a:xfrm>
                  <a:prstGeom prst="rect">
                    <a:avLst/>
                  </a:prstGeom>
                  <a:noFill/>
                  <a:ln>
                    <a:noFill/>
                  </a:ln>
                </pic:spPr>
              </pic:pic>
            </a:graphicData>
          </a:graphic>
        </wp:inline>
      </w:drawing>
    </w:r>
  </w:p>
  <w:p w14:paraId="15518599" w14:textId="77777777" w:rsidR="00D72444" w:rsidRDefault="00D72444" w:rsidP="001D0AA3">
    <w:pPr>
      <w:pStyle w:val="Zhlav"/>
      <w:ind w:righ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F7EC" w14:textId="77777777" w:rsidR="00A2789E" w:rsidRDefault="00751B92">
    <w:pPr>
      <w:pStyle w:val="Zhlav"/>
    </w:pPr>
    <w:r>
      <w:rPr>
        <w:noProof/>
        <w:lang w:eastAsia="cs-CZ"/>
      </w:rPr>
      <w:pict w14:anchorId="254A8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1025" type="#_x0000_t75" alt="" style="position:absolute;margin-left:0;margin-top:0;width:524.2pt;height:42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7EC8"/>
    <w:multiLevelType w:val="multilevel"/>
    <w:tmpl w:val="ABF45C06"/>
    <w:lvl w:ilvl="0">
      <w:start w:val="1"/>
      <w:numFmt w:val="decimal"/>
      <w:lvlText w:val="%1."/>
      <w:lvlJc w:val="left"/>
      <w:pPr>
        <w:tabs>
          <w:tab w:val="num" w:pos="1068"/>
        </w:tabs>
        <w:ind w:left="1068" w:hanging="360"/>
      </w:pPr>
      <w:rPr>
        <w:b w:val="0"/>
        <w:i w:val="0"/>
        <w:sz w:val="22"/>
        <w:szCs w:val="22"/>
      </w:rPr>
    </w:lvl>
    <w:lvl w:ilvl="1">
      <w:start w:val="1"/>
      <w:numFmt w:val="decimal"/>
      <w:lvlText w:val="%2."/>
      <w:lvlJc w:val="left"/>
      <w:pPr>
        <w:tabs>
          <w:tab w:val="num" w:pos="1788"/>
        </w:tabs>
        <w:ind w:left="1788" w:hanging="360"/>
      </w:pPr>
      <w:rPr>
        <w:sz w:val="18"/>
        <w:szCs w:val="18"/>
      </w:rPr>
    </w:lvl>
    <w:lvl w:ilvl="2">
      <w:start w:val="1"/>
      <w:numFmt w:val="decimal"/>
      <w:lvlText w:val="%2.%3."/>
      <w:lvlJc w:val="left"/>
      <w:pPr>
        <w:tabs>
          <w:tab w:val="num" w:pos="2148"/>
        </w:tabs>
        <w:ind w:left="2148" w:hanging="360"/>
      </w:pPr>
      <w:rPr>
        <w:rFonts w:ascii="Wingdings 2" w:hAnsi="Wingdings 2" w:cs="StarSymbol"/>
        <w:sz w:val="18"/>
        <w:szCs w:val="18"/>
      </w:rPr>
    </w:lvl>
    <w:lvl w:ilvl="3">
      <w:start w:val="1"/>
      <w:numFmt w:val="decimal"/>
      <w:lvlText w:val="%2.%3.%4."/>
      <w:lvlJc w:val="left"/>
      <w:pPr>
        <w:tabs>
          <w:tab w:val="num" w:pos="2508"/>
        </w:tabs>
        <w:ind w:left="2508"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868"/>
        </w:tabs>
        <w:ind w:left="2868" w:hanging="360"/>
      </w:pPr>
      <w:rPr>
        <w:rFonts w:ascii="Georgia" w:hAnsi="Georgia" w:cs="Georgia"/>
        <w:b/>
        <w:i w:val="0"/>
        <w:sz w:val="20"/>
        <w:szCs w:val="20"/>
      </w:rPr>
    </w:lvl>
    <w:lvl w:ilvl="5">
      <w:start w:val="1"/>
      <w:numFmt w:val="decimal"/>
      <w:lvlText w:val="%2.%3.%4.%5.%6."/>
      <w:lvlJc w:val="left"/>
      <w:pPr>
        <w:tabs>
          <w:tab w:val="num" w:pos="3228"/>
        </w:tabs>
        <w:ind w:left="3228" w:hanging="360"/>
      </w:pPr>
    </w:lvl>
    <w:lvl w:ilvl="6">
      <w:start w:val="1"/>
      <w:numFmt w:val="decimal"/>
      <w:lvlText w:val="%2.%3.%4.%5.%6.%7."/>
      <w:lvlJc w:val="left"/>
      <w:pPr>
        <w:tabs>
          <w:tab w:val="num" w:pos="3588"/>
        </w:tabs>
        <w:ind w:left="3588" w:hanging="360"/>
      </w:pPr>
    </w:lvl>
    <w:lvl w:ilvl="7">
      <w:start w:val="1"/>
      <w:numFmt w:val="decimal"/>
      <w:lvlText w:val="%2.%3.%4.%5.%6.%7.%8."/>
      <w:lvlJc w:val="left"/>
      <w:pPr>
        <w:tabs>
          <w:tab w:val="num" w:pos="3948"/>
        </w:tabs>
        <w:ind w:left="3948" w:hanging="360"/>
      </w:pPr>
    </w:lvl>
    <w:lvl w:ilvl="8">
      <w:start w:val="1"/>
      <w:numFmt w:val="decimal"/>
      <w:lvlText w:val="%2.%3.%4.%5.%6.%7.%8.%9."/>
      <w:lvlJc w:val="left"/>
      <w:pPr>
        <w:tabs>
          <w:tab w:val="num" w:pos="4308"/>
        </w:tabs>
        <w:ind w:left="4308" w:hanging="360"/>
      </w:pPr>
    </w:lvl>
  </w:abstractNum>
  <w:abstractNum w:abstractNumId="1" w15:restartNumberingAfterBreak="0">
    <w:nsid w:val="200A6134"/>
    <w:multiLevelType w:val="hybridMultilevel"/>
    <w:tmpl w:val="E1E803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6180F311"/>
    <w:multiLevelType w:val="hybridMultilevel"/>
    <w:tmpl w:val="0DDB2C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4144379">
    <w:abstractNumId w:val="2"/>
  </w:num>
  <w:num w:numId="2" w16cid:durableId="840199205">
    <w:abstractNumId w:val="1"/>
  </w:num>
  <w:num w:numId="3" w16cid:durableId="150119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69"/>
    <w:rsid w:val="000A777E"/>
    <w:rsid w:val="000B0EFE"/>
    <w:rsid w:val="000C4D01"/>
    <w:rsid w:val="000F25E8"/>
    <w:rsid w:val="001044AD"/>
    <w:rsid w:val="0014798A"/>
    <w:rsid w:val="001532DA"/>
    <w:rsid w:val="001679F1"/>
    <w:rsid w:val="00184835"/>
    <w:rsid w:val="00197851"/>
    <w:rsid w:val="001C2E0E"/>
    <w:rsid w:val="001D0AA3"/>
    <w:rsid w:val="001E7077"/>
    <w:rsid w:val="0022136A"/>
    <w:rsid w:val="00224FC6"/>
    <w:rsid w:val="002708F4"/>
    <w:rsid w:val="002F077D"/>
    <w:rsid w:val="002F5CC7"/>
    <w:rsid w:val="00346EEB"/>
    <w:rsid w:val="003534C6"/>
    <w:rsid w:val="003575D5"/>
    <w:rsid w:val="003708DF"/>
    <w:rsid w:val="003726B8"/>
    <w:rsid w:val="003E3501"/>
    <w:rsid w:val="00423B7D"/>
    <w:rsid w:val="00453F06"/>
    <w:rsid w:val="004717F6"/>
    <w:rsid w:val="00554214"/>
    <w:rsid w:val="005E23CD"/>
    <w:rsid w:val="00601C35"/>
    <w:rsid w:val="00602EAF"/>
    <w:rsid w:val="00634541"/>
    <w:rsid w:val="006448F5"/>
    <w:rsid w:val="006A4B07"/>
    <w:rsid w:val="006E768D"/>
    <w:rsid w:val="006F1756"/>
    <w:rsid w:val="00717115"/>
    <w:rsid w:val="00751B92"/>
    <w:rsid w:val="00762BC8"/>
    <w:rsid w:val="007D6952"/>
    <w:rsid w:val="007F3966"/>
    <w:rsid w:val="008E58C6"/>
    <w:rsid w:val="00916969"/>
    <w:rsid w:val="00926969"/>
    <w:rsid w:val="00A2789E"/>
    <w:rsid w:val="00A97D10"/>
    <w:rsid w:val="00AC3D27"/>
    <w:rsid w:val="00B3490F"/>
    <w:rsid w:val="00B5653D"/>
    <w:rsid w:val="00B678EB"/>
    <w:rsid w:val="00B67BA2"/>
    <w:rsid w:val="00BC055A"/>
    <w:rsid w:val="00BC31DB"/>
    <w:rsid w:val="00BE7CCC"/>
    <w:rsid w:val="00C07BD7"/>
    <w:rsid w:val="00CB4A3A"/>
    <w:rsid w:val="00CB7BDE"/>
    <w:rsid w:val="00CD051D"/>
    <w:rsid w:val="00CE0E45"/>
    <w:rsid w:val="00D0598E"/>
    <w:rsid w:val="00D72444"/>
    <w:rsid w:val="00E02F51"/>
    <w:rsid w:val="00E3281A"/>
    <w:rsid w:val="00E65A43"/>
    <w:rsid w:val="00F32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C287"/>
  <w15:chartTrackingRefBased/>
  <w15:docId w15:val="{F4965AEC-A071-4341-9483-9BE0672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7E"/>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aliases w:val="Conclusion de partie"/>
    <w:basedOn w:val="Normln"/>
    <w:link w:val="OdstavecseseznamemChar"/>
    <w:uiPriority w:val="34"/>
    <w:qFormat/>
    <w:rsid w:val="000A777E"/>
    <w:pPr>
      <w:spacing w:after="0" w:line="240" w:lineRule="auto"/>
      <w:ind w:left="708"/>
    </w:pPr>
    <w:rPr>
      <w:rFonts w:ascii="Times New Roman" w:eastAsia="Times New Roman" w:hAnsi="Times New Roman" w:cs="Arial"/>
      <w:sz w:val="24"/>
      <w:szCs w:val="20"/>
      <w:lang w:eastAsia="cs-CZ"/>
    </w:rPr>
  </w:style>
  <w:style w:type="paragraph" w:customStyle="1" w:styleId="Default">
    <w:name w:val="Default"/>
    <w:rsid w:val="00C07BD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BE7CCC"/>
    <w:pPr>
      <w:spacing w:after="0" w:line="240" w:lineRule="auto"/>
    </w:pPr>
    <w:rPr>
      <w:rFonts w:ascii="Calibri" w:eastAsia="Calibri" w:hAnsi="Calibri" w:cs="Times New Roman"/>
    </w:rPr>
  </w:style>
  <w:style w:type="character" w:customStyle="1" w:styleId="apple-converted-space">
    <w:name w:val="apple-converted-space"/>
    <w:basedOn w:val="Standardnpsmoodstavce"/>
    <w:rsid w:val="00B3490F"/>
  </w:style>
  <w:style w:type="character" w:customStyle="1" w:styleId="OdstavecseseznamemChar">
    <w:name w:val="Odstavec se seznamem Char"/>
    <w:aliases w:val="Conclusion de partie Char"/>
    <w:link w:val="Odstavecseseznamem"/>
    <w:uiPriority w:val="34"/>
    <w:locked/>
    <w:rsid w:val="00B3490F"/>
    <w:rPr>
      <w:rFonts w:ascii="Times New Roman" w:eastAsia="Times New Roman" w:hAnsi="Times New Roman" w:cs="Arial"/>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0485273AB8294BA6DA2AD462140E99" ma:contentTypeVersion="4" ma:contentTypeDescription="Vytvoří nový dokument" ma:contentTypeScope="" ma:versionID="8644587abc0fe1335495b2530ba6dd9b">
  <xsd:schema xmlns:xsd="http://www.w3.org/2001/XMLSchema" xmlns:xs="http://www.w3.org/2001/XMLSchema" xmlns:p="http://schemas.microsoft.com/office/2006/metadata/properties" xmlns:ns2="1963af27-e13b-4a07-945d-416291e97f22" targetNamespace="http://schemas.microsoft.com/office/2006/metadata/properties" ma:root="true" ma:fieldsID="726a7fccec1859ba699f8d90299f37ce" ns2:_="">
    <xsd:import namespace="1963af27-e13b-4a07-945d-416291e97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3af27-e13b-4a07-945d-416291e97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0056B-5A10-4B11-9CF5-7D63AC7A093B}">
  <ds:schemaRefs>
    <ds:schemaRef ds:uri="http://schemas.openxmlformats.org/officeDocument/2006/bibliography"/>
  </ds:schemaRefs>
</ds:datastoreItem>
</file>

<file path=customXml/itemProps2.xml><?xml version="1.0" encoding="utf-8"?>
<ds:datastoreItem xmlns:ds="http://schemas.openxmlformats.org/officeDocument/2006/customXml" ds:itemID="{0D330C4F-A726-4F3B-843D-B4A7BB232D87}">
  <ds:schemaRefs>
    <ds:schemaRef ds:uri="http://schemas.microsoft.com/sharepoint/v3/contenttype/forms"/>
  </ds:schemaRefs>
</ds:datastoreItem>
</file>

<file path=customXml/itemProps3.xml><?xml version="1.0" encoding="utf-8"?>
<ds:datastoreItem xmlns:ds="http://schemas.openxmlformats.org/officeDocument/2006/customXml" ds:itemID="{A16582D8-4FBC-41AF-A66B-FCAD55C75E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C662F-C83A-4FCD-B306-0A07DB80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3af27-e13b-4a07-945d-416291e97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2435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dc:creator>
  <cp:keywords/>
  <dc:description/>
  <cp:lastModifiedBy>Lédlová Lenka</cp:lastModifiedBy>
  <cp:revision>3</cp:revision>
  <cp:lastPrinted>2025-11-20T08:15:00Z</cp:lastPrinted>
  <dcterms:created xsi:type="dcterms:W3CDTF">2025-11-25T09:33:00Z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0x010100150485273AB8294BA6DA2AD462140E99</vt:lpwstr>
  </property>
</Properties>
</file>