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C7AE" w14:textId="76FC7F5A" w:rsidR="00AC3D27" w:rsidRPr="00AC3D27" w:rsidRDefault="00AC3D27" w:rsidP="00AC3D27">
      <w:pPr>
        <w:spacing w:after="0" w:line="240" w:lineRule="auto"/>
        <w:jc w:val="center"/>
        <w:rPr>
          <w:b/>
          <w:bCs/>
        </w:rPr>
      </w:pPr>
      <w:r w:rsidRPr="00AC3D27">
        <w:rPr>
          <w:b/>
          <w:bCs/>
        </w:rPr>
        <w:t xml:space="preserve">Dodatek č. </w:t>
      </w:r>
      <w:r>
        <w:rPr>
          <w:b/>
          <w:bCs/>
        </w:rPr>
        <w:t>2</w:t>
      </w:r>
      <w:r>
        <w:t xml:space="preserve"> </w:t>
      </w:r>
      <w:r w:rsidRPr="00AC3D27">
        <w:rPr>
          <w:b/>
          <w:bCs/>
        </w:rPr>
        <w:t>ke SMLOUVĚ O POSKYTOVÁNÍ SLUŽEB</w:t>
      </w:r>
    </w:p>
    <w:p w14:paraId="17FE2792" w14:textId="77777777" w:rsidR="00AC3D27" w:rsidRDefault="00AC3D27" w:rsidP="00AC3D27">
      <w:pPr>
        <w:spacing w:after="0" w:line="240" w:lineRule="auto"/>
        <w:jc w:val="center"/>
      </w:pPr>
      <w:r>
        <w:t xml:space="preserve">uzavřené dle </w:t>
      </w:r>
      <w:proofErr w:type="spellStart"/>
      <w:r>
        <w:t>ust</w:t>
      </w:r>
      <w:proofErr w:type="spellEnd"/>
      <w:r>
        <w:t>. § 1746 odst. 2) zákona č. 89/2012 Sb., občanský zákoník, ve znění pozdějších předpisů</w:t>
      </w:r>
    </w:p>
    <w:p w14:paraId="0C40B8DA" w14:textId="77777777" w:rsidR="00AC3D27" w:rsidRDefault="00AC3D27" w:rsidP="00AC3D27">
      <w:pPr>
        <w:spacing w:after="0" w:line="240" w:lineRule="auto"/>
      </w:pPr>
    </w:p>
    <w:p w14:paraId="2A002823" w14:textId="77777777" w:rsidR="00AC3D27" w:rsidRPr="00AC3D27" w:rsidRDefault="00AC3D27" w:rsidP="00AC3D27">
      <w:pPr>
        <w:spacing w:after="0" w:line="240" w:lineRule="auto"/>
        <w:jc w:val="center"/>
        <w:rPr>
          <w:b/>
          <w:bCs/>
        </w:rPr>
      </w:pPr>
      <w:r w:rsidRPr="00AC3D27">
        <w:rPr>
          <w:b/>
          <w:bCs/>
        </w:rPr>
        <w:t>Článek 1</w:t>
      </w:r>
    </w:p>
    <w:p w14:paraId="63108F3E" w14:textId="77777777" w:rsidR="00AC3D27" w:rsidRPr="00AC3D27" w:rsidRDefault="00AC3D27" w:rsidP="00AC3D27">
      <w:pPr>
        <w:spacing w:after="0" w:line="240" w:lineRule="auto"/>
        <w:jc w:val="center"/>
        <w:rPr>
          <w:b/>
          <w:bCs/>
        </w:rPr>
      </w:pPr>
      <w:r w:rsidRPr="00AC3D27">
        <w:rPr>
          <w:b/>
          <w:bCs/>
        </w:rPr>
        <w:t>Smluvní strany</w:t>
      </w:r>
    </w:p>
    <w:p w14:paraId="0D543723" w14:textId="77777777" w:rsidR="00AC3D27" w:rsidRDefault="00AC3D27" w:rsidP="00AC3D27">
      <w:pPr>
        <w:spacing w:after="0" w:line="240" w:lineRule="auto"/>
      </w:pPr>
    </w:p>
    <w:p w14:paraId="3BC3354A" w14:textId="77777777" w:rsidR="00AC3D27" w:rsidRPr="00AC3D27" w:rsidRDefault="00AC3D27" w:rsidP="00AC3D27">
      <w:pPr>
        <w:autoSpaceDE w:val="0"/>
        <w:autoSpaceDN w:val="0"/>
        <w:adjustRightInd w:val="0"/>
        <w:spacing w:after="0" w:line="240" w:lineRule="auto"/>
        <w:rPr>
          <w:rFonts w:eastAsiaTheme="minorHAnsi" w:cs="Calibri"/>
          <w:color w:val="000000"/>
          <w:sz w:val="24"/>
          <w:szCs w:val="24"/>
        </w:rPr>
      </w:pPr>
    </w:p>
    <w:p w14:paraId="4AE0371E" w14:textId="116C4ACE" w:rsidR="00AC3D27" w:rsidRPr="00AC3D27" w:rsidRDefault="00AC3D27" w:rsidP="00AC3D27">
      <w:pPr>
        <w:autoSpaceDE w:val="0"/>
        <w:autoSpaceDN w:val="0"/>
        <w:adjustRightInd w:val="0"/>
        <w:spacing w:after="0" w:line="240" w:lineRule="auto"/>
        <w:rPr>
          <w:rFonts w:eastAsiaTheme="minorHAnsi" w:cs="Calibri"/>
          <w:color w:val="000000"/>
        </w:rPr>
      </w:pPr>
      <w:r w:rsidRPr="00AC3D27">
        <w:rPr>
          <w:rFonts w:eastAsiaTheme="minorHAnsi" w:cs="Calibri"/>
          <w:b/>
          <w:bCs/>
          <w:color w:val="000009"/>
        </w:rPr>
        <w:t xml:space="preserve">Správa státních služeb vytvářejících důvěru, státní příspěvková organizace </w:t>
      </w:r>
    </w:p>
    <w:p w14:paraId="16AF4E92" w14:textId="77777777" w:rsidR="00AC3D27" w:rsidRPr="00AC3D27" w:rsidRDefault="00AC3D27" w:rsidP="00AC3D27">
      <w:pPr>
        <w:autoSpaceDE w:val="0"/>
        <w:autoSpaceDN w:val="0"/>
        <w:adjustRightInd w:val="0"/>
        <w:spacing w:after="0" w:line="240" w:lineRule="auto"/>
        <w:rPr>
          <w:rFonts w:eastAsiaTheme="minorHAnsi" w:cs="Calibri"/>
          <w:color w:val="000000"/>
        </w:rPr>
      </w:pPr>
      <w:r w:rsidRPr="00AC3D27">
        <w:rPr>
          <w:rFonts w:eastAsiaTheme="minorHAnsi" w:cs="Calibri"/>
          <w:color w:val="000009"/>
        </w:rPr>
        <w:t xml:space="preserve">se sídlem: Na Vápence 14, 130 00 Praha 3 </w:t>
      </w:r>
    </w:p>
    <w:p w14:paraId="5E65F441" w14:textId="77777777" w:rsidR="00AC3D27" w:rsidRPr="00AC3D27" w:rsidRDefault="00AC3D27" w:rsidP="00AC3D27">
      <w:pPr>
        <w:autoSpaceDE w:val="0"/>
        <w:autoSpaceDN w:val="0"/>
        <w:adjustRightInd w:val="0"/>
        <w:spacing w:after="0" w:line="240" w:lineRule="auto"/>
        <w:rPr>
          <w:rFonts w:eastAsiaTheme="minorHAnsi" w:cs="Calibri"/>
          <w:color w:val="000009"/>
        </w:rPr>
      </w:pPr>
      <w:r w:rsidRPr="00AC3D27">
        <w:rPr>
          <w:rFonts w:eastAsiaTheme="minorHAnsi" w:cs="Calibri"/>
          <w:color w:val="000009"/>
        </w:rPr>
        <w:t xml:space="preserve">IČO: 19122063 </w:t>
      </w:r>
    </w:p>
    <w:p w14:paraId="08584AD1" w14:textId="77777777" w:rsidR="00AC3D27" w:rsidRPr="00AC3D27" w:rsidRDefault="00AC3D27" w:rsidP="00AC3D27">
      <w:pPr>
        <w:autoSpaceDE w:val="0"/>
        <w:autoSpaceDN w:val="0"/>
        <w:adjustRightInd w:val="0"/>
        <w:spacing w:after="0" w:line="240" w:lineRule="auto"/>
        <w:rPr>
          <w:rFonts w:eastAsiaTheme="minorHAnsi" w:cs="Calibri"/>
          <w:color w:val="000000"/>
        </w:rPr>
      </w:pPr>
      <w:r w:rsidRPr="00AC3D27">
        <w:rPr>
          <w:rFonts w:eastAsiaTheme="minorHAnsi" w:cs="Calibri"/>
          <w:color w:val="000000"/>
        </w:rPr>
        <w:t xml:space="preserve">není plátcem DPH </w:t>
      </w:r>
    </w:p>
    <w:p w14:paraId="3E3AE84D" w14:textId="77777777" w:rsidR="00AC3D27" w:rsidRPr="00AC3D27" w:rsidRDefault="00AC3D27" w:rsidP="00AC3D27">
      <w:pPr>
        <w:autoSpaceDE w:val="0"/>
        <w:autoSpaceDN w:val="0"/>
        <w:adjustRightInd w:val="0"/>
        <w:spacing w:after="0" w:line="240" w:lineRule="auto"/>
        <w:rPr>
          <w:rFonts w:eastAsiaTheme="minorHAnsi" w:cs="Calibri"/>
          <w:color w:val="000000"/>
        </w:rPr>
      </w:pPr>
      <w:r w:rsidRPr="00AC3D27">
        <w:rPr>
          <w:rFonts w:eastAsiaTheme="minorHAnsi" w:cs="Calibri"/>
          <w:color w:val="000009"/>
        </w:rPr>
        <w:t xml:space="preserve">za kterou jedná: Ing. Michal Pešek, ředitel </w:t>
      </w:r>
    </w:p>
    <w:p w14:paraId="74EEAA89" w14:textId="70ED25C8" w:rsidR="00AC3D27" w:rsidRPr="00AC3D27" w:rsidRDefault="00AC3D27" w:rsidP="00AC3D27">
      <w:pPr>
        <w:autoSpaceDE w:val="0"/>
        <w:autoSpaceDN w:val="0"/>
        <w:adjustRightInd w:val="0"/>
        <w:spacing w:after="0" w:line="240" w:lineRule="auto"/>
        <w:rPr>
          <w:rFonts w:eastAsiaTheme="minorHAnsi" w:cs="Calibri"/>
          <w:color w:val="000000"/>
        </w:rPr>
      </w:pPr>
      <w:r w:rsidRPr="00AC3D27">
        <w:rPr>
          <w:rFonts w:eastAsiaTheme="minorHAnsi" w:cs="Calibri"/>
          <w:color w:val="000000"/>
        </w:rPr>
        <w:t xml:space="preserve">kontaktní osoba: </w:t>
      </w:r>
    </w:p>
    <w:p w14:paraId="03113E70" w14:textId="34EBE55C" w:rsidR="00AC3D27" w:rsidRPr="00AC3D27" w:rsidRDefault="00AC3D27" w:rsidP="00AC3D27">
      <w:pPr>
        <w:autoSpaceDE w:val="0"/>
        <w:autoSpaceDN w:val="0"/>
        <w:adjustRightInd w:val="0"/>
        <w:spacing w:after="0" w:line="240" w:lineRule="auto"/>
        <w:rPr>
          <w:rFonts w:eastAsiaTheme="minorHAnsi" w:cs="Calibri"/>
          <w:color w:val="000000"/>
        </w:rPr>
      </w:pPr>
      <w:r w:rsidRPr="00AC3D27">
        <w:rPr>
          <w:rFonts w:eastAsiaTheme="minorHAnsi" w:cs="Calibri"/>
          <w:color w:val="000000"/>
        </w:rPr>
        <w:t xml:space="preserve">bankovní spojení:  </w:t>
      </w:r>
    </w:p>
    <w:p w14:paraId="4794FB1F" w14:textId="58CABE9B" w:rsidR="00AC3D27" w:rsidRPr="00AC3D27" w:rsidRDefault="00AC3D27" w:rsidP="00AC3D27">
      <w:pPr>
        <w:autoSpaceDE w:val="0"/>
        <w:autoSpaceDN w:val="0"/>
        <w:adjustRightInd w:val="0"/>
        <w:spacing w:after="0" w:line="240" w:lineRule="auto"/>
        <w:rPr>
          <w:rFonts w:eastAsiaTheme="minorHAnsi" w:cs="Calibri"/>
          <w:color w:val="000000"/>
        </w:rPr>
      </w:pPr>
      <w:r w:rsidRPr="00AC3D27">
        <w:rPr>
          <w:rFonts w:eastAsiaTheme="minorHAnsi" w:cs="Calibri"/>
          <w:color w:val="000000"/>
        </w:rPr>
        <w:t xml:space="preserve">číslo účtu: </w:t>
      </w:r>
    </w:p>
    <w:p w14:paraId="3972A317" w14:textId="77777777" w:rsidR="00AC3D27" w:rsidRPr="00AC3D27" w:rsidRDefault="00AC3D27" w:rsidP="00AC3D27">
      <w:pPr>
        <w:autoSpaceDE w:val="0"/>
        <w:autoSpaceDN w:val="0"/>
        <w:adjustRightInd w:val="0"/>
        <w:spacing w:after="0" w:line="240" w:lineRule="auto"/>
        <w:rPr>
          <w:rFonts w:eastAsiaTheme="minorHAnsi" w:cs="Calibri"/>
          <w:color w:val="000000"/>
        </w:rPr>
      </w:pPr>
      <w:r w:rsidRPr="00AC3D27">
        <w:rPr>
          <w:rFonts w:eastAsiaTheme="minorHAnsi" w:cs="Calibri"/>
          <w:color w:val="000000"/>
        </w:rPr>
        <w:t xml:space="preserve">ID datové schránky: pp634ge </w:t>
      </w:r>
    </w:p>
    <w:p w14:paraId="38A13E82" w14:textId="027E8001" w:rsidR="00AC3D27" w:rsidRDefault="00AC3D27" w:rsidP="00AC3D27">
      <w:pPr>
        <w:spacing w:after="0" w:line="240" w:lineRule="auto"/>
        <w:rPr>
          <w:rFonts w:eastAsiaTheme="minorHAnsi" w:cs="Calibri"/>
          <w:color w:val="000009"/>
        </w:rPr>
      </w:pPr>
      <w:r w:rsidRPr="00AC3D27">
        <w:rPr>
          <w:rFonts w:eastAsiaTheme="minorHAnsi" w:cs="Calibri"/>
          <w:color w:val="000009"/>
        </w:rPr>
        <w:t>(dále jen „Objednatel“)</w:t>
      </w:r>
    </w:p>
    <w:p w14:paraId="4A015E8F" w14:textId="77777777" w:rsidR="00AC3D27" w:rsidRDefault="00AC3D27" w:rsidP="00AC3D27">
      <w:pPr>
        <w:spacing w:after="0" w:line="240" w:lineRule="auto"/>
      </w:pPr>
    </w:p>
    <w:p w14:paraId="1CE7DF1D" w14:textId="77777777" w:rsidR="00AC3D27" w:rsidRDefault="00AC3D27" w:rsidP="00AC3D27">
      <w:pPr>
        <w:spacing w:after="0" w:line="240" w:lineRule="auto"/>
      </w:pPr>
      <w:r>
        <w:t>a</w:t>
      </w:r>
    </w:p>
    <w:p w14:paraId="066725DE" w14:textId="77777777" w:rsidR="00AC3D27" w:rsidRDefault="00AC3D27" w:rsidP="00AC3D27">
      <w:pPr>
        <w:spacing w:after="0" w:line="240" w:lineRule="auto"/>
      </w:pPr>
    </w:p>
    <w:p w14:paraId="3E247051" w14:textId="3C73DCDD" w:rsidR="00AC3D27" w:rsidRDefault="00AC3D27" w:rsidP="00AC3D27">
      <w:pPr>
        <w:spacing w:after="0" w:line="240" w:lineRule="auto"/>
      </w:pPr>
      <w:r w:rsidRPr="00AC3D27">
        <w:rPr>
          <w:b/>
          <w:bCs/>
        </w:rPr>
        <w:t xml:space="preserve">Vysočina </w:t>
      </w:r>
      <w:proofErr w:type="spellStart"/>
      <w:r w:rsidRPr="00AC3D27">
        <w:rPr>
          <w:b/>
          <w:bCs/>
        </w:rPr>
        <w:t>Service</w:t>
      </w:r>
      <w:proofErr w:type="spellEnd"/>
      <w:r w:rsidRPr="00AC3D27">
        <w:rPr>
          <w:b/>
          <w:bCs/>
        </w:rPr>
        <w:t>, příspěvková organizace</w:t>
      </w:r>
    </w:p>
    <w:p w14:paraId="16F5B5E2" w14:textId="77777777" w:rsidR="00AC3D27" w:rsidRDefault="00AC3D27" w:rsidP="00AC3D27">
      <w:pPr>
        <w:spacing w:after="0" w:line="240" w:lineRule="auto"/>
      </w:pPr>
      <w:r>
        <w:t>se sídlem Ke Skalce 5907/47, 586 01 Jihlava,</w:t>
      </w:r>
    </w:p>
    <w:p w14:paraId="6B4F6C80" w14:textId="71DE9275" w:rsidR="00AC3D27" w:rsidRDefault="00AC3D27" w:rsidP="00AC3D27">
      <w:pPr>
        <w:spacing w:after="0" w:line="240" w:lineRule="auto"/>
      </w:pPr>
      <w:r>
        <w:t>IČO: 71294376</w:t>
      </w:r>
    </w:p>
    <w:p w14:paraId="02A590FD" w14:textId="26B75511" w:rsidR="00AC3D27" w:rsidRDefault="00AC3D27" w:rsidP="00AC3D27">
      <w:pPr>
        <w:spacing w:after="0" w:line="240" w:lineRule="auto"/>
      </w:pPr>
      <w:r>
        <w:t>DIČ: CZ71294376</w:t>
      </w:r>
    </w:p>
    <w:p w14:paraId="61025CB0" w14:textId="77777777" w:rsidR="00AC3D27" w:rsidRDefault="00AC3D27" w:rsidP="00AC3D27">
      <w:pPr>
        <w:spacing w:after="0" w:line="240" w:lineRule="auto"/>
      </w:pPr>
      <w:r>
        <w:t xml:space="preserve">zapsaná v obchodním rejstříku vedeném Krajským soudem v Brně, spisová značka </w:t>
      </w:r>
      <w:proofErr w:type="spellStart"/>
      <w:r>
        <w:t>Pr</w:t>
      </w:r>
      <w:proofErr w:type="spellEnd"/>
      <w:r>
        <w:t xml:space="preserve"> 1932</w:t>
      </w:r>
    </w:p>
    <w:p w14:paraId="32AAC53F" w14:textId="77777777" w:rsidR="00AC3D27" w:rsidRDefault="00AC3D27" w:rsidP="00AC3D27">
      <w:pPr>
        <w:spacing w:after="0" w:line="240" w:lineRule="auto"/>
      </w:pPr>
      <w:r>
        <w:t>zastoupená ředitelkou Ing. Erikou Šteflovou, MBA</w:t>
      </w:r>
    </w:p>
    <w:p w14:paraId="18335B34" w14:textId="74FF2562" w:rsidR="00AC3D27" w:rsidRDefault="00AC3D27" w:rsidP="00AC3D27">
      <w:pPr>
        <w:spacing w:after="0" w:line="240" w:lineRule="auto"/>
      </w:pPr>
      <w:r>
        <w:t xml:space="preserve">Kontaktní osoba: </w:t>
      </w:r>
    </w:p>
    <w:p w14:paraId="053E85A7" w14:textId="7B4A2213" w:rsidR="00AC3D27" w:rsidRDefault="00AC3D27" w:rsidP="00AC3D27">
      <w:pPr>
        <w:spacing w:after="0" w:line="240" w:lineRule="auto"/>
      </w:pPr>
      <w:r>
        <w:t xml:space="preserve">Číslo účtu: </w:t>
      </w:r>
    </w:p>
    <w:p w14:paraId="4A9A0E24" w14:textId="77777777" w:rsidR="00AC3D27" w:rsidRDefault="00AC3D27" w:rsidP="00AC3D27">
      <w:pPr>
        <w:spacing w:after="0" w:line="240" w:lineRule="auto"/>
      </w:pPr>
      <w:r>
        <w:t xml:space="preserve">ID datové schránky: </w:t>
      </w:r>
      <w:proofErr w:type="spellStart"/>
      <w:r>
        <w:t>westzkg</w:t>
      </w:r>
      <w:proofErr w:type="spellEnd"/>
    </w:p>
    <w:p w14:paraId="131D56F1" w14:textId="77777777" w:rsidR="00AC3D27" w:rsidRDefault="00AC3D27" w:rsidP="00AC3D27">
      <w:pPr>
        <w:spacing w:after="0" w:line="240" w:lineRule="auto"/>
      </w:pPr>
      <w:r>
        <w:t>(dále jen „poskytovatel“).</w:t>
      </w:r>
    </w:p>
    <w:p w14:paraId="679D298D" w14:textId="77777777" w:rsidR="00AC3D27" w:rsidRDefault="00AC3D27" w:rsidP="00AC3D27">
      <w:pPr>
        <w:spacing w:after="0" w:line="240" w:lineRule="auto"/>
      </w:pPr>
    </w:p>
    <w:p w14:paraId="134FE370" w14:textId="0CB57F09" w:rsidR="00AC3D27" w:rsidRDefault="00AC3D27" w:rsidP="00AC3D27">
      <w:pPr>
        <w:spacing w:after="0" w:line="240" w:lineRule="auto"/>
      </w:pPr>
      <w:r>
        <w:t>se dohodly na níže uvedeném dodatku č. 2 ke smlouvě o poskytování služeb, uzavřené dne 7. 3. 2025, ve znění dodatku č. 1 ze dne 19. 6. 2025.</w:t>
      </w:r>
      <w:r>
        <w:tab/>
      </w:r>
    </w:p>
    <w:p w14:paraId="7AD4F1A9" w14:textId="77777777" w:rsidR="00AC3D27" w:rsidRDefault="00AC3D27" w:rsidP="00AC3D27">
      <w:pPr>
        <w:spacing w:after="0" w:line="240" w:lineRule="auto"/>
      </w:pPr>
    </w:p>
    <w:p w14:paraId="5647E684" w14:textId="77777777" w:rsidR="00AC3D27" w:rsidRPr="00AC3D27" w:rsidRDefault="00AC3D27" w:rsidP="00AC3D27">
      <w:pPr>
        <w:spacing w:after="0" w:line="240" w:lineRule="auto"/>
        <w:jc w:val="center"/>
        <w:rPr>
          <w:b/>
          <w:bCs/>
        </w:rPr>
      </w:pPr>
      <w:r w:rsidRPr="00AC3D27">
        <w:rPr>
          <w:b/>
          <w:bCs/>
        </w:rPr>
        <w:t>Článek 2</w:t>
      </w:r>
    </w:p>
    <w:p w14:paraId="1F633530" w14:textId="77777777" w:rsidR="00AC3D27" w:rsidRPr="00AC3D27" w:rsidRDefault="00AC3D27" w:rsidP="00AC3D27">
      <w:pPr>
        <w:spacing w:after="0" w:line="240" w:lineRule="auto"/>
        <w:jc w:val="center"/>
        <w:rPr>
          <w:b/>
          <w:bCs/>
        </w:rPr>
      </w:pPr>
      <w:r w:rsidRPr="00AC3D27">
        <w:rPr>
          <w:b/>
          <w:bCs/>
        </w:rPr>
        <w:t>Předmět změny</w:t>
      </w:r>
    </w:p>
    <w:p w14:paraId="3BFC471B" w14:textId="77777777" w:rsidR="00AC3D27" w:rsidRDefault="00AC3D27" w:rsidP="00AC3D27">
      <w:pPr>
        <w:spacing w:after="0" w:line="240" w:lineRule="auto"/>
      </w:pPr>
    </w:p>
    <w:p w14:paraId="5840BA63" w14:textId="0319FEAF" w:rsidR="00AC3D27" w:rsidRDefault="00554214" w:rsidP="00CE0E45">
      <w:pPr>
        <w:spacing w:after="0" w:line="240" w:lineRule="auto"/>
        <w:jc w:val="both"/>
      </w:pPr>
      <w:r>
        <w:t>Ke dni 1</w:t>
      </w:r>
      <w:r w:rsidR="00601C35">
        <w:t>0</w:t>
      </w:r>
      <w:r>
        <w:t xml:space="preserve">. listopadu 2025 dochází k přejmenování poskytovatele, </w:t>
      </w:r>
      <w:r w:rsidR="00423B7D">
        <w:t>se kterým byla uzavřena dne 7.</w:t>
      </w:r>
      <w:r w:rsidR="00AA07DE">
        <w:t xml:space="preserve"> </w:t>
      </w:r>
      <w:r w:rsidR="00423B7D">
        <w:t xml:space="preserve">3. </w:t>
      </w:r>
      <w:r w:rsidR="003708DF">
        <w:t>2025 S</w:t>
      </w:r>
      <w:r w:rsidR="00E3281A">
        <w:t>mlouva</w:t>
      </w:r>
      <w:r w:rsidR="003708DF">
        <w:t xml:space="preserve"> o poskytování služeb, kdy původní název poskytovatele byl Projektová kancelář </w:t>
      </w:r>
      <w:r w:rsidR="00CA7F3D">
        <w:t>K</w:t>
      </w:r>
      <w:r w:rsidR="003708DF">
        <w:t>raje Vysočina, příspěvková organizace.</w:t>
      </w:r>
      <w:r w:rsidR="00E3281A">
        <w:t xml:space="preserve"> </w:t>
      </w:r>
      <w:r w:rsidR="00AC3D27">
        <w:t xml:space="preserve">Smluvní strany se </w:t>
      </w:r>
      <w:r w:rsidR="003708DF">
        <w:t xml:space="preserve">dále </w:t>
      </w:r>
      <w:r w:rsidR="00AC3D27">
        <w:t>dohodly na těchto změnách smlouvy o poskytování služeb, uzavřené dne 7. 3. 2025, ve znění dodatku č. 1 ze dne 19. 6. 2025 (dále jen smlouva):</w:t>
      </w:r>
    </w:p>
    <w:p w14:paraId="463B512A" w14:textId="77777777" w:rsidR="00AC3D27" w:rsidRDefault="00AC3D27" w:rsidP="00AC3D27">
      <w:pPr>
        <w:spacing w:after="0" w:line="240" w:lineRule="auto"/>
      </w:pPr>
    </w:p>
    <w:p w14:paraId="6CA592FE" w14:textId="1DE5C9DD" w:rsidR="00AC3D27" w:rsidRDefault="00AC3D27" w:rsidP="00E02F51">
      <w:pPr>
        <w:spacing w:after="0" w:line="240" w:lineRule="auto"/>
        <w:jc w:val="both"/>
      </w:pPr>
      <w:r>
        <w:t xml:space="preserve">1. Předmět smlouvy definovaný v článku 2 </w:t>
      </w:r>
      <w:r w:rsidR="007D6952">
        <w:t xml:space="preserve">odst. 2 Smlouvy se rozšiřuje a nově se vkládá písmeno d), které zní: </w:t>
      </w:r>
    </w:p>
    <w:p w14:paraId="137DDFAE" w14:textId="77777777" w:rsidR="00E02F51" w:rsidRDefault="00E02F51" w:rsidP="00E02F51">
      <w:pPr>
        <w:spacing w:after="0" w:line="240" w:lineRule="auto"/>
        <w:jc w:val="both"/>
      </w:pPr>
    </w:p>
    <w:p w14:paraId="27258081" w14:textId="7B30C324" w:rsidR="003575D5" w:rsidRDefault="007D6952" w:rsidP="00CE0E45">
      <w:pPr>
        <w:spacing w:after="0" w:line="240" w:lineRule="auto"/>
        <w:jc w:val="both"/>
      </w:pPr>
      <w:r w:rsidRPr="007D6952">
        <w:t xml:space="preserve">d) </w:t>
      </w:r>
      <w:r w:rsidR="008E58C6">
        <w:t xml:space="preserve"> </w:t>
      </w:r>
      <w:r w:rsidRPr="007D6952">
        <w:t>Z</w:t>
      </w:r>
      <w:r w:rsidR="006448F5" w:rsidRPr="007D6952">
        <w:t>ajištění provozu, správy a administrace informačního systému GINIS (dále také jen „IS GINIS“)</w:t>
      </w:r>
      <w:r w:rsidR="003575D5">
        <w:t xml:space="preserve">, což zahrnuje: </w:t>
      </w:r>
      <w:r w:rsidR="006F1756" w:rsidRPr="007D6952">
        <w:t xml:space="preserve"> </w:t>
      </w:r>
      <w:r w:rsidR="003575D5">
        <w:t xml:space="preserve">   </w:t>
      </w:r>
    </w:p>
    <w:p w14:paraId="4747B4A3" w14:textId="0D3532B9" w:rsidR="003575D5" w:rsidRPr="008E58C6" w:rsidRDefault="003575D5" w:rsidP="00CE0E45">
      <w:pPr>
        <w:pStyle w:val="Odstavecseseznamem"/>
        <w:numPr>
          <w:ilvl w:val="0"/>
          <w:numId w:val="2"/>
        </w:numPr>
        <w:ind w:left="360"/>
        <w:jc w:val="both"/>
        <w:rPr>
          <w:rFonts w:asciiTheme="minorHAnsi" w:hAnsiTheme="minorHAnsi" w:cstheme="minorHAnsi"/>
          <w:sz w:val="22"/>
          <w:szCs w:val="22"/>
        </w:rPr>
      </w:pPr>
      <w:r w:rsidRPr="008E58C6">
        <w:rPr>
          <w:rFonts w:asciiTheme="minorHAnsi" w:hAnsiTheme="minorHAnsi" w:cstheme="minorHAnsi"/>
          <w:sz w:val="22"/>
          <w:szCs w:val="22"/>
        </w:rPr>
        <w:t xml:space="preserve">funkční dostupnost modulů </w:t>
      </w:r>
      <w:r w:rsidR="008E58C6">
        <w:rPr>
          <w:rFonts w:asciiTheme="minorHAnsi" w:hAnsiTheme="minorHAnsi" w:cstheme="minorHAnsi"/>
          <w:sz w:val="22"/>
          <w:szCs w:val="22"/>
        </w:rPr>
        <w:t xml:space="preserve">IS </w:t>
      </w:r>
      <w:r w:rsidRPr="008E58C6">
        <w:rPr>
          <w:rFonts w:asciiTheme="minorHAnsi" w:hAnsiTheme="minorHAnsi" w:cstheme="minorHAnsi"/>
          <w:sz w:val="22"/>
          <w:szCs w:val="22"/>
        </w:rPr>
        <w:t xml:space="preserve">GINIS </w:t>
      </w:r>
      <w:r w:rsidR="008E58C6" w:rsidRPr="008E58C6">
        <w:rPr>
          <w:rFonts w:asciiTheme="minorHAnsi" w:hAnsiTheme="minorHAnsi" w:cstheme="minorHAnsi"/>
          <w:sz w:val="22"/>
          <w:szCs w:val="22"/>
        </w:rPr>
        <w:t>na cloudovém úložišti Technologického centra kraje Vysočina</w:t>
      </w:r>
      <w:r w:rsidR="008E58C6">
        <w:rPr>
          <w:rFonts w:asciiTheme="minorHAnsi" w:hAnsiTheme="minorHAnsi" w:cstheme="minorHAnsi"/>
          <w:sz w:val="22"/>
          <w:szCs w:val="22"/>
        </w:rPr>
        <w:t>,</w:t>
      </w:r>
      <w:r w:rsidR="008E58C6" w:rsidRPr="008E58C6">
        <w:rPr>
          <w:rFonts w:asciiTheme="minorHAnsi" w:hAnsiTheme="minorHAnsi" w:cstheme="minorHAnsi"/>
          <w:sz w:val="22"/>
          <w:szCs w:val="22"/>
        </w:rPr>
        <w:t xml:space="preserve"> a to způsobem umožňujícím vzdálený přístup objednatele prostřednictvím sítě Internet. Přístup bude zajištěn </w:t>
      </w:r>
      <w:r w:rsidRPr="008E58C6">
        <w:rPr>
          <w:rFonts w:asciiTheme="minorHAnsi" w:hAnsiTheme="minorHAnsi" w:cstheme="minorHAnsi"/>
          <w:sz w:val="22"/>
          <w:szCs w:val="22"/>
        </w:rPr>
        <w:t xml:space="preserve">v režimu 7x24, v rozsahu </w:t>
      </w:r>
      <w:proofErr w:type="gramStart"/>
      <w:r w:rsidRPr="008E58C6">
        <w:rPr>
          <w:rFonts w:asciiTheme="minorHAnsi" w:hAnsiTheme="minorHAnsi" w:cstheme="minorHAnsi"/>
          <w:sz w:val="22"/>
          <w:szCs w:val="22"/>
        </w:rPr>
        <w:t>7mi</w:t>
      </w:r>
      <w:proofErr w:type="gramEnd"/>
      <w:r w:rsidRPr="008E58C6">
        <w:rPr>
          <w:rFonts w:asciiTheme="minorHAnsi" w:hAnsiTheme="minorHAnsi" w:cstheme="minorHAnsi"/>
          <w:sz w:val="22"/>
          <w:szCs w:val="22"/>
        </w:rPr>
        <w:t xml:space="preserve"> koncových (současně pracujících) uživatelů</w:t>
      </w:r>
      <w:r w:rsidR="008E58C6" w:rsidRPr="008E58C6">
        <w:rPr>
          <w:rFonts w:asciiTheme="minorHAnsi" w:hAnsiTheme="minorHAnsi" w:cstheme="minorHAnsi"/>
          <w:sz w:val="22"/>
          <w:szCs w:val="22"/>
        </w:rPr>
        <w:t xml:space="preserve"> určených objednatelem</w:t>
      </w:r>
      <w:r w:rsidRPr="008E58C6">
        <w:rPr>
          <w:rFonts w:asciiTheme="minorHAnsi" w:hAnsiTheme="minorHAnsi" w:cstheme="minorHAnsi"/>
          <w:sz w:val="22"/>
          <w:szCs w:val="22"/>
        </w:rPr>
        <w:t xml:space="preserve">, </w:t>
      </w:r>
    </w:p>
    <w:p w14:paraId="24E99D6B" w14:textId="021EA3EC" w:rsidR="003575D5" w:rsidRPr="008E58C6" w:rsidRDefault="003575D5" w:rsidP="00CE0E45">
      <w:pPr>
        <w:pStyle w:val="Odstavecseseznamem"/>
        <w:numPr>
          <w:ilvl w:val="0"/>
          <w:numId w:val="2"/>
        </w:numPr>
        <w:ind w:left="360"/>
        <w:jc w:val="both"/>
        <w:rPr>
          <w:rFonts w:asciiTheme="minorHAnsi" w:hAnsiTheme="minorHAnsi" w:cstheme="minorHAnsi"/>
          <w:sz w:val="22"/>
          <w:szCs w:val="22"/>
        </w:rPr>
      </w:pPr>
      <w:r w:rsidRPr="008E58C6">
        <w:rPr>
          <w:rFonts w:asciiTheme="minorHAnsi" w:hAnsiTheme="minorHAnsi" w:cstheme="minorHAnsi"/>
          <w:sz w:val="22"/>
          <w:szCs w:val="22"/>
        </w:rPr>
        <w:t xml:space="preserve">pravidelné zálohování dat za účelem jejich obnovitelnosti, </w:t>
      </w:r>
    </w:p>
    <w:p w14:paraId="53F7E8C4" w14:textId="418BF046" w:rsidR="003575D5" w:rsidRPr="008E58C6" w:rsidRDefault="003575D5" w:rsidP="00CE0E45">
      <w:pPr>
        <w:pStyle w:val="Odstavecseseznamem"/>
        <w:numPr>
          <w:ilvl w:val="0"/>
          <w:numId w:val="2"/>
        </w:numPr>
        <w:ind w:left="360"/>
        <w:jc w:val="both"/>
        <w:rPr>
          <w:sz w:val="22"/>
          <w:szCs w:val="22"/>
        </w:rPr>
      </w:pPr>
      <w:r w:rsidRPr="008E58C6">
        <w:rPr>
          <w:rFonts w:asciiTheme="minorHAnsi" w:hAnsiTheme="minorHAnsi" w:cstheme="minorHAnsi"/>
          <w:sz w:val="22"/>
          <w:szCs w:val="22"/>
        </w:rPr>
        <w:lastRenderedPageBreak/>
        <w:t>dostupnost dat pro objednatele a možnost jejich externího zálohování na externí nosič dat</w:t>
      </w:r>
      <w:r w:rsidR="008E58C6" w:rsidRPr="008E58C6">
        <w:rPr>
          <w:rFonts w:asciiTheme="minorHAnsi" w:hAnsiTheme="minorHAnsi" w:cstheme="minorHAnsi"/>
          <w:sz w:val="22"/>
          <w:szCs w:val="22"/>
        </w:rPr>
        <w:t xml:space="preserve"> </w:t>
      </w:r>
      <w:r w:rsidRPr="008E58C6">
        <w:rPr>
          <w:rFonts w:asciiTheme="minorHAnsi" w:hAnsiTheme="minorHAnsi" w:cstheme="minorHAnsi"/>
          <w:sz w:val="22"/>
          <w:szCs w:val="22"/>
        </w:rPr>
        <w:t>objednatele.</w:t>
      </w:r>
    </w:p>
    <w:p w14:paraId="722BDA76" w14:textId="3218800B" w:rsidR="006448F5" w:rsidRPr="008E58C6" w:rsidRDefault="006F1756" w:rsidP="00CE0E45">
      <w:pPr>
        <w:pStyle w:val="Odstavecseseznamem"/>
        <w:numPr>
          <w:ilvl w:val="0"/>
          <w:numId w:val="2"/>
        </w:numPr>
        <w:ind w:left="360"/>
        <w:jc w:val="both"/>
        <w:rPr>
          <w:rFonts w:asciiTheme="minorHAnsi" w:hAnsiTheme="minorHAnsi" w:cstheme="minorHAnsi"/>
          <w:sz w:val="22"/>
          <w:szCs w:val="22"/>
        </w:rPr>
      </w:pPr>
      <w:r w:rsidRPr="008E58C6">
        <w:rPr>
          <w:rFonts w:asciiTheme="minorHAnsi" w:hAnsiTheme="minorHAnsi" w:cstheme="minorHAnsi"/>
          <w:sz w:val="22"/>
          <w:szCs w:val="22"/>
        </w:rPr>
        <w:t xml:space="preserve">zřizování přístupů pracovníkům </w:t>
      </w:r>
      <w:r w:rsidR="007D6952" w:rsidRPr="008E58C6">
        <w:rPr>
          <w:rFonts w:asciiTheme="minorHAnsi" w:hAnsiTheme="minorHAnsi" w:cstheme="minorHAnsi"/>
          <w:sz w:val="22"/>
          <w:szCs w:val="22"/>
        </w:rPr>
        <w:t>o</w:t>
      </w:r>
      <w:r w:rsidRPr="008E58C6">
        <w:rPr>
          <w:rFonts w:asciiTheme="minorHAnsi" w:hAnsiTheme="minorHAnsi" w:cstheme="minorHAnsi"/>
          <w:sz w:val="22"/>
          <w:szCs w:val="22"/>
        </w:rPr>
        <w:t xml:space="preserve">bjednatele, případně dalším osobám oprávněných institucí na základě žádosti a specifikace </w:t>
      </w:r>
      <w:r w:rsidR="007D6952" w:rsidRPr="008E58C6">
        <w:rPr>
          <w:rFonts w:asciiTheme="minorHAnsi" w:hAnsiTheme="minorHAnsi" w:cstheme="minorHAnsi"/>
          <w:sz w:val="22"/>
          <w:szCs w:val="22"/>
        </w:rPr>
        <w:t>o</w:t>
      </w:r>
      <w:r w:rsidRPr="008E58C6">
        <w:rPr>
          <w:rFonts w:asciiTheme="minorHAnsi" w:hAnsiTheme="minorHAnsi" w:cstheme="minorHAnsi"/>
          <w:sz w:val="22"/>
          <w:szCs w:val="22"/>
        </w:rPr>
        <w:t xml:space="preserve">bjednatele.  </w:t>
      </w:r>
    </w:p>
    <w:p w14:paraId="56AB214A" w14:textId="77777777" w:rsidR="006448F5" w:rsidRPr="008E58C6" w:rsidRDefault="006448F5" w:rsidP="00AC3D27">
      <w:pPr>
        <w:spacing w:after="0" w:line="240" w:lineRule="auto"/>
      </w:pPr>
    </w:p>
    <w:p w14:paraId="27051934" w14:textId="02D2E848" w:rsidR="00AC3D27" w:rsidRDefault="00AC3D27" w:rsidP="00AC3D27">
      <w:pPr>
        <w:spacing w:after="0" w:line="240" w:lineRule="auto"/>
      </w:pPr>
      <w:r>
        <w:t>2.</w:t>
      </w:r>
      <w:r w:rsidR="006448F5">
        <w:t xml:space="preserve"> </w:t>
      </w:r>
      <w:r>
        <w:t>V Článku 4 Cena a způsob placení se odstavec 1 mění takto:</w:t>
      </w:r>
    </w:p>
    <w:p w14:paraId="09A4AE58" w14:textId="77777777" w:rsidR="00AC3D27" w:rsidRDefault="00AC3D27" w:rsidP="00AC3D27">
      <w:pPr>
        <w:spacing w:after="0" w:line="240" w:lineRule="auto"/>
      </w:pPr>
    </w:p>
    <w:p w14:paraId="2DD8FDF8" w14:textId="2120B2BE" w:rsidR="006448F5" w:rsidRDefault="00AC3D27" w:rsidP="00CE0E45">
      <w:pPr>
        <w:spacing w:after="0" w:line="240" w:lineRule="auto"/>
        <w:jc w:val="both"/>
      </w:pPr>
      <w:r>
        <w:t>1.</w:t>
      </w:r>
      <w:r w:rsidR="006448F5">
        <w:t xml:space="preserve"> </w:t>
      </w:r>
      <w:r w:rsidR="006448F5" w:rsidRPr="006448F5">
        <w:t xml:space="preserve">Smluvní strany se dohodly, že za činnosti poskytovatele dle článku 2, odstavce 2, písm. a) této smlouvy uhradí objednatel poskytovateli smluvní paušální odměnu ve výši </w:t>
      </w:r>
      <w:r w:rsidR="006448F5">
        <w:t>43</w:t>
      </w:r>
      <w:r w:rsidR="006448F5" w:rsidRPr="006448F5">
        <w:t xml:space="preserve"> 000,- Kč za zpracovávaný měsíc (slovy </w:t>
      </w:r>
      <w:r w:rsidR="006448F5">
        <w:t>čtyřicet</w:t>
      </w:r>
      <w:r w:rsidR="006448F5" w:rsidRPr="006448F5">
        <w:t xml:space="preserve"> </w:t>
      </w:r>
      <w:r w:rsidR="006448F5">
        <w:t>tři</w:t>
      </w:r>
      <w:r w:rsidR="006448F5" w:rsidRPr="006448F5">
        <w:t xml:space="preserve"> tisíc korun českých), za činnosti poskytovatele dle článku 2, odstavce 2, písm. b) této smlouvy uhradí objednatel poskytovateli smluvní paušální odměnu 350,- Kč/zpracovávané osobní číslo/za zpracovaný měsíc (slovy </w:t>
      </w:r>
      <w:proofErr w:type="spellStart"/>
      <w:r w:rsidR="006448F5" w:rsidRPr="006448F5">
        <w:t>třistapadesát</w:t>
      </w:r>
      <w:proofErr w:type="spellEnd"/>
      <w:r w:rsidR="006448F5" w:rsidRPr="006448F5">
        <w:t xml:space="preserve"> korun českých), za činnosti poskytovatele dle článku 2, odstavce 2, písm. c) této smlouvy uhradí objednatel poskytovateli smluvní paušální odměnu ve výši 900,-</w:t>
      </w:r>
      <w:r w:rsidR="001B1191">
        <w:t xml:space="preserve"> </w:t>
      </w:r>
      <w:r w:rsidR="006448F5" w:rsidRPr="006448F5">
        <w:t xml:space="preserve">Kč/za odpracovanou člověkohodinu (slovy devět set korun českých). V případě, že se v průběhu platnosti smlouvy poskytovatel stane plátcem DPH, je od tohoto okamžiku oprávněn k ceně poskytnutých, dosud neuhrazených služeb připočíst DPH ve výši dle platné legislativy. </w:t>
      </w:r>
    </w:p>
    <w:p w14:paraId="5DF71195" w14:textId="77777777" w:rsidR="002F077D" w:rsidRDefault="002F077D" w:rsidP="006448F5">
      <w:pPr>
        <w:spacing w:after="0" w:line="240" w:lineRule="auto"/>
        <w:ind w:left="708"/>
      </w:pPr>
    </w:p>
    <w:p w14:paraId="5D07E942" w14:textId="11DA0A49" w:rsidR="002F077D" w:rsidRDefault="002F077D" w:rsidP="003575D5">
      <w:pPr>
        <w:spacing w:after="0" w:line="240" w:lineRule="auto"/>
      </w:pPr>
    </w:p>
    <w:p w14:paraId="1B50556F" w14:textId="7893D70D" w:rsidR="00AC3D27" w:rsidRPr="006448F5" w:rsidRDefault="00AC3D27" w:rsidP="006448F5">
      <w:pPr>
        <w:spacing w:after="0" w:line="240" w:lineRule="auto"/>
        <w:jc w:val="center"/>
        <w:rPr>
          <w:b/>
          <w:bCs/>
        </w:rPr>
      </w:pPr>
      <w:r w:rsidRPr="006448F5">
        <w:rPr>
          <w:b/>
          <w:bCs/>
        </w:rPr>
        <w:t>Článek 3</w:t>
      </w:r>
    </w:p>
    <w:p w14:paraId="73EA4D47" w14:textId="77777777" w:rsidR="00AC3D27" w:rsidRPr="006448F5" w:rsidRDefault="00AC3D27" w:rsidP="006448F5">
      <w:pPr>
        <w:spacing w:after="0" w:line="240" w:lineRule="auto"/>
        <w:jc w:val="center"/>
        <w:rPr>
          <w:b/>
          <w:bCs/>
        </w:rPr>
      </w:pPr>
      <w:r w:rsidRPr="006448F5">
        <w:rPr>
          <w:b/>
          <w:bCs/>
        </w:rPr>
        <w:t>Ustanovení společná a závěrečná</w:t>
      </w:r>
    </w:p>
    <w:p w14:paraId="7EA38158" w14:textId="7F8FC3AA" w:rsidR="00AC3D27" w:rsidRDefault="00AC3D27" w:rsidP="00E02F51">
      <w:pPr>
        <w:spacing w:after="0" w:line="240" w:lineRule="auto"/>
        <w:jc w:val="both"/>
      </w:pPr>
      <w:r>
        <w:t>1.</w:t>
      </w:r>
      <w:r w:rsidR="00E02F51">
        <w:t xml:space="preserve"> </w:t>
      </w:r>
      <w:r>
        <w:t>Ostatní ustanovení smlouvy zůstávají v platnosti beze změny.</w:t>
      </w:r>
    </w:p>
    <w:p w14:paraId="61A6042E" w14:textId="77777777" w:rsidR="00AC3D27" w:rsidRDefault="00AC3D27" w:rsidP="00E02F51">
      <w:pPr>
        <w:spacing w:after="0" w:line="240" w:lineRule="auto"/>
        <w:jc w:val="both"/>
      </w:pPr>
    </w:p>
    <w:p w14:paraId="38FB3240" w14:textId="39739B35" w:rsidR="00AC3D27" w:rsidRDefault="00AC3D27" w:rsidP="00E02F51">
      <w:pPr>
        <w:spacing w:after="0" w:line="240" w:lineRule="auto"/>
        <w:jc w:val="both"/>
      </w:pPr>
      <w:r>
        <w:t>2.</w:t>
      </w:r>
      <w:r w:rsidR="00E02F51">
        <w:t xml:space="preserve"> </w:t>
      </w:r>
      <w:r>
        <w:t xml:space="preserve">Smluvní strany, resp. osoby oprávněné za ně jednat, prohlašují, že tento dodatek č. </w:t>
      </w:r>
      <w:r w:rsidR="00E02F51">
        <w:t>2</w:t>
      </w:r>
      <w:r>
        <w:t xml:space="preserve"> byl uzavřen na základě jejich pravé a svobodné vůle</w:t>
      </w:r>
      <w:r w:rsidR="00B5653D">
        <w:t>,</w:t>
      </w:r>
      <w:r>
        <w:t xml:space="preserve"> a nikoliv v tísni ani za jinak nápadně nevýhodných podmínek. Smluvní strany současně prohlašují, že osoby podepisující tento dodatek jsou k tomu úkonu oprávněny.</w:t>
      </w:r>
    </w:p>
    <w:p w14:paraId="17C39D6A" w14:textId="77777777" w:rsidR="00AC3D27" w:rsidRDefault="00AC3D27" w:rsidP="00E02F51">
      <w:pPr>
        <w:spacing w:after="0" w:line="240" w:lineRule="auto"/>
        <w:jc w:val="both"/>
      </w:pPr>
    </w:p>
    <w:p w14:paraId="467AAF05" w14:textId="5E084396" w:rsidR="00AC3D27" w:rsidRDefault="00AC3D27" w:rsidP="00E02F51">
      <w:pPr>
        <w:spacing w:after="0" w:line="240" w:lineRule="auto"/>
        <w:jc w:val="both"/>
      </w:pPr>
      <w:r>
        <w:t>3.</w:t>
      </w:r>
      <w:r w:rsidR="00E02F51">
        <w:t xml:space="preserve"> </w:t>
      </w:r>
      <w:r>
        <w:t xml:space="preserve">Tento dodatek č. </w:t>
      </w:r>
      <w:r w:rsidR="00E02F51">
        <w:t>2</w:t>
      </w:r>
      <w:r>
        <w:t xml:space="preserve"> je v případě jeho tištěného provedení vyhotoven ve dvou rovnocenných stejnopisech, z nichž každá strana obdrží po jednom vyhotovení, 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  </w:t>
      </w:r>
    </w:p>
    <w:p w14:paraId="6B991F8A" w14:textId="77777777" w:rsidR="00AC3D27" w:rsidRDefault="00AC3D27" w:rsidP="00E02F51">
      <w:pPr>
        <w:spacing w:after="0" w:line="240" w:lineRule="auto"/>
        <w:jc w:val="both"/>
      </w:pPr>
    </w:p>
    <w:p w14:paraId="6C5BF155" w14:textId="5D3617A1" w:rsidR="00AC3D27" w:rsidRDefault="00AC3D27" w:rsidP="00E02F51">
      <w:pPr>
        <w:spacing w:after="0" w:line="240" w:lineRule="auto"/>
        <w:jc w:val="both"/>
      </w:pPr>
      <w:r>
        <w:t>4.</w:t>
      </w:r>
      <w:r w:rsidR="00E02F51">
        <w:t xml:space="preserve"> </w:t>
      </w:r>
      <w:r>
        <w:t>Platnost tohoto dodatku nastává ode dne podpisu oběma smluvními stranami</w:t>
      </w:r>
      <w:r w:rsidR="00E02F51">
        <w:t>, účinnost tohoto dodatku nastává od</w:t>
      </w:r>
      <w:r w:rsidR="001B1191">
        <w:t xml:space="preserve"> </w:t>
      </w:r>
      <w:r w:rsidR="00B5653D">
        <w:t>1</w:t>
      </w:r>
      <w:r w:rsidR="00BC055A">
        <w:t>0. listopadu 2025</w:t>
      </w:r>
      <w:r w:rsidR="00B5653D">
        <w:t xml:space="preserve">, </w:t>
      </w:r>
      <w:r w:rsidR="00E02F51">
        <w:t>nebo dnem zveřejnění v registru smluv, dle toho, která z těchto skutečností nastane později.</w:t>
      </w:r>
    </w:p>
    <w:p w14:paraId="1E4641FE" w14:textId="77777777" w:rsidR="00AC3D27" w:rsidRDefault="00AC3D27" w:rsidP="00E02F51">
      <w:pPr>
        <w:spacing w:after="0" w:line="240" w:lineRule="auto"/>
        <w:jc w:val="both"/>
      </w:pPr>
    </w:p>
    <w:p w14:paraId="2D9893EC" w14:textId="77777777" w:rsidR="00AC3D27" w:rsidRPr="00F57756" w:rsidRDefault="00AC3D27" w:rsidP="00AC3D27">
      <w:pPr>
        <w:spacing w:after="0" w:line="240" w:lineRule="auto"/>
      </w:pPr>
    </w:p>
    <w:p w14:paraId="516F8685" w14:textId="503657B5" w:rsidR="00AC3D27" w:rsidRPr="004F36C3" w:rsidRDefault="00AC3D27" w:rsidP="00AC3D27">
      <w:pPr>
        <w:spacing w:after="0" w:line="240" w:lineRule="auto"/>
        <w:rPr>
          <w:color w:val="000000" w:themeColor="text1"/>
        </w:rPr>
      </w:pPr>
      <w:r w:rsidRPr="00F57756">
        <w:t xml:space="preserve">V </w:t>
      </w:r>
      <w:proofErr w:type="gramStart"/>
      <w:r w:rsidR="00B678EB" w:rsidRPr="004F36C3">
        <w:rPr>
          <w:color w:val="000000" w:themeColor="text1"/>
        </w:rPr>
        <w:t>Praze</w:t>
      </w:r>
      <w:r w:rsidRPr="004F36C3">
        <w:rPr>
          <w:color w:val="000000" w:themeColor="text1"/>
        </w:rPr>
        <w:t xml:space="preserve">  dne</w:t>
      </w:r>
      <w:proofErr w:type="gramEnd"/>
      <w:r w:rsidRPr="004F36C3">
        <w:rPr>
          <w:color w:val="000000" w:themeColor="text1"/>
        </w:rPr>
        <w:t xml:space="preserve"> </w:t>
      </w:r>
      <w:r w:rsidR="00F57756" w:rsidRPr="004F36C3">
        <w:rPr>
          <w:color w:val="000000" w:themeColor="text1"/>
        </w:rPr>
        <w:t xml:space="preserve">24. 11. 2025 </w:t>
      </w:r>
      <w:r w:rsidR="00BC31DB" w:rsidRPr="004F36C3">
        <w:rPr>
          <w:color w:val="000000" w:themeColor="text1"/>
        </w:rPr>
        <w:t>(dle el.</w:t>
      </w:r>
      <w:r w:rsidR="001B1191" w:rsidRPr="004F36C3">
        <w:rPr>
          <w:color w:val="000000" w:themeColor="text1"/>
        </w:rPr>
        <w:t xml:space="preserve"> </w:t>
      </w:r>
      <w:r w:rsidR="00BC31DB" w:rsidRPr="004F36C3">
        <w:rPr>
          <w:color w:val="000000" w:themeColor="text1"/>
        </w:rPr>
        <w:t>podpisu)</w:t>
      </w:r>
      <w:r w:rsidRPr="004F36C3">
        <w:rPr>
          <w:color w:val="000000" w:themeColor="text1"/>
        </w:rPr>
        <w:tab/>
      </w:r>
      <w:r w:rsidRPr="004F36C3">
        <w:rPr>
          <w:color w:val="000000" w:themeColor="text1"/>
        </w:rPr>
        <w:tab/>
        <w:t>V Jihlavě dne</w:t>
      </w:r>
      <w:r w:rsidR="004F36C3" w:rsidRPr="004F36C3">
        <w:rPr>
          <w:color w:val="000000" w:themeColor="text1"/>
        </w:rPr>
        <w:t xml:space="preserve"> 25. 11. 2025 </w:t>
      </w:r>
      <w:r w:rsidR="00BC31DB" w:rsidRPr="004F36C3">
        <w:rPr>
          <w:color w:val="000000" w:themeColor="text1"/>
        </w:rPr>
        <w:t>(dle el.</w:t>
      </w:r>
      <w:r w:rsidR="001B1191" w:rsidRPr="004F36C3">
        <w:rPr>
          <w:color w:val="000000" w:themeColor="text1"/>
        </w:rPr>
        <w:t xml:space="preserve"> </w:t>
      </w:r>
      <w:r w:rsidR="00BC31DB" w:rsidRPr="004F36C3">
        <w:rPr>
          <w:color w:val="000000" w:themeColor="text1"/>
        </w:rPr>
        <w:t>podpisu)</w:t>
      </w:r>
      <w:r w:rsidRPr="004F36C3">
        <w:rPr>
          <w:color w:val="000000" w:themeColor="text1"/>
        </w:rPr>
        <w:tab/>
      </w:r>
    </w:p>
    <w:p w14:paraId="3E888897" w14:textId="77777777" w:rsidR="00AC3D27" w:rsidRDefault="00AC3D27" w:rsidP="00AC3D27">
      <w:pPr>
        <w:spacing w:after="0" w:line="240" w:lineRule="auto"/>
      </w:pPr>
    </w:p>
    <w:p w14:paraId="16ECCE64" w14:textId="77777777" w:rsidR="00AC3D27" w:rsidRDefault="00AC3D27" w:rsidP="00AC3D27">
      <w:pPr>
        <w:spacing w:after="0" w:line="240" w:lineRule="auto"/>
      </w:pPr>
    </w:p>
    <w:p w14:paraId="15B69B63" w14:textId="77777777" w:rsidR="00AC3D27" w:rsidRDefault="00AC3D27" w:rsidP="00AC3D27">
      <w:pPr>
        <w:spacing w:after="0" w:line="240" w:lineRule="auto"/>
      </w:pPr>
      <w:r>
        <w:tab/>
      </w:r>
      <w:r>
        <w:tab/>
      </w:r>
      <w:r>
        <w:tab/>
      </w:r>
    </w:p>
    <w:p w14:paraId="1973DC44" w14:textId="77777777" w:rsidR="00AC3D27" w:rsidRDefault="00AC3D27" w:rsidP="00AC3D27">
      <w:pPr>
        <w:spacing w:after="0" w:line="240" w:lineRule="auto"/>
      </w:pPr>
      <w:r>
        <w:t>Za objednatele:</w:t>
      </w:r>
      <w:r>
        <w:tab/>
      </w:r>
      <w:r>
        <w:tab/>
      </w:r>
      <w:r>
        <w:tab/>
      </w:r>
      <w:r>
        <w:tab/>
      </w:r>
      <w:r>
        <w:tab/>
      </w:r>
      <w:r>
        <w:tab/>
        <w:t>Za poskytovatele:</w:t>
      </w:r>
    </w:p>
    <w:p w14:paraId="0CD5D221" w14:textId="37CAD15B" w:rsidR="00AC3D27" w:rsidRDefault="00B678EB" w:rsidP="00AC3D27">
      <w:pPr>
        <w:spacing w:after="0" w:line="240" w:lineRule="auto"/>
      </w:pPr>
      <w:r>
        <w:t>Ing. Michal Pešek</w:t>
      </w:r>
      <w:r w:rsidR="00AC3D27">
        <w:t xml:space="preserve"> </w:t>
      </w:r>
      <w:r w:rsidR="00AC3D27">
        <w:tab/>
      </w:r>
      <w:r w:rsidR="00AC3D27">
        <w:tab/>
      </w:r>
      <w:r w:rsidR="00AC3D27">
        <w:tab/>
      </w:r>
      <w:r w:rsidR="00AC3D27">
        <w:tab/>
      </w:r>
      <w:r w:rsidR="00AC3D27">
        <w:tab/>
        <w:t>Ing. Erika Šteflová, MBA,</w:t>
      </w:r>
    </w:p>
    <w:p w14:paraId="01EB0306" w14:textId="41B7CF3A" w:rsidR="00AC3D27" w:rsidRDefault="00B678EB" w:rsidP="00AC3D27">
      <w:pPr>
        <w:spacing w:after="0" w:line="240" w:lineRule="auto"/>
      </w:pPr>
      <w:r>
        <w:t>ředitel</w:t>
      </w:r>
      <w:r w:rsidR="00AC3D27">
        <w:t xml:space="preserve"> </w:t>
      </w:r>
      <w:r w:rsidR="00AC3D27">
        <w:tab/>
      </w:r>
      <w:r w:rsidR="00AC3D27">
        <w:tab/>
      </w:r>
      <w:r w:rsidR="00AC3D27">
        <w:tab/>
      </w:r>
      <w:r w:rsidR="00AC3D27">
        <w:tab/>
      </w:r>
      <w:r w:rsidR="00AC3D27">
        <w:tab/>
      </w:r>
      <w:r w:rsidR="00AC3D27">
        <w:tab/>
      </w:r>
      <w:r>
        <w:tab/>
      </w:r>
      <w:r w:rsidR="00AC3D27">
        <w:t>ředitelka</w:t>
      </w:r>
    </w:p>
    <w:p w14:paraId="2D225B85" w14:textId="1178EC27" w:rsidR="00B678EB" w:rsidRDefault="00B678EB" w:rsidP="00AC3D27">
      <w:pPr>
        <w:spacing w:after="0" w:line="240" w:lineRule="auto"/>
      </w:pPr>
      <w:r>
        <w:t>Správa státních služeb vytvářejících důvěru,</w:t>
      </w:r>
      <w:r w:rsidR="00AC3D27">
        <w:tab/>
      </w:r>
      <w:r w:rsidR="00AC3D27">
        <w:tab/>
      </w:r>
      <w:r>
        <w:t xml:space="preserve">Vysočina </w:t>
      </w:r>
      <w:proofErr w:type="spellStart"/>
      <w:r>
        <w:t>Service</w:t>
      </w:r>
      <w:proofErr w:type="spellEnd"/>
      <w:r w:rsidR="00AC3D27">
        <w:t>, příspěvková</w:t>
      </w:r>
      <w:r>
        <w:t xml:space="preserve"> organizace</w:t>
      </w:r>
    </w:p>
    <w:p w14:paraId="0CF02EAF" w14:textId="77777777" w:rsidR="00B678EB" w:rsidRDefault="00B678EB" w:rsidP="00AC3D27">
      <w:pPr>
        <w:spacing w:after="0" w:line="240" w:lineRule="auto"/>
      </w:pPr>
      <w:r>
        <w:t>státní příspěvková organizace</w:t>
      </w:r>
      <w:r>
        <w:tab/>
      </w:r>
      <w:r>
        <w:tab/>
      </w:r>
      <w:r>
        <w:tab/>
      </w:r>
      <w:r>
        <w:tab/>
      </w:r>
    </w:p>
    <w:p w14:paraId="0C83548B" w14:textId="77777777" w:rsidR="00B678EB" w:rsidRDefault="00B678EB" w:rsidP="00AC3D27">
      <w:pPr>
        <w:spacing w:after="0" w:line="240" w:lineRule="auto"/>
      </w:pPr>
    </w:p>
    <w:p w14:paraId="66400D78" w14:textId="77777777" w:rsidR="00B678EB" w:rsidRDefault="00B678EB" w:rsidP="00AC3D27">
      <w:pPr>
        <w:spacing w:after="0" w:line="240" w:lineRule="auto"/>
      </w:pPr>
    </w:p>
    <w:p w14:paraId="161097DF" w14:textId="363ED82D" w:rsidR="0014798A" w:rsidRPr="0014798A" w:rsidRDefault="0014798A" w:rsidP="00B678EB">
      <w:pPr>
        <w:spacing w:after="0" w:line="240" w:lineRule="auto"/>
      </w:pPr>
    </w:p>
    <w:sectPr w:rsidR="0014798A" w:rsidRPr="0014798A" w:rsidSect="001D0AA3">
      <w:headerReference w:type="even" r:id="rId11"/>
      <w:headerReference w:type="default" r:id="rId12"/>
      <w:footerReference w:type="default" r:id="rId13"/>
      <w:headerReference w:type="first" r:id="rId14"/>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89BF" w14:textId="77777777" w:rsidR="00D0598E" w:rsidRDefault="00D0598E" w:rsidP="001044AD">
      <w:pPr>
        <w:spacing w:after="0" w:line="240" w:lineRule="auto"/>
      </w:pPr>
      <w:r>
        <w:separator/>
      </w:r>
    </w:p>
  </w:endnote>
  <w:endnote w:type="continuationSeparator" w:id="0">
    <w:p w14:paraId="28750AD0" w14:textId="77777777" w:rsidR="00D0598E" w:rsidRDefault="00D0598E" w:rsidP="0010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CA70" w14:textId="41109B35" w:rsidR="001044AD" w:rsidRDefault="004717F6" w:rsidP="001044AD">
    <w:pPr>
      <w:pStyle w:val="Zpat"/>
    </w:pPr>
    <w:r>
      <w:rPr>
        <w:noProof/>
        <w:lang w:eastAsia="cs-CZ"/>
      </w:rPr>
      <w:drawing>
        <wp:anchor distT="0" distB="0" distL="114300" distR="114300" simplePos="0" relativeHeight="251660288" behindDoc="1" locked="0" layoutInCell="1" allowOverlap="1" wp14:anchorId="5DFF4B1B" wp14:editId="0BA87466">
          <wp:simplePos x="0" y="0"/>
          <wp:positionH relativeFrom="margin">
            <wp:posOffset>1553845</wp:posOffset>
          </wp:positionH>
          <wp:positionV relativeFrom="margin">
            <wp:posOffset>5173345</wp:posOffset>
          </wp:positionV>
          <wp:extent cx="5562600" cy="2870200"/>
          <wp:effectExtent l="0" t="0" r="0" b="0"/>
          <wp:wrapNone/>
          <wp:docPr id="10205803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80315" name="Obrázek 1020580315"/>
                  <pic:cNvPicPr/>
                </pic:nvPicPr>
                <pic:blipFill>
                  <a:blip r:embed="rId1">
                    <a:extLst>
                      <a:ext uri="{28A0092B-C50C-407E-A947-70E740481C1C}">
                        <a14:useLocalDpi xmlns:a14="http://schemas.microsoft.com/office/drawing/2010/main" val="0"/>
                      </a:ext>
                    </a:extLst>
                  </a:blip>
                  <a:stretch>
                    <a:fillRect/>
                  </a:stretch>
                </pic:blipFill>
                <pic:spPr>
                  <a:xfrm>
                    <a:off x="0" y="0"/>
                    <a:ext cx="5562600" cy="2870200"/>
                  </a:xfrm>
                  <a:prstGeom prst="rect">
                    <a:avLst/>
                  </a:prstGeom>
                </pic:spPr>
              </pic:pic>
            </a:graphicData>
          </a:graphic>
        </wp:anchor>
      </w:drawing>
    </w:r>
    <w:r w:rsidR="001044AD" w:rsidRPr="001044AD">
      <w:rPr>
        <w:noProof/>
        <w:lang w:eastAsia="cs-CZ"/>
      </w:rPr>
      <w:drawing>
        <wp:inline distT="0" distB="0" distL="0" distR="0" wp14:anchorId="606EEFA0" wp14:editId="351F11DA">
          <wp:extent cx="6833295" cy="457200"/>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ázek 4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83329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B198" w14:textId="77777777" w:rsidR="00D0598E" w:rsidRDefault="00D0598E" w:rsidP="001044AD">
      <w:pPr>
        <w:spacing w:after="0" w:line="240" w:lineRule="auto"/>
      </w:pPr>
      <w:r>
        <w:separator/>
      </w:r>
    </w:p>
  </w:footnote>
  <w:footnote w:type="continuationSeparator" w:id="0">
    <w:p w14:paraId="10B1E89A" w14:textId="77777777" w:rsidR="00D0598E" w:rsidRDefault="00D0598E" w:rsidP="00104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70BE" w14:textId="77777777" w:rsidR="00A2789E" w:rsidRDefault="004F36C3">
    <w:pPr>
      <w:pStyle w:val="Zhlav"/>
    </w:pPr>
    <w:r>
      <w:rPr>
        <w:noProof/>
        <w:lang w:eastAsia="cs-CZ"/>
      </w:rPr>
      <w:pict w14:anchorId="29410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9" o:spid="_x0000_s1026" type="#_x0000_t75" alt="" style="position:absolute;margin-left:0;margin-top:0;width:524.2pt;height:429pt;z-index:-251657216;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FAE3" w14:textId="77777777" w:rsidR="001044AD" w:rsidRDefault="001044AD" w:rsidP="001D0AA3">
    <w:pPr>
      <w:pStyle w:val="Zhlav"/>
      <w:ind w:right="-284"/>
    </w:pPr>
    <w:r w:rsidRPr="001044AD">
      <w:rPr>
        <w:noProof/>
        <w:lang w:eastAsia="cs-CZ"/>
      </w:rPr>
      <w:drawing>
        <wp:inline distT="0" distB="0" distL="0" distR="0" wp14:anchorId="673933EE" wp14:editId="5C0AFF96">
          <wp:extent cx="1223132" cy="720000"/>
          <wp:effectExtent l="0" t="0" r="0" b="4445"/>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3132" cy="720000"/>
                  </a:xfrm>
                  <a:prstGeom prst="rect">
                    <a:avLst/>
                  </a:prstGeom>
                  <a:noFill/>
                  <a:ln>
                    <a:noFill/>
                  </a:ln>
                </pic:spPr>
              </pic:pic>
            </a:graphicData>
          </a:graphic>
        </wp:inline>
      </w:drawing>
    </w:r>
  </w:p>
  <w:p w14:paraId="15518599" w14:textId="77777777" w:rsidR="00D72444" w:rsidRDefault="00D72444" w:rsidP="001D0AA3">
    <w:pPr>
      <w:pStyle w:val="Zhlav"/>
      <w:ind w:righ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F7EC" w14:textId="77777777" w:rsidR="00A2789E" w:rsidRDefault="004F36C3">
    <w:pPr>
      <w:pStyle w:val="Zhlav"/>
    </w:pPr>
    <w:r>
      <w:rPr>
        <w:noProof/>
        <w:lang w:eastAsia="cs-CZ"/>
      </w:rPr>
      <w:pict w14:anchorId="254A8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8" o:spid="_x0000_s1025" type="#_x0000_t75" alt="" style="position:absolute;margin-left:0;margin-top:0;width:524.2pt;height:429pt;z-index:-25165824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6134"/>
    <w:multiLevelType w:val="hybridMultilevel"/>
    <w:tmpl w:val="E1E803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6180F311"/>
    <w:multiLevelType w:val="hybridMultilevel"/>
    <w:tmpl w:val="0DDB2C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04128302">
    <w:abstractNumId w:val="1"/>
  </w:num>
  <w:num w:numId="2" w16cid:durableId="125019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69"/>
    <w:rsid w:val="000A777E"/>
    <w:rsid w:val="000C4D01"/>
    <w:rsid w:val="000F25E8"/>
    <w:rsid w:val="001044AD"/>
    <w:rsid w:val="0014798A"/>
    <w:rsid w:val="001679F1"/>
    <w:rsid w:val="00176811"/>
    <w:rsid w:val="00197851"/>
    <w:rsid w:val="001B1191"/>
    <w:rsid w:val="001C2E0E"/>
    <w:rsid w:val="001D0AA3"/>
    <w:rsid w:val="001E7077"/>
    <w:rsid w:val="0022136A"/>
    <w:rsid w:val="00224FC6"/>
    <w:rsid w:val="002474E9"/>
    <w:rsid w:val="002708F4"/>
    <w:rsid w:val="002E29CD"/>
    <w:rsid w:val="002F077D"/>
    <w:rsid w:val="002F5CC7"/>
    <w:rsid w:val="00346EEB"/>
    <w:rsid w:val="003534C6"/>
    <w:rsid w:val="003575D5"/>
    <w:rsid w:val="003708DF"/>
    <w:rsid w:val="003726B8"/>
    <w:rsid w:val="00423B7D"/>
    <w:rsid w:val="00453F06"/>
    <w:rsid w:val="00460C00"/>
    <w:rsid w:val="004717F6"/>
    <w:rsid w:val="004B1FFB"/>
    <w:rsid w:val="004F36C3"/>
    <w:rsid w:val="00554214"/>
    <w:rsid w:val="00601C35"/>
    <w:rsid w:val="00634541"/>
    <w:rsid w:val="006370CD"/>
    <w:rsid w:val="006448F5"/>
    <w:rsid w:val="006855A8"/>
    <w:rsid w:val="006A4B07"/>
    <w:rsid w:val="006E768D"/>
    <w:rsid w:val="006F1756"/>
    <w:rsid w:val="00717115"/>
    <w:rsid w:val="007472A0"/>
    <w:rsid w:val="007628DA"/>
    <w:rsid w:val="00762BC8"/>
    <w:rsid w:val="007C18F1"/>
    <w:rsid w:val="007D6952"/>
    <w:rsid w:val="007F3966"/>
    <w:rsid w:val="008E58C6"/>
    <w:rsid w:val="00916969"/>
    <w:rsid w:val="00926969"/>
    <w:rsid w:val="00985CD2"/>
    <w:rsid w:val="009E07C6"/>
    <w:rsid w:val="00A2789E"/>
    <w:rsid w:val="00A97D10"/>
    <w:rsid w:val="00AA07DE"/>
    <w:rsid w:val="00AC3D27"/>
    <w:rsid w:val="00B5653D"/>
    <w:rsid w:val="00B678EB"/>
    <w:rsid w:val="00B67BA2"/>
    <w:rsid w:val="00BC055A"/>
    <w:rsid w:val="00BC31DB"/>
    <w:rsid w:val="00BE7CCC"/>
    <w:rsid w:val="00C07BD7"/>
    <w:rsid w:val="00CA7F3D"/>
    <w:rsid w:val="00CB7BDE"/>
    <w:rsid w:val="00CD051D"/>
    <w:rsid w:val="00CE0E45"/>
    <w:rsid w:val="00D0598E"/>
    <w:rsid w:val="00D72444"/>
    <w:rsid w:val="00E02F51"/>
    <w:rsid w:val="00E3281A"/>
    <w:rsid w:val="00E6365D"/>
    <w:rsid w:val="00EC7C11"/>
    <w:rsid w:val="00F322BF"/>
    <w:rsid w:val="00F57756"/>
    <w:rsid w:val="00FD3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0C287"/>
  <w15:chartTrackingRefBased/>
  <w15:docId w15:val="{F4965AEC-A071-4341-9483-9BE06720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77E"/>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044AD"/>
  </w:style>
  <w:style w:type="paragraph" w:styleId="Zpat">
    <w:name w:val="footer"/>
    <w:basedOn w:val="Normln"/>
    <w:link w:val="Zpat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044AD"/>
  </w:style>
  <w:style w:type="character" w:styleId="Hypertextovodkaz">
    <w:name w:val="Hyperlink"/>
    <w:basedOn w:val="Standardnpsmoodstavce"/>
    <w:uiPriority w:val="99"/>
    <w:unhideWhenUsed/>
    <w:rsid w:val="000A777E"/>
    <w:rPr>
      <w:color w:val="0563C1" w:themeColor="hyperlink"/>
      <w:u w:val="single"/>
    </w:rPr>
  </w:style>
  <w:style w:type="paragraph" w:styleId="Odstavecseseznamem">
    <w:name w:val="List Paragraph"/>
    <w:basedOn w:val="Normln"/>
    <w:uiPriority w:val="34"/>
    <w:qFormat/>
    <w:rsid w:val="000A777E"/>
    <w:pPr>
      <w:spacing w:after="0" w:line="240" w:lineRule="auto"/>
      <w:ind w:left="708"/>
    </w:pPr>
    <w:rPr>
      <w:rFonts w:ascii="Times New Roman" w:eastAsia="Times New Roman" w:hAnsi="Times New Roman" w:cs="Arial"/>
      <w:sz w:val="24"/>
      <w:szCs w:val="20"/>
      <w:lang w:eastAsia="cs-CZ"/>
    </w:rPr>
  </w:style>
  <w:style w:type="paragraph" w:customStyle="1" w:styleId="Default">
    <w:name w:val="Default"/>
    <w:rsid w:val="00C07BD7"/>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BE7CC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50485273AB8294BA6DA2AD462140E99" ma:contentTypeVersion="4" ma:contentTypeDescription="Vytvoří nový dokument" ma:contentTypeScope="" ma:versionID="8644587abc0fe1335495b2530ba6dd9b">
  <xsd:schema xmlns:xsd="http://www.w3.org/2001/XMLSchema" xmlns:xs="http://www.w3.org/2001/XMLSchema" xmlns:p="http://schemas.microsoft.com/office/2006/metadata/properties" xmlns:ns2="1963af27-e13b-4a07-945d-416291e97f22" targetNamespace="http://schemas.microsoft.com/office/2006/metadata/properties" ma:root="true" ma:fieldsID="726a7fccec1859ba699f8d90299f37ce" ns2:_="">
    <xsd:import namespace="1963af27-e13b-4a07-945d-416291e97f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3af27-e13b-4a07-945d-416291e97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582D8-4FBC-41AF-A66B-FCAD55C75E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330C4F-A726-4F3B-843D-B4A7BB232D87}">
  <ds:schemaRefs>
    <ds:schemaRef ds:uri="http://schemas.microsoft.com/sharepoint/v3/contenttype/forms"/>
  </ds:schemaRefs>
</ds:datastoreItem>
</file>

<file path=customXml/itemProps3.xml><?xml version="1.0" encoding="utf-8"?>
<ds:datastoreItem xmlns:ds="http://schemas.openxmlformats.org/officeDocument/2006/customXml" ds:itemID="{68B0056B-5A10-4B11-9CF5-7D63AC7A093B}">
  <ds:schemaRefs>
    <ds:schemaRef ds:uri="http://schemas.openxmlformats.org/officeDocument/2006/bibliography"/>
  </ds:schemaRefs>
</ds:datastoreItem>
</file>

<file path=customXml/itemProps4.xml><?xml version="1.0" encoding="utf-8"?>
<ds:datastoreItem xmlns:ds="http://schemas.openxmlformats.org/officeDocument/2006/customXml" ds:itemID="{6C6C662F-C83A-4FCD-B306-0A07DB800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3af27-e13b-4a07-945d-416291e97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675</Words>
  <Characters>3989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dc:creator>
  <cp:keywords/>
  <dc:description/>
  <cp:lastModifiedBy>Lédlová Lenka</cp:lastModifiedBy>
  <cp:revision>5</cp:revision>
  <cp:lastPrinted>2025-11-12T08:36:00Z</cp:lastPrinted>
  <dcterms:created xsi:type="dcterms:W3CDTF">2025-11-20T12:20:00Z</dcterms:created>
  <dcterms:modified xsi:type="dcterms:W3CDTF">2025-11-25T09:28:00Z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0x010100150485273AB8294BA6DA2AD462140E99</vt:lpwstr>
  </property>
</Properties>
</file>