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1"/>
          <w:b/>
          <w:bCs/>
        </w:rPr>
        <w:t>KUPNÍ SMLOUVA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rStyle w:val="CharStyle3"/>
        </w:rPr>
        <w:t>uzavřená v souladu s ustanovením § 2079 a násl. zákona č. 89/2012 Sb., občanský zákoník,</w:t>
        <w:br/>
        <w:t>mezi níže uvedenými smluvními stranami</w:t>
      </w:r>
    </w:p>
    <w:tbl>
      <w:tblPr>
        <w:tblOverlap w:val="never"/>
        <w:jc w:val="center"/>
        <w:tblLayout w:type="fixed"/>
      </w:tblPr>
      <w:tblGrid>
        <w:gridCol w:w="2654"/>
        <w:gridCol w:w="6182"/>
      </w:tblGrid>
      <w:tr>
        <w:trPr>
          <w:trHeight w:val="4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220" w:right="0" w:firstLine="2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Zdravotnická záchranná služba Jihomoravského kraje, příspěvková organizace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</w:rPr>
              <w:t>Kamenice 798/1 d, 625 00 Brno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9"/>
              </w:rPr>
              <w:t>MUDr. Hana Albrechtová, ředitelka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Kontaktní osoba: IČO.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</w:pPr>
            <w:r>
              <w:rPr>
                <w:rStyle w:val="CharStyle19"/>
                <w:spacing w:val="7"/>
                <w:shd w:val="clear" w:color="auto" w:fill="000000"/>
              </w:rPr>
              <w:t>......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3"/>
                <w:shd w:val="clear" w:color="auto" w:fill="000000"/>
              </w:rPr>
              <w:t>......</w:t>
            </w:r>
            <w:r>
              <w:rPr>
                <w:rStyle w:val="CharStyle19"/>
                <w:spacing w:val="4"/>
                <w:shd w:val="clear" w:color="auto" w:fill="000000"/>
              </w:rPr>
              <w:t>......</w:t>
            </w:r>
            <w:r>
              <w:rPr>
                <w:rStyle w:val="CharStyle19"/>
                <w:shd w:val="clear" w:color="auto" w:fill="000000"/>
              </w:rPr>
              <w:t>​...</w:t>
            </w:r>
            <w:r>
              <w:rPr>
                <w:rStyle w:val="CharStyle19"/>
                <w:spacing w:val="1"/>
                <w:shd w:val="clear" w:color="auto" w:fill="000000"/>
              </w:rPr>
              <w:t>.........</w:t>
            </w:r>
            <w:r>
              <w:rPr>
                <w:rStyle w:val="CharStyle19"/>
                <w:u w:val="single"/>
                <w:shd w:val="clear" w:color="auto" w:fill="000000"/>
                <w:lang w:val="en-US" w:eastAsia="en-US" w:bidi="en-US"/>
              </w:rPr>
              <w:t>​.</w:t>
            </w:r>
            <w:r>
              <w:rPr>
                <w:rStyle w:val="CharStyle19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</w:t>
            </w:r>
            <w:r>
              <w:rPr>
                <w:rStyle w:val="CharStyle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14"/>
                <w:shd w:val="clear" w:color="auto" w:fill="000000"/>
              </w:rPr>
              <w:t>...</w:t>
            </w:r>
            <w:r>
              <w:rPr>
                <w:rStyle w:val="CharStyle19"/>
                <w:shd w:val="clear" w:color="auto" w:fill="000000"/>
              </w:rPr>
              <w:t>..​.......​.......​......</w:t>
            </w:r>
            <w:r>
              <w:rPr>
                <w:rStyle w:val="CharStyle19"/>
              </w:rPr>
              <w:t xml:space="preserve"> 00346292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9"/>
              </w:rPr>
              <w:t>CZ00346292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9"/>
              </w:rPr>
              <w:t>Krajský soud v Brně sp. zn. Pr 1245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9"/>
              </w:rPr>
              <w:t>MONETA Money Bank, a.s., č. ú. 117203514/0600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(dále jen „kupující“)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4"/>
        <w:gridCol w:w="6178"/>
      </w:tblGrid>
      <w:tr>
        <w:trPr>
          <w:trHeight w:val="7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9"/>
                <w:i/>
                <w:iCs/>
                <w:sz w:val="14"/>
                <w:szCs w:val="14"/>
              </w:rPr>
              <w:t>a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Jméno: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Bartolini s. r. o.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Poděbradova 285/109, 612 00 Brno - Ponava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Petr Bartošek, jednatel společnosti</w:t>
            </w:r>
          </w:p>
        </w:tc>
      </w:tr>
      <w:tr>
        <w:trPr>
          <w:trHeight w:val="8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Kontaktní osoba: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IČO: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DIČ: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Zápis v OR: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shd w:val="clear" w:color="auto" w:fill="000000"/>
              </w:rPr>
              <w:t>.......​</w:t>
            </w:r>
            <w:r>
              <w:rPr>
                <w:rStyle w:val="CharStyle19"/>
                <w:spacing w:val="5"/>
                <w:shd w:val="clear" w:color="auto" w:fill="000000"/>
              </w:rPr>
              <w:t>......</w:t>
            </w:r>
            <w:r>
              <w:rPr>
                <w:rStyle w:val="CharStyle19"/>
                <w:spacing w:val="6"/>
                <w:shd w:val="clear" w:color="auto" w:fill="000000"/>
              </w:rPr>
              <w:t>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4"/>
                <w:shd w:val="clear" w:color="auto" w:fill="000000"/>
              </w:rPr>
              <w:t>....</w:t>
            </w:r>
            <w:r>
              <w:rPr>
                <w:rStyle w:val="CharStyle19"/>
                <w:spacing w:val="5"/>
                <w:shd w:val="clear" w:color="auto" w:fill="000000"/>
              </w:rPr>
              <w:t>.....</w:t>
            </w:r>
            <w:r>
              <w:rPr>
                <w:rStyle w:val="CharStyle19"/>
              </w:rPr>
              <w:t xml:space="preserve"> 28267672 CZ28267672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KS Brno, odd. C, vl. 57360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9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219880196/0300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7"/>
        </w:rPr>
        <w:t>(dále jen „prodávající“</w:t>
      </w:r>
    </w:p>
    <w:p>
      <w:pPr>
        <w:widowControl w:val="0"/>
        <w:spacing w:after="117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se zbožím v podobě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120 ks tašek pro mimořádné události. </w:t>
      </w:r>
      <w:r>
        <w:rPr>
          <w:rStyle w:val="CharStyle3"/>
        </w:rPr>
        <w:t>Podrobná specifikace zboží je uvedena v příloze č. 1, která je nedílnou součástí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Prodávající se zavazuje dodat zboží s veškerými písemnými doklady, které jsou potřebné k používání tohoto zboží podle čl. 1 této smlouvy kupujícímu, a kupující kupuje toto zboží do vlastnictví Jihomoravského kraje, jako svého zřizovatele, za kupní cenu podle čl. 6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se zavazuje splnit svůj závazek k dodání zboží podle čl. 1 ve lhůtě nejpozději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do 19.12. 2025, </w:t>
      </w:r>
      <w:r>
        <w:rPr>
          <w:rStyle w:val="CharStyle3"/>
        </w:rPr>
        <w:t>a to v místě splnění tohoto závazku, kterým je sídlo kupujícího dle záhlaví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57" w:lineRule="auto"/>
        <w:ind w:left="400" w:right="0" w:hanging="400"/>
        <w:jc w:val="both"/>
      </w:pPr>
      <w:r>
        <w:rPr>
          <w:rStyle w:val="CharStyle3"/>
        </w:rPr>
        <w:t>Závazek prodávajícího k dodání zboží podle čl. 1 této smlouvy se pak považuje za splněný po faktickém předání a převzetí tohoto zboží, prostého všech vad, na základě písemného předávacího protokolu nebo jiného obvyklého dokladu..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Nebezpečí škody na převáděném zboží přechází z prodávajícího na kupujícího dnem faktického převzetí tohoto zboží, vlastnické právo ke zboží podle čl. 1 této smlouvy přechází dnem splnění závazku prodávajícího k dodání zboží podle čl. 1 této smlouvy způsobem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 xml:space="preserve">Kupující se zavazuje zaplatit prodávajícímu za předmět koupě a prodeje podle čl. 1 této smlouvy kupní cenu ve výši: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138 842,98 Kč bez DPH, </w:t>
      </w:r>
      <w:r>
        <w:rPr>
          <w:rStyle w:val="CharStyle3"/>
        </w:rPr>
        <w:t xml:space="preserve">tzn.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168 000,00 Kč včetně DPH. </w:t>
      </w:r>
      <w:r>
        <w:rPr>
          <w:rStyle w:val="CharStyle3"/>
        </w:rPr>
        <w:t>Součástí této ceny jsou veškeré náklady prodávajícího na splnění jeho závazku k dodání zboží podle této smlouvy.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Kupní cena podle čl. 6 této smlouvy je splatná na účet prodávajícího po úplném splnění závazku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380" w:right="0" w:firstLine="20"/>
        <w:jc w:val="both"/>
      </w:pPr>
      <w:r>
        <w:rPr>
          <w:rStyle w:val="CharStyle3"/>
        </w:rPr>
        <w:t xml:space="preserve">prodávajícího k dodání zboží podle čl. 1 této smlouvy způsobem podle čl. 4 této smlouvy, a to ve lhůtě do 10 dnů ode dne doručení jejího písemného vyúčtování (daňového dokladu/faktury). Faktura bude doručena elektronicky na e-mail: 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.............................</w:t>
      </w:r>
      <w:r>
        <w:rPr>
          <w:rStyle w:val="CharStyle3"/>
          <w:color w:val="7E9DD9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číslo veřejné </w:t>
      </w:r>
      <w:r>
        <w:rPr>
          <w:rStyle w:val="CharStyle3"/>
        </w:rPr>
        <w:t xml:space="preserve">zakázky,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ke které se faktura </w:t>
      </w:r>
      <w:r>
        <w:rPr>
          <w:rStyle w:val="CharStyle3"/>
        </w:rPr>
        <w:t xml:space="preserve">vztahuje: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P25V00004034. </w:t>
      </w:r>
      <w:r>
        <w:rPr>
          <w:rStyle w:val="CharStyle3"/>
        </w:rPr>
        <w:t>Součástí faktury bude rovněž kopie podepsaného předávacího protokolu nebo jiného obvyklého dokladu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62" w:lineRule="auto"/>
        <w:ind w:left="380" w:right="0" w:hanging="380"/>
        <w:jc w:val="both"/>
      </w:pPr>
      <w:r>
        <w:rPr>
          <w:rStyle w:val="CharStyle3"/>
        </w:rPr>
        <w:t>S převodem zboží podle čl. 1 této smlouvy je spojena záruka za jeho jakost v trvání 24 měsíců, počítáno ode dne úplného splnění závazku prodávajícího k dodání tohoto zboží. V rámci záruky se prodávající zavazuje, že zboží podle čl. 1 této smlouvy bude mít po dobu uvedené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30 dnů od doručení příslušné písemné nebo e-mailové reklamace kupujícího.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59" w:lineRule="auto"/>
        <w:ind w:left="380" w:right="0" w:hanging="380"/>
        <w:jc w:val="both"/>
      </w:pPr>
      <w:r>
        <w:rPr>
          <w:rStyle w:val="CharStyle3"/>
        </w:rPr>
        <w:t>Pro případ prodlení se splněním závazku prodávajícího k dodání zboží ve lhůtě podle čl. 3 této smlouvy se prodávající zavazuje platit kupujícímu smluvní pokutu ve výši 0,1 % z kupní ceny podle čl. 6 této smlouvy za každý započatý den tohoto prodlení. Pro případ prodlení s odstraněním vady ve lhůtě podle čl. 8 této smlouvy se prodávající zavazuje platit kupujícímu smluvní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prodlení prodávajícího se splněním jeho závazku k dodání zboží ve lhůtě podle čl. 3 této smlouvy o více, než 2 týdny nebo pro případ výskytu neodstranitelné vady, resp. výskytu 3 a více vad na jednom kusu zboží, a to i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57" w:lineRule="auto"/>
        <w:ind w:left="380" w:right="0" w:hanging="380"/>
        <w:jc w:val="both"/>
      </w:pPr>
      <w:r>
        <w:rPr>
          <w:rStyle w:val="CharStyle3"/>
        </w:rPr>
        <w:t>Pro případ prodlení kupujícího se zaplacením kupní ceny ve lhůtě podle čl. 7 této smlouvy se kupující zavazuje zaplatit prodávajícímu smluvní pokutu ve výši 0,1 % z dlužné částky. Pro případ tohoto prodlení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57" w:lineRule="auto"/>
        <w:ind w:left="380" w:right="0" w:hanging="38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ustanovení § 2079 a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52" w:lineRule="auto"/>
        <w:ind w:left="380" w:right="0" w:hanging="380"/>
        <w:jc w:val="both"/>
      </w:pPr>
      <w:r>
        <w:rPr>
          <w:rStyle w:val="CharStyle3"/>
        </w:rPr>
        <w:t>Předpokladem uzavření této smlouvy je její písemná forma a dohoda o jejích podstatných náležitostech, čímž se rozumí celý obsah této smlouvy, jak je uveden v čl. 1 až 20 této smlouvy. Kupující přitom předem vylučuje přijetí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33" w:lineRule="auto"/>
        <w:ind w:left="0" w:right="0" w:firstLine="0"/>
        <w:jc w:val="both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197" w:right="1534" w:bottom="1627" w:left="1433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59" w:lineRule="auto"/>
        <w:ind w:left="460" w:right="0" w:hanging="460"/>
        <w:jc w:val="both"/>
      </w:pPr>
      <w:r>
        <w:rPr>
          <w:rStyle w:val="CharStyle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33" w:lineRule="auto"/>
        <w:ind w:left="0" w:right="0" w:firstLine="0"/>
        <w:jc w:val="both"/>
      </w:pPr>
      <w:r>
        <w:rPr>
          <w:rStyle w:val="CharStyle3"/>
        </w:rPr>
        <w:t>Tato smlouva nabývá účinnosti dnem jejího uveřejnění v registru smluv dle čl. 16.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60" w:right="0" w:hanging="46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52" w:lineRule="auto"/>
        <w:ind w:left="460" w:right="0" w:hanging="460"/>
        <w:jc w:val="both"/>
      </w:pPr>
      <w:r>
        <w:rPr>
          <w:rStyle w:val="CharStyle3"/>
        </w:rPr>
        <w:t>Tato smlouva se vyhotovuje ve dvou stejnopisech splatností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Nedílnou součástí této smlouvy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64" w:lineRule="auto"/>
        <w:ind w:left="0" w:right="0" w:firstLine="460"/>
        <w:jc w:val="both"/>
      </w:pPr>
      <w:r>
        <w:rPr>
          <w:rStyle w:val="CharStyle3"/>
        </w:rPr>
        <w:t>Příloha č. 1 Technická specifikace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12700</wp:posOffset>
                </wp:positionV>
                <wp:extent cx="648970" cy="14922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897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4.049999999999997pt;margin-top:1.pt;width:51.100000000000001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V Brně dne 20. 11. 2025</w:t>
      </w:r>
    </w:p>
    <w:p>
      <w:pPr>
        <w:widowControl w:val="0"/>
        <w:spacing w:line="1" w:lineRule="exac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197" w:right="1534" w:bottom="1627" w:left="1433" w:header="769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26060" distB="3175" distL="0" distR="0" simplePos="0" relativeHeight="125829380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226060</wp:posOffset>
                </wp:positionV>
                <wp:extent cx="1143000" cy="5422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0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rStyle w:val="CharStyle5"/>
                              </w:rPr>
                              <w:t>MUDr. Hana</w:t>
                              <w:br/>
                              <w:t>Albrechtová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1.650000000000006pt;margin-top:17.800000000000001pt;width:90.pt;height:42.700000000000003pt;z-index:-125829373;mso-wrap-distance-left:0;mso-wrap-distance-top:17.800000000000001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5"/>
                        </w:rPr>
                        <w:t>MUDr. Hana</w:t>
                        <w:br/>
                        <w:t>Albrechtová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4475" distB="0" distL="0" distR="0" simplePos="0" relativeHeight="125829382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244475</wp:posOffset>
                </wp:positionV>
                <wp:extent cx="1103630" cy="5270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527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Digitálně podepsal MUDr. Hana Albrechtová Datum: 2025.11.24 14:59:53+01'00'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63.09999999999999pt;margin-top:19.25pt;width:86.900000000000006pt;height:41.5pt;z-index:-125829371;mso-wrap-distance-left:0;mso-wrap-distance-top:19.25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Digitálně podepsal MUDr. Hana Albrechtová Datum: 2025.11.24 14:59:53+01'00'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" distB="164465" distL="0" distR="0" simplePos="0" relativeHeight="125829384" behindDoc="0" locked="0" layoutInCell="1" allowOverlap="1">
                <wp:simplePos x="0" y="0"/>
                <wp:positionH relativeFrom="page">
                  <wp:posOffset>4241165</wp:posOffset>
                </wp:positionH>
                <wp:positionV relativeFrom="paragraph">
                  <wp:posOffset>88900</wp:posOffset>
                </wp:positionV>
                <wp:extent cx="780415" cy="51816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Petr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Bartošek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33.94999999999999pt;margin-top:7.pt;width:61.450000000000003pt;height:40.800000000000004pt;z-index:-125829369;mso-wrap-distance-left:0;mso-wrap-distance-top:7.pt;mso-wrap-distance-right:0;mso-wrap-distance-bottom:12.9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Petr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Bartošek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6205" distB="158750" distL="0" distR="0" simplePos="0" relativeHeight="125829386" behindDoc="0" locked="0" layoutInCell="1" allowOverlap="1">
                <wp:simplePos x="0" y="0"/>
                <wp:positionH relativeFrom="page">
                  <wp:posOffset>5061585</wp:posOffset>
                </wp:positionH>
                <wp:positionV relativeFrom="paragraph">
                  <wp:posOffset>116205</wp:posOffset>
                </wp:positionV>
                <wp:extent cx="816610" cy="49657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496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Digitálně podepsal Petr Bartošek Datum: 2025.11.20 19:51:50+01'00’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98.55000000000001pt;margin-top:9.1500000000000004pt;width:64.299999999999997pt;height:39.100000000000001pt;z-index:-125829367;mso-wrap-distance-left:0;mso-wrap-distance-top:9.1500000000000004pt;mso-wrap-distance-right:0;mso-wrap-distance-bottom:12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Digitálně podepsal Petr Bartošek Datum: 2025.11.20 19:51:50+01'00’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66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21" w:right="0" w:bottom="166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12700</wp:posOffset>
                </wp:positionV>
                <wp:extent cx="1124585" cy="441960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4585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Petr Bartošek jednatel společnosti</w:t>
                            </w:r>
                          </w:p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9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32.30000000000001pt;margin-top:1.pt;width:88.549999999999997pt;height:34.800000000000004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Petr Bartošek jednatel společnosti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9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</w:rPr>
        <w:t xml:space="preserve">MUDr. Hana Albrechtová ředitelka </w:t>
      </w:r>
      <w:r>
        <w:rPr>
          <w:rStyle w:val="CharStyle3"/>
          <w:rFonts w:ascii="Calibri" w:eastAsia="Calibri" w:hAnsi="Calibri" w:cs="Calibri"/>
          <w:sz w:val="20"/>
          <w:szCs w:val="20"/>
        </w:rPr>
        <w:t>kupující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9"/>
          <w:b/>
          <w:bCs/>
          <w:sz w:val="20"/>
          <w:szCs w:val="20"/>
        </w:rPr>
        <w:t>Příloha č. 1 Technická specifikace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260" w:line="230" w:lineRule="auto"/>
        <w:ind w:left="0" w:right="0" w:firstLine="0"/>
        <w:jc w:val="left"/>
      </w:pPr>
      <w:r>
        <w:rPr>
          <w:rStyle w:val="CharStyle39"/>
          <w:b/>
          <w:bCs/>
          <w:u w:val="single"/>
        </w:rPr>
        <w:t>Taška MU ZZS Jihomoravského kraje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320" w:line="254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9"/>
          <w:sz w:val="20"/>
          <w:szCs w:val="20"/>
        </w:rPr>
        <w:t>Taška je určená k přepravě a uložení zdravotnických prostředků pro mimořádné události ZZS. Taška disponuje hlavním úložným prostorem, včetně vnitřních kapes, vnějších kapes a kapsičky pro uložení jmenovky. Taška je označena reflexním nápisem MU.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80" w:line="230" w:lineRule="auto"/>
        <w:ind w:left="0" w:right="0" w:firstLine="0"/>
        <w:jc w:val="left"/>
      </w:pPr>
      <w:r>
        <w:rPr>
          <w:rStyle w:val="CharStyle39"/>
          <w:b/>
          <w:bCs/>
        </w:rPr>
        <w:t xml:space="preserve">Rozměry: </w:t>
      </w:r>
      <w:r>
        <w:rPr>
          <w:rStyle w:val="CharStyle39"/>
        </w:rPr>
        <w:t>(tolerance rozměrů + 1 cm)</w:t>
      </w:r>
    </w:p>
    <w:p>
      <w:pPr>
        <w:pStyle w:val="Style3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30" w:lineRule="auto"/>
        <w:ind w:left="0" w:right="0" w:firstLine="0"/>
        <w:jc w:val="left"/>
      </w:pPr>
      <w:r>
        <w:rPr>
          <w:rStyle w:val="CharStyle39"/>
        </w:rPr>
        <w:t>délka dna i horní plochy tašky 36 cm</w:t>
      </w:r>
    </w:p>
    <w:p>
      <w:pPr>
        <w:pStyle w:val="Style3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30" w:lineRule="auto"/>
        <w:ind w:left="0" w:right="0" w:firstLine="0"/>
        <w:jc w:val="left"/>
      </w:pPr>
      <w:r>
        <w:rPr>
          <w:rStyle w:val="CharStyle39"/>
        </w:rPr>
        <w:t>výška tašky 11,5 cm</w:t>
      </w:r>
    </w:p>
    <w:p>
      <w:pPr>
        <w:pStyle w:val="Style3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440" w:line="230" w:lineRule="auto"/>
        <w:ind w:left="0" w:right="0" w:firstLine="0"/>
        <w:jc w:val="left"/>
      </w:pPr>
      <w:r>
        <w:rPr>
          <w:rStyle w:val="CharStyle39"/>
        </w:rPr>
        <w:t>šířka tašky 26 cm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9"/>
          <w:b/>
          <w:bCs/>
        </w:rPr>
        <w:t xml:space="preserve">Barva: </w:t>
      </w:r>
      <w:r>
        <w:rPr>
          <w:rStyle w:val="CharStyle39"/>
        </w:rPr>
        <w:t>černá, reflexním nápis MU na přední straně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9"/>
          <w:b/>
          <w:bCs/>
        </w:rPr>
        <w:t>Materiálové složení: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9"/>
        </w:rPr>
        <w:t>ZÁKLADNÍ MATERIÁL TAŠKY -100% polyester s hydrofobní úpravou Barva: černá</w:t>
      </w:r>
    </w:p>
    <w:tbl>
      <w:tblPr>
        <w:tblOverlap w:val="never"/>
        <w:jc w:val="center"/>
        <w:tblLayout w:type="fixed"/>
      </w:tblPr>
      <w:tblGrid>
        <w:gridCol w:w="2352"/>
        <w:gridCol w:w="2342"/>
        <w:gridCol w:w="2342"/>
        <w:gridCol w:w="2366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9"/>
                <w:sz w:val="12"/>
                <w:szCs w:val="12"/>
              </w:rPr>
              <w:t xml:space="preserve">Ýíry . 51 w . «W 41. </w:t>
            </w:r>
            <w:r>
              <w:rPr>
                <w:rStyle w:val="CharStyle19"/>
                <w:i/>
                <w:iCs/>
                <w:sz w:val="14"/>
                <w:szCs w:val="14"/>
              </w:rPr>
              <w:t>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19"/>
                <w:sz w:val="22"/>
                <w:szCs w:val="22"/>
              </w:rPr>
              <w:t xml:space="preserve">^šKusĚBNi </w:t>
            </w:r>
            <w:r>
              <w:rPr>
                <w:rStyle w:val="CharStyle19"/>
                <w:smallCaps/>
                <w:sz w:val="26"/>
                <w:szCs w:val="26"/>
              </w:rPr>
              <w:t>Metoda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Plošná hmotnost </w:t>
            </w: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celková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415+5%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12127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>Pevnost v tahu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předpětí -5 N podél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předpětí -5 N napříč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N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1440+2%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1245+2%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1421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1421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Odolnost v oděru metodou Martindale </w:t>
            </w: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(přítlak-12kPa)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počet otáček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nedošlo k přerušení nití 50 000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12947-2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>Odolnost proti pronikání vody výška vodního sloupce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2450 + 2%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811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>Odolnost proti povrchovému smáčení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stupeň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4920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>Pevnost ve švu(šev jednoduchý/prošitý/zip)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550/600/535 + 2%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12935-2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Stálobarevnost </w:t>
            </w: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- v otěru za sucha - v otěru za mokra -vpotu alkalickém - v potu kyselém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stupěň šedé stupnice šedé stupnice šedé stupnice šedé stupnice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4-5 4-5 5/4-5 5/4-5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105-X12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105-X12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105-E04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105-E04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>pH vodného výluhu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bezrozměrné 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7 + 2%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3071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>Obsah formaldehydu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mg/kgl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nedetekovatelný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14184-1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>Obsah primárních aromatických aminů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mg/ll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&lt;0,05+ 20%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62 1156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left"/>
      </w:pPr>
      <w:r>
        <w:rPr>
          <w:rStyle w:val="CharStyle39"/>
        </w:rPr>
        <w:t>POPRUH -100% polyester Barva: černá</w:t>
      </w:r>
    </w:p>
    <w:tbl>
      <w:tblPr>
        <w:tblOverlap w:val="never"/>
        <w:jc w:val="center"/>
        <w:tblLayout w:type="fixed"/>
      </w:tblPr>
      <w:tblGrid>
        <w:gridCol w:w="2352"/>
        <w:gridCol w:w="2342"/>
        <w:gridCol w:w="2338"/>
        <w:gridCol w:w="2362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rFonts w:ascii="Calibri" w:eastAsia="Calibri" w:hAnsi="Calibri" w:cs="Calibri"/>
                <w:sz w:val="22"/>
                <w:szCs w:val="22"/>
              </w:rPr>
              <w:t>UKAZATEL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rFonts w:ascii="Calibri" w:eastAsia="Calibri" w:hAnsi="Calibri" w:cs="Calibri"/>
                <w:sz w:val="22"/>
                <w:szCs w:val="22"/>
              </w:rPr>
              <w:t>JEDNOTKA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rFonts w:ascii="Calibri" w:eastAsia="Calibri" w:hAnsi="Calibri" w:cs="Calibri"/>
                <w:sz w:val="22"/>
                <w:szCs w:val="22"/>
              </w:rPr>
              <w:t>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9"/>
                <w:rFonts w:ascii="Calibri" w:eastAsia="Calibri" w:hAnsi="Calibri" w:cs="Calibri"/>
                <w:sz w:val="22"/>
                <w:szCs w:val="22"/>
              </w:rPr>
              <w:t>ZKUŠEBNÍ METODA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Šíře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1773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b/>
                <w:bCs/>
                <w:sz w:val="20"/>
                <w:szCs w:val="20"/>
              </w:rPr>
              <w:t>Pevnost v tahu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-podélný směr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8 200 + 5%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rFonts w:ascii="Calibri" w:eastAsia="Calibri" w:hAnsi="Calibri" w:cs="Calibri"/>
                <w:sz w:val="20"/>
                <w:szCs w:val="20"/>
              </w:rPr>
              <w:t>ČSN EN ISO 13934-1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9"/>
        </w:rPr>
        <w:t>Zdrhovadlo: spirálové černá barva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9"/>
        </w:rPr>
        <w:t>Velcro: černá barva š. 2,5 cm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9"/>
        </w:rPr>
        <w:t>Pruženka: černá barva š. 3 cm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9"/>
        </w:rPr>
        <w:t>Síťovina: 100% PES barva černá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9"/>
        </w:rPr>
        <w:t>Průhledná folie 0,03 cm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9"/>
        </w:rPr>
        <w:t>Boční vrstvy vyztuženy materiálem KONTYPOR 0,5 cm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9"/>
        </w:rPr>
        <w:t>Taška je uzavíratelná spirálovým zdrhovadlem s 2 jezdci ze tří stran, který umožňuje otevřít vnitřní prostor tašky jako knihu. Taška obsahuje držadlo z popruhu na boční stěně tašky a ramenní popruh, délku lze zkracovat a povolovat.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1220" w:line="240" w:lineRule="auto"/>
        <w:ind w:left="0" w:right="0" w:firstLine="0"/>
        <w:jc w:val="left"/>
      </w:pPr>
      <w:r>
        <w:rPr>
          <w:rStyle w:val="CharStyle39"/>
        </w:rPr>
        <w:t>Víko tašky obsahuje kapsu na desky formát A4, otvory pro pero, kapsa s transparentním okénkem pro zasunutí štítku s údaji o uživateli, nápis MU stříbrné barvy.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705985" cy="307848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705985" cy="307848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88" w:lineRule="auto"/>
        <w:ind w:left="180" w:right="0" w:firstLine="0"/>
        <w:jc w:val="left"/>
      </w:pPr>
      <w:r>
        <w:rPr>
          <w:rStyle w:val="CharStyle3"/>
        </w:rPr>
        <w:t>Víko tašky z vnitřní strany obsahuje síťové kapsy a kapsy ze základního materiálu rozdělené na poloviny pro uložení technických a zdravotních prostředků určených pro mimořádné události pro rychlé vyjmutí. Kapsa rozdělená na 4 části pro vložení pásek pro identifikaci zraněných.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62655" cy="2304415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462655" cy="23044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8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90" w:lineRule="auto"/>
        <w:ind w:left="180" w:right="0" w:firstLine="0"/>
        <w:jc w:val="left"/>
      </w:pPr>
      <w:r>
        <w:rPr>
          <w:rStyle w:val="CharStyle3"/>
        </w:rPr>
        <w:t>Vnitřní komora tašky vyztužená po celém obvodu. Komora obsahuje poutka z pruženky a velcro pásek připevněných na boční a spodní stranu pro uchycení zdravotnických potřeb pro mimořádné události.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651250" cy="2456815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651250" cy="24568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4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4" w:name="bookmark4"/>
      <w:r>
        <w:rPr>
          <w:rStyle w:val="CharStyle50"/>
        </w:rPr>
        <w:t>Ošetřování tašky: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rStyle w:val="CharStyle3"/>
        </w:rPr>
        <w:t>Tašku lze omývat vlažnou vodou se saponátem, tašku nelze z důvodu konstrukce prát.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21" w:right="1060" w:bottom="1664" w:left="1427" w:header="89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958850</wp:posOffset>
              </wp:positionH>
              <wp:positionV relativeFrom="page">
                <wp:posOffset>10007600</wp:posOffset>
              </wp:positionV>
              <wp:extent cx="3130550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3055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57_2025: Tašky pro mimořádné události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.5pt;margin-top:788.pt;width:246.5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57_2025: Tašky pro mimořádné události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964565</wp:posOffset>
              </wp:positionH>
              <wp:positionV relativeFrom="page">
                <wp:posOffset>9879330</wp:posOffset>
              </wp:positionV>
              <wp:extent cx="3127375" cy="11874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2737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57_2025: Tašky pro mimořádné události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5.950000000000003pt;margin-top:777.89999999999998pt;width:246.25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57_2025: Tašky pro mimořádné události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970915</wp:posOffset>
              </wp:positionH>
              <wp:positionV relativeFrom="page">
                <wp:posOffset>9964420</wp:posOffset>
              </wp:positionV>
              <wp:extent cx="3133090" cy="11874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3309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57_2025: Tašky pro mimořádné události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6.450000000000003pt;margin-top:784.60000000000002pt;width:246.70000000000002pt;height:9.3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57_2025: Tašky pro mimořádné události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643890</wp:posOffset>
              </wp:positionV>
              <wp:extent cx="554990" cy="793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49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2025009068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5.pt;margin-top:50.700000000000003pt;width:43.700000000000003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5"/>
                        <w:szCs w:val="15"/>
                      </w:rPr>
                      <w:t>2025009068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Nadpis #1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Základní text (4)_"/>
    <w:basedOn w:val="DefaultParagraphFont"/>
    <w:link w:val="Style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Nadpis #2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9">
    <w:name w:val="Základní text (2)_"/>
    <w:basedOn w:val="DefaultParagraphFont"/>
    <w:link w:val="Style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0">
    <w:name w:val="Nadpis #3_"/>
    <w:basedOn w:val="DefaultParagraphFont"/>
    <w:link w:val="Style4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line="252" w:lineRule="auto"/>
      <w:jc w:val="center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auto"/>
      <w:spacing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auto"/>
      <w:spacing w:after="1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auto"/>
      <w:spacing w:after="240"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8">
    <w:name w:val="Základní text (2)"/>
    <w:basedOn w:val="Normal"/>
    <w:link w:val="CharStyle39"/>
    <w:pPr>
      <w:widowControl w:val="0"/>
      <w:shd w:val="clear" w:color="auto" w:fill="auto"/>
      <w:spacing w:after="1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9">
    <w:name w:val="Nadpis #3"/>
    <w:basedOn w:val="Normal"/>
    <w:link w:val="CharStyle50"/>
    <w:pPr>
      <w:widowControl w:val="0"/>
      <w:shd w:val="clear" w:color="auto" w:fill="auto"/>
      <w:ind w:firstLine="180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Relationship Id="rId12" Type="http://schemas.openxmlformats.org/officeDocument/2006/relationships/image" Target="media/image1.png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2.jpeg" TargetMode="Externa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/Relationships>
</file>