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3840"/>
        <w:gridCol w:w="1442"/>
        <w:gridCol w:w="2116"/>
      </w:tblGrid>
      <w:tr w:rsidR="002C60C2">
        <w:trPr>
          <w:trHeight w:val="825"/>
        </w:trPr>
        <w:tc>
          <w:tcPr>
            <w:tcW w:w="2945" w:type="dxa"/>
            <w:vMerge w:val="restart"/>
            <w:tcBorders>
              <w:right w:val="single" w:sz="6" w:space="0" w:color="000000"/>
            </w:tcBorders>
          </w:tcPr>
          <w:p w:rsidR="002C60C2" w:rsidRDefault="0027033F">
            <w:pPr>
              <w:pStyle w:val="TableParagraph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cs-CZ" w:eastAsia="cs-CZ"/>
              </w:rPr>
              <w:drawing>
                <wp:inline distT="0" distB="0" distL="0" distR="0">
                  <wp:extent cx="1788951" cy="77142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951" cy="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vMerge w:val="restart"/>
            <w:tcBorders>
              <w:left w:val="single" w:sz="6" w:space="0" w:color="000000"/>
            </w:tcBorders>
          </w:tcPr>
          <w:p w:rsidR="002C60C2" w:rsidRDefault="002C60C2">
            <w:pPr>
              <w:pStyle w:val="TableParagraph"/>
              <w:spacing w:before="1"/>
              <w:rPr>
                <w:rFonts w:ascii="Times New Roman"/>
                <w:sz w:val="41"/>
              </w:rPr>
            </w:pPr>
          </w:p>
          <w:p w:rsidR="002C60C2" w:rsidRDefault="0027033F">
            <w:pPr>
              <w:pStyle w:val="TableParagraph"/>
              <w:ind w:left="127" w:right="12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NÁJEMNÍ SMLOUVA</w:t>
            </w:r>
          </w:p>
          <w:p w:rsidR="002C60C2" w:rsidRDefault="0027033F">
            <w:pPr>
              <w:pStyle w:val="TableParagraph"/>
              <w:ind w:left="127" w:right="123"/>
              <w:jc w:val="center"/>
              <w:rPr>
                <w:sz w:val="16"/>
              </w:rPr>
            </w:pPr>
            <w:r>
              <w:rPr>
                <w:sz w:val="16"/>
              </w:rPr>
              <w:t>uzavřená dle Občanského zákoníku</w:t>
            </w:r>
          </w:p>
          <w:p w:rsidR="002C60C2" w:rsidRDefault="0027033F">
            <w:pPr>
              <w:pStyle w:val="TableParagraph"/>
              <w:ind w:left="127" w:right="12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SMLOUVA KUPNÍ</w:t>
            </w:r>
          </w:p>
          <w:p w:rsidR="002C60C2" w:rsidRDefault="0027033F">
            <w:pPr>
              <w:pStyle w:val="TableParagraph"/>
              <w:ind w:left="127" w:right="123"/>
              <w:jc w:val="center"/>
              <w:rPr>
                <w:sz w:val="16"/>
              </w:rPr>
            </w:pPr>
            <w:r>
              <w:rPr>
                <w:sz w:val="16"/>
              </w:rPr>
              <w:t>uzavřená dle Občanského zákoníku</w:t>
            </w:r>
          </w:p>
        </w:tc>
        <w:tc>
          <w:tcPr>
            <w:tcW w:w="1442" w:type="dxa"/>
          </w:tcPr>
          <w:p w:rsidR="002C60C2" w:rsidRDefault="0027033F">
            <w:pPr>
              <w:pStyle w:val="TableParagraph"/>
              <w:ind w:left="113" w:right="81" w:firstLine="81"/>
              <w:rPr>
                <w:sz w:val="24"/>
              </w:rPr>
            </w:pPr>
            <w:r>
              <w:rPr>
                <w:sz w:val="24"/>
              </w:rPr>
              <w:t>Barelová RÁMCOVÁ</w:t>
            </w:r>
          </w:p>
        </w:tc>
        <w:tc>
          <w:tcPr>
            <w:tcW w:w="2116" w:type="dxa"/>
          </w:tcPr>
          <w:p w:rsidR="002C60C2" w:rsidRDefault="0027033F">
            <w:pPr>
              <w:pStyle w:val="TableParagraph"/>
              <w:spacing w:line="187" w:lineRule="exact"/>
              <w:ind w:left="139" w:right="124"/>
              <w:jc w:val="center"/>
              <w:rPr>
                <w:sz w:val="16"/>
              </w:rPr>
            </w:pPr>
            <w:r>
              <w:rPr>
                <w:sz w:val="16"/>
              </w:rPr>
              <w:t>číslo smlouvy:</w:t>
            </w:r>
          </w:p>
          <w:p w:rsidR="002C60C2" w:rsidRDefault="0027033F">
            <w:pPr>
              <w:pStyle w:val="TableParagraph"/>
              <w:spacing w:before="1"/>
              <w:ind w:left="141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B039/2025</w:t>
            </w:r>
          </w:p>
        </w:tc>
      </w:tr>
      <w:tr w:rsidR="002C60C2">
        <w:trPr>
          <w:trHeight w:val="487"/>
        </w:trPr>
        <w:tc>
          <w:tcPr>
            <w:tcW w:w="2945" w:type="dxa"/>
            <w:vMerge/>
            <w:tcBorders>
              <w:top w:val="nil"/>
              <w:right w:val="single" w:sz="6" w:space="0" w:color="000000"/>
            </w:tcBorders>
          </w:tcPr>
          <w:p w:rsidR="002C60C2" w:rsidRDefault="002C60C2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6" w:space="0" w:color="000000"/>
            </w:tcBorders>
          </w:tcPr>
          <w:p w:rsidR="002C60C2" w:rsidRDefault="002C60C2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shd w:val="clear" w:color="auto" w:fill="0C0C0C"/>
          </w:tcPr>
          <w:p w:rsidR="002C60C2" w:rsidRDefault="0027033F">
            <w:pPr>
              <w:pStyle w:val="TableParagraph"/>
              <w:spacing w:line="286" w:lineRule="exact"/>
              <w:ind w:left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Pronájem</w:t>
            </w:r>
          </w:p>
          <w:p w:rsidR="002C60C2" w:rsidRDefault="0027033F">
            <w:pPr>
              <w:pStyle w:val="TableParagraph"/>
              <w:spacing w:line="181" w:lineRule="exact"/>
              <w:ind w:left="70"/>
              <w:rPr>
                <w:sz w:val="16"/>
              </w:rPr>
            </w:pPr>
            <w:r>
              <w:rPr>
                <w:color w:val="FFFFFF"/>
                <w:sz w:val="16"/>
              </w:rPr>
              <w:t>verze 10.05.10</w:t>
            </w:r>
          </w:p>
        </w:tc>
        <w:tc>
          <w:tcPr>
            <w:tcW w:w="2116" w:type="dxa"/>
          </w:tcPr>
          <w:p w:rsidR="002C60C2" w:rsidRDefault="002C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60C2">
        <w:trPr>
          <w:trHeight w:val="390"/>
        </w:trPr>
        <w:tc>
          <w:tcPr>
            <w:tcW w:w="2945" w:type="dxa"/>
            <w:vMerge/>
            <w:tcBorders>
              <w:top w:val="nil"/>
              <w:right w:val="single" w:sz="6" w:space="0" w:color="000000"/>
            </w:tcBorders>
          </w:tcPr>
          <w:p w:rsidR="002C60C2" w:rsidRDefault="002C60C2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6" w:space="0" w:color="000000"/>
            </w:tcBorders>
          </w:tcPr>
          <w:p w:rsidR="002C60C2" w:rsidRDefault="002C60C2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2C60C2" w:rsidRDefault="0027033F">
            <w:pPr>
              <w:pStyle w:val="TableParagraph"/>
              <w:spacing w:line="187" w:lineRule="exact"/>
              <w:ind w:left="199" w:right="184"/>
              <w:jc w:val="center"/>
              <w:rPr>
                <w:sz w:val="16"/>
              </w:rPr>
            </w:pPr>
            <w:r>
              <w:rPr>
                <w:sz w:val="16"/>
              </w:rPr>
              <w:t>přístroje:</w:t>
            </w:r>
          </w:p>
          <w:p w:rsidR="002C60C2" w:rsidRDefault="0027033F">
            <w:pPr>
              <w:pStyle w:val="TableParagraph"/>
              <w:spacing w:line="184" w:lineRule="exact"/>
              <w:ind w:left="199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příloha č. 1</w:t>
            </w:r>
          </w:p>
        </w:tc>
        <w:tc>
          <w:tcPr>
            <w:tcW w:w="2116" w:type="dxa"/>
          </w:tcPr>
          <w:p w:rsidR="002C60C2" w:rsidRDefault="0027033F">
            <w:pPr>
              <w:pStyle w:val="TableParagraph"/>
              <w:spacing w:line="187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2C60C2">
        <w:trPr>
          <w:trHeight w:val="395"/>
        </w:trPr>
        <w:tc>
          <w:tcPr>
            <w:tcW w:w="2945" w:type="dxa"/>
            <w:vMerge/>
            <w:tcBorders>
              <w:top w:val="nil"/>
              <w:right w:val="single" w:sz="6" w:space="0" w:color="000000"/>
            </w:tcBorders>
          </w:tcPr>
          <w:p w:rsidR="002C60C2" w:rsidRDefault="002C60C2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6" w:space="0" w:color="000000"/>
            </w:tcBorders>
          </w:tcPr>
          <w:p w:rsidR="002C60C2" w:rsidRDefault="002C60C2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2C60C2" w:rsidRDefault="0027033F">
            <w:pPr>
              <w:pStyle w:val="TableParagraph"/>
              <w:spacing w:line="189" w:lineRule="exact"/>
              <w:ind w:left="196" w:right="186"/>
              <w:jc w:val="center"/>
              <w:rPr>
                <w:sz w:val="16"/>
              </w:rPr>
            </w:pPr>
            <w:r>
              <w:rPr>
                <w:sz w:val="16"/>
              </w:rPr>
              <w:t>platnost od:</w:t>
            </w:r>
          </w:p>
          <w:p w:rsidR="002C60C2" w:rsidRDefault="0027033F">
            <w:pPr>
              <w:pStyle w:val="TableParagraph"/>
              <w:spacing w:line="186" w:lineRule="exact"/>
              <w:ind w:left="199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Datum A</w:t>
            </w:r>
          </w:p>
        </w:tc>
        <w:tc>
          <w:tcPr>
            <w:tcW w:w="2116" w:type="dxa"/>
          </w:tcPr>
          <w:p w:rsidR="002C60C2" w:rsidRDefault="0027033F">
            <w:pPr>
              <w:pStyle w:val="TableParagraph"/>
              <w:spacing w:line="189" w:lineRule="exact"/>
              <w:ind w:left="139" w:right="124"/>
              <w:jc w:val="center"/>
              <w:rPr>
                <w:sz w:val="16"/>
              </w:rPr>
            </w:pPr>
            <w:r>
              <w:rPr>
                <w:sz w:val="16"/>
              </w:rPr>
              <w:t>platnost do:</w:t>
            </w:r>
          </w:p>
          <w:p w:rsidR="002C60C2" w:rsidRDefault="0027033F">
            <w:pPr>
              <w:pStyle w:val="TableParagraph"/>
              <w:spacing w:line="186" w:lineRule="exact"/>
              <w:ind w:left="140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Datum B</w:t>
            </w:r>
          </w:p>
        </w:tc>
      </w:tr>
    </w:tbl>
    <w:p w:rsidR="002C60C2" w:rsidRDefault="002C60C2">
      <w:pPr>
        <w:pStyle w:val="Zkladntext"/>
        <w:spacing w:before="5"/>
        <w:rPr>
          <w:rFonts w:ascii="Times New Roman"/>
          <w:sz w:val="26"/>
        </w:rPr>
      </w:pPr>
    </w:p>
    <w:p w:rsidR="002C60C2" w:rsidRDefault="0027033F">
      <w:pPr>
        <w:pStyle w:val="Zkladntext"/>
        <w:spacing w:before="100"/>
        <w:ind w:left="3359" w:right="3317"/>
        <w:jc w:val="center"/>
      </w:pPr>
      <w:r>
        <w:t>Uzavřené mezi těmito smluvními stranami:</w:t>
      </w:r>
    </w:p>
    <w:p w:rsidR="002C60C2" w:rsidRDefault="002C60C2">
      <w:pPr>
        <w:pStyle w:val="Zkladntext"/>
        <w:spacing w:before="1"/>
        <w:rPr>
          <w:sz w:val="17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682"/>
        <w:gridCol w:w="1275"/>
        <w:gridCol w:w="3968"/>
      </w:tblGrid>
      <w:tr w:rsidR="002C60C2">
        <w:trPr>
          <w:trHeight w:val="196"/>
        </w:trPr>
        <w:tc>
          <w:tcPr>
            <w:tcW w:w="4676" w:type="dxa"/>
            <w:gridSpan w:val="2"/>
          </w:tcPr>
          <w:p w:rsidR="002C60C2" w:rsidRDefault="0027033F">
            <w:pPr>
              <w:pStyle w:val="TableParagraph"/>
              <w:spacing w:before="2" w:line="174" w:lineRule="exact"/>
              <w:ind w:left="42"/>
              <w:rPr>
                <w:sz w:val="16"/>
              </w:rPr>
            </w:pPr>
            <w:r>
              <w:rPr>
                <w:sz w:val="16"/>
              </w:rPr>
              <w:t>Pronajímatel, prodávající:</w:t>
            </w:r>
          </w:p>
        </w:tc>
        <w:tc>
          <w:tcPr>
            <w:tcW w:w="5243" w:type="dxa"/>
            <w:gridSpan w:val="2"/>
          </w:tcPr>
          <w:p w:rsidR="002C60C2" w:rsidRDefault="002C60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C60C2">
        <w:trPr>
          <w:trHeight w:val="534"/>
        </w:trPr>
        <w:tc>
          <w:tcPr>
            <w:tcW w:w="994" w:type="dxa"/>
          </w:tcPr>
          <w:p w:rsidR="002C60C2" w:rsidRDefault="0027033F">
            <w:pPr>
              <w:pStyle w:val="TableParagraph"/>
              <w:spacing w:line="194" w:lineRule="exact"/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Název</w:t>
            </w:r>
          </w:p>
        </w:tc>
        <w:tc>
          <w:tcPr>
            <w:tcW w:w="3682" w:type="dxa"/>
          </w:tcPr>
          <w:p w:rsidR="002C60C2" w:rsidRDefault="0027033F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Watercooler System s.r.o.</w:t>
            </w:r>
          </w:p>
          <w:p w:rsidR="002C60C2" w:rsidRDefault="0027033F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4"/>
              </w:rPr>
              <w:t>zastoupena:</w:t>
            </w:r>
          </w:p>
          <w:p w:rsidR="002C60C2" w:rsidRDefault="007350D4">
            <w:pPr>
              <w:pStyle w:val="TableParagraph"/>
              <w:spacing w:line="149" w:lineRule="exact"/>
              <w:ind w:left="110"/>
              <w:rPr>
                <w:sz w:val="14"/>
              </w:rPr>
            </w:pPr>
            <w:r w:rsidRPr="007350D4">
              <w:rPr>
                <w:b/>
                <w:sz w:val="16"/>
                <w:highlight w:val="yellow"/>
              </w:rPr>
              <w:t>ANONYMIZOVÁNO</w:t>
            </w:r>
            <w:r w:rsidR="0027033F">
              <w:rPr>
                <w:sz w:val="14"/>
              </w:rPr>
              <w:t>, jednatelem společnosti</w:t>
            </w:r>
          </w:p>
        </w:tc>
        <w:tc>
          <w:tcPr>
            <w:tcW w:w="1275" w:type="dxa"/>
          </w:tcPr>
          <w:p w:rsidR="002C60C2" w:rsidRDefault="0027033F">
            <w:pPr>
              <w:pStyle w:val="TableParagraph"/>
              <w:spacing w:line="194" w:lineRule="exact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Název:</w:t>
            </w:r>
          </w:p>
        </w:tc>
        <w:tc>
          <w:tcPr>
            <w:tcW w:w="3968" w:type="dxa"/>
          </w:tcPr>
          <w:p w:rsidR="002C60C2" w:rsidRDefault="0027033F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Národní ústav duševního zdraví</w:t>
            </w:r>
          </w:p>
        </w:tc>
      </w:tr>
      <w:tr w:rsidR="002C60C2">
        <w:trPr>
          <w:trHeight w:val="194"/>
        </w:trPr>
        <w:tc>
          <w:tcPr>
            <w:tcW w:w="994" w:type="dxa"/>
          </w:tcPr>
          <w:p w:rsidR="002C60C2" w:rsidRDefault="0027033F">
            <w:pPr>
              <w:pStyle w:val="TableParagraph"/>
              <w:spacing w:line="174" w:lineRule="exact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Adresa</w:t>
            </w:r>
          </w:p>
        </w:tc>
        <w:tc>
          <w:tcPr>
            <w:tcW w:w="3682" w:type="dxa"/>
          </w:tcPr>
          <w:p w:rsidR="002C60C2" w:rsidRDefault="0027033F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Žulová 374, Praha 5, 155 31</w:t>
            </w:r>
          </w:p>
        </w:tc>
        <w:tc>
          <w:tcPr>
            <w:tcW w:w="1275" w:type="dxa"/>
          </w:tcPr>
          <w:p w:rsidR="002C60C2" w:rsidRDefault="0027033F">
            <w:pPr>
              <w:pStyle w:val="TableParagraph"/>
              <w:spacing w:line="174" w:lineRule="exact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Adresa:</w:t>
            </w:r>
          </w:p>
        </w:tc>
        <w:tc>
          <w:tcPr>
            <w:tcW w:w="3968" w:type="dxa"/>
          </w:tcPr>
          <w:p w:rsidR="002C60C2" w:rsidRDefault="0027033F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Topolová 748, 25067, Klecany</w:t>
            </w:r>
          </w:p>
        </w:tc>
      </w:tr>
      <w:tr w:rsidR="002C60C2">
        <w:trPr>
          <w:trHeight w:val="194"/>
        </w:trPr>
        <w:tc>
          <w:tcPr>
            <w:tcW w:w="994" w:type="dxa"/>
          </w:tcPr>
          <w:p w:rsidR="002C60C2" w:rsidRDefault="0027033F">
            <w:pPr>
              <w:pStyle w:val="TableParagraph"/>
              <w:spacing w:line="174" w:lineRule="exact"/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IČO:</w:t>
            </w:r>
          </w:p>
        </w:tc>
        <w:tc>
          <w:tcPr>
            <w:tcW w:w="3682" w:type="dxa"/>
          </w:tcPr>
          <w:p w:rsidR="002C60C2" w:rsidRDefault="0027033F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27920500</w:t>
            </w:r>
          </w:p>
        </w:tc>
        <w:tc>
          <w:tcPr>
            <w:tcW w:w="1275" w:type="dxa"/>
          </w:tcPr>
          <w:p w:rsidR="002C60C2" w:rsidRDefault="0027033F">
            <w:pPr>
              <w:pStyle w:val="TableParagraph"/>
              <w:spacing w:line="174" w:lineRule="exact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IČO:</w:t>
            </w:r>
          </w:p>
        </w:tc>
        <w:tc>
          <w:tcPr>
            <w:tcW w:w="3968" w:type="dxa"/>
          </w:tcPr>
          <w:p w:rsidR="002C60C2" w:rsidRDefault="0027033F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00023752</w:t>
            </w:r>
          </w:p>
        </w:tc>
      </w:tr>
      <w:tr w:rsidR="002C60C2">
        <w:trPr>
          <w:trHeight w:val="194"/>
        </w:trPr>
        <w:tc>
          <w:tcPr>
            <w:tcW w:w="994" w:type="dxa"/>
          </w:tcPr>
          <w:p w:rsidR="002C60C2" w:rsidRDefault="0027033F">
            <w:pPr>
              <w:pStyle w:val="TableParagraph"/>
              <w:spacing w:line="174" w:lineRule="exact"/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DIČ:</w:t>
            </w:r>
          </w:p>
        </w:tc>
        <w:tc>
          <w:tcPr>
            <w:tcW w:w="3682" w:type="dxa"/>
          </w:tcPr>
          <w:p w:rsidR="002C60C2" w:rsidRDefault="0027033F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CZ27920500</w:t>
            </w:r>
          </w:p>
        </w:tc>
        <w:tc>
          <w:tcPr>
            <w:tcW w:w="1275" w:type="dxa"/>
          </w:tcPr>
          <w:p w:rsidR="002C60C2" w:rsidRDefault="0027033F">
            <w:pPr>
              <w:pStyle w:val="TableParagraph"/>
              <w:spacing w:line="174" w:lineRule="exact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DIČ:</w:t>
            </w:r>
          </w:p>
        </w:tc>
        <w:tc>
          <w:tcPr>
            <w:tcW w:w="3968" w:type="dxa"/>
          </w:tcPr>
          <w:p w:rsidR="002C60C2" w:rsidRDefault="0027033F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CZ00023752</w:t>
            </w:r>
          </w:p>
        </w:tc>
      </w:tr>
      <w:tr w:rsidR="002C60C2">
        <w:trPr>
          <w:trHeight w:val="389"/>
        </w:trPr>
        <w:tc>
          <w:tcPr>
            <w:tcW w:w="994" w:type="dxa"/>
          </w:tcPr>
          <w:p w:rsidR="002C60C2" w:rsidRDefault="0027033F">
            <w:pPr>
              <w:pStyle w:val="TableParagraph"/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Banka</w:t>
            </w:r>
          </w:p>
        </w:tc>
        <w:tc>
          <w:tcPr>
            <w:tcW w:w="3682" w:type="dxa"/>
          </w:tcPr>
          <w:p w:rsidR="002C60C2" w:rsidRDefault="0027033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Unicredit Bank</w:t>
            </w:r>
          </w:p>
        </w:tc>
        <w:tc>
          <w:tcPr>
            <w:tcW w:w="1275" w:type="dxa"/>
          </w:tcPr>
          <w:p w:rsidR="002C60C2" w:rsidRDefault="0027033F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Odpovědná</w:t>
            </w:r>
          </w:p>
          <w:p w:rsidR="002C60C2" w:rsidRDefault="0027033F">
            <w:pPr>
              <w:pStyle w:val="TableParagraph"/>
              <w:spacing w:line="174" w:lineRule="exact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osoba:</w:t>
            </w:r>
          </w:p>
        </w:tc>
        <w:tc>
          <w:tcPr>
            <w:tcW w:w="3968" w:type="dxa"/>
          </w:tcPr>
          <w:p w:rsidR="002C60C2" w:rsidRDefault="007350D4">
            <w:pPr>
              <w:pStyle w:val="TableParagraph"/>
              <w:spacing w:line="190" w:lineRule="atLeast"/>
              <w:ind w:left="110" w:right="1157"/>
              <w:rPr>
                <w:sz w:val="16"/>
              </w:rPr>
            </w:pPr>
            <w:r w:rsidRPr="007350D4">
              <w:rPr>
                <w:b/>
                <w:sz w:val="16"/>
                <w:highlight w:val="yellow"/>
              </w:rPr>
              <w:t>ANONYMIZOVÁNO</w:t>
            </w:r>
            <w:r w:rsidR="0027033F">
              <w:rPr>
                <w:sz w:val="16"/>
              </w:rPr>
              <w:t>, Ph.D., FCMA, statutární orgán (ředitel)</w:t>
            </w:r>
          </w:p>
        </w:tc>
      </w:tr>
      <w:tr w:rsidR="002C60C2" w:rsidTr="007350D4">
        <w:trPr>
          <w:trHeight w:val="218"/>
        </w:trPr>
        <w:tc>
          <w:tcPr>
            <w:tcW w:w="994" w:type="dxa"/>
          </w:tcPr>
          <w:p w:rsidR="002C60C2" w:rsidRDefault="0027033F">
            <w:pPr>
              <w:pStyle w:val="TableParagraph"/>
              <w:spacing w:before="2" w:line="190" w:lineRule="atLeast"/>
              <w:ind w:left="113" w:right="429"/>
              <w:rPr>
                <w:i/>
                <w:sz w:val="16"/>
              </w:rPr>
            </w:pPr>
            <w:r>
              <w:rPr>
                <w:i/>
                <w:sz w:val="16"/>
              </w:rPr>
              <w:t>číslo účtu:</w:t>
            </w:r>
          </w:p>
        </w:tc>
        <w:tc>
          <w:tcPr>
            <w:tcW w:w="3682" w:type="dxa"/>
          </w:tcPr>
          <w:p w:rsidR="002C60C2" w:rsidRDefault="007350D4">
            <w:pPr>
              <w:pStyle w:val="TableParagraph"/>
              <w:spacing w:before="2"/>
              <w:ind w:left="110"/>
              <w:rPr>
                <w:sz w:val="16"/>
              </w:rPr>
            </w:pPr>
            <w:r w:rsidRPr="007350D4">
              <w:rPr>
                <w:b/>
                <w:sz w:val="16"/>
                <w:highlight w:val="yellow"/>
              </w:rPr>
              <w:t>ANONYMIZOVÁNO</w:t>
            </w:r>
          </w:p>
        </w:tc>
        <w:tc>
          <w:tcPr>
            <w:tcW w:w="1275" w:type="dxa"/>
          </w:tcPr>
          <w:p w:rsidR="002C60C2" w:rsidRDefault="002C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8" w:type="dxa"/>
          </w:tcPr>
          <w:p w:rsidR="002C60C2" w:rsidRDefault="002C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60C2">
        <w:trPr>
          <w:trHeight w:val="582"/>
        </w:trPr>
        <w:tc>
          <w:tcPr>
            <w:tcW w:w="994" w:type="dxa"/>
          </w:tcPr>
          <w:p w:rsidR="002C60C2" w:rsidRDefault="002C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2" w:type="dxa"/>
          </w:tcPr>
          <w:p w:rsidR="002C60C2" w:rsidRDefault="0027033F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Výpis z O.R. vedeného Městským soudem</w:t>
            </w:r>
          </w:p>
          <w:p w:rsidR="002C60C2" w:rsidRDefault="0027033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v Praze odd.C, vložka 126570</w:t>
            </w:r>
          </w:p>
        </w:tc>
        <w:tc>
          <w:tcPr>
            <w:tcW w:w="1275" w:type="dxa"/>
          </w:tcPr>
          <w:p w:rsidR="002C60C2" w:rsidRDefault="0027033F">
            <w:pPr>
              <w:pStyle w:val="TableParagraph"/>
              <w:spacing w:before="5" w:line="194" w:lineRule="exact"/>
              <w:ind w:left="112" w:right="362"/>
              <w:rPr>
                <w:i/>
                <w:sz w:val="16"/>
              </w:rPr>
            </w:pPr>
            <w:r>
              <w:rPr>
                <w:i/>
                <w:sz w:val="16"/>
              </w:rPr>
              <w:t>Kontaktní osoba: Tel.:</w:t>
            </w:r>
          </w:p>
        </w:tc>
        <w:tc>
          <w:tcPr>
            <w:tcW w:w="3968" w:type="dxa"/>
          </w:tcPr>
          <w:p w:rsidR="002C60C2" w:rsidRPr="007350D4" w:rsidRDefault="007350D4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 w:rsidRPr="007350D4">
              <w:rPr>
                <w:b/>
                <w:sz w:val="16"/>
                <w:highlight w:val="yellow"/>
              </w:rPr>
              <w:t>ANONYMIZOVÁNO</w:t>
            </w:r>
          </w:p>
        </w:tc>
      </w:tr>
      <w:tr w:rsidR="002C60C2">
        <w:trPr>
          <w:trHeight w:val="190"/>
        </w:trPr>
        <w:tc>
          <w:tcPr>
            <w:tcW w:w="994" w:type="dxa"/>
          </w:tcPr>
          <w:p w:rsidR="002C60C2" w:rsidRDefault="002C60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2" w:type="dxa"/>
          </w:tcPr>
          <w:p w:rsidR="002C60C2" w:rsidRDefault="0027033F">
            <w:pPr>
              <w:pStyle w:val="TableParagraph"/>
              <w:spacing w:line="170" w:lineRule="exact"/>
              <w:ind w:left="215"/>
              <w:rPr>
                <w:sz w:val="16"/>
              </w:rPr>
            </w:pPr>
            <w:r>
              <w:rPr>
                <w:sz w:val="16"/>
              </w:rPr>
              <w:t>(dále jen pronajímatel nebo prodávající)</w:t>
            </w:r>
          </w:p>
        </w:tc>
        <w:tc>
          <w:tcPr>
            <w:tcW w:w="1275" w:type="dxa"/>
          </w:tcPr>
          <w:p w:rsidR="002C60C2" w:rsidRDefault="002C60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8" w:type="dxa"/>
          </w:tcPr>
          <w:p w:rsidR="002C60C2" w:rsidRDefault="0027033F">
            <w:pPr>
              <w:pStyle w:val="TableParagraph"/>
              <w:spacing w:line="170" w:lineRule="exact"/>
              <w:ind w:left="652"/>
              <w:rPr>
                <w:sz w:val="16"/>
              </w:rPr>
            </w:pPr>
            <w:r>
              <w:rPr>
                <w:sz w:val="16"/>
              </w:rPr>
              <w:t>(dále jen nájemce nebo kupující)</w:t>
            </w:r>
          </w:p>
        </w:tc>
      </w:tr>
    </w:tbl>
    <w:p w:rsidR="002C60C2" w:rsidRDefault="002C60C2">
      <w:pPr>
        <w:pStyle w:val="Zkladntext"/>
        <w:rPr>
          <w:sz w:val="22"/>
        </w:rPr>
      </w:pPr>
    </w:p>
    <w:p w:rsidR="002C60C2" w:rsidRDefault="0027033F">
      <w:pPr>
        <w:pStyle w:val="Nadpis3"/>
        <w:numPr>
          <w:ilvl w:val="0"/>
          <w:numId w:val="8"/>
        </w:numPr>
        <w:tabs>
          <w:tab w:val="left" w:pos="4707"/>
        </w:tabs>
        <w:spacing w:before="147"/>
        <w:ind w:hanging="227"/>
        <w:jc w:val="left"/>
      </w:pPr>
      <w:r>
        <w:t>Předmět</w:t>
      </w:r>
      <w:r>
        <w:rPr>
          <w:spacing w:val="-1"/>
        </w:rPr>
        <w:t xml:space="preserve"> </w:t>
      </w:r>
      <w:r>
        <w:t>smlouvy</w:t>
      </w:r>
    </w:p>
    <w:p w:rsidR="002C60C2" w:rsidRDefault="002C60C2">
      <w:pPr>
        <w:pStyle w:val="Zkladntext"/>
        <w:spacing w:before="11"/>
        <w:rPr>
          <w:b/>
        </w:rPr>
      </w:pPr>
    </w:p>
    <w:p w:rsidR="002C60C2" w:rsidRDefault="0027033F">
      <w:pPr>
        <w:pStyle w:val="Odstavecseseznamem"/>
        <w:numPr>
          <w:ilvl w:val="0"/>
          <w:numId w:val="7"/>
        </w:numPr>
        <w:tabs>
          <w:tab w:val="left" w:pos="593"/>
        </w:tabs>
        <w:ind w:right="183"/>
        <w:jc w:val="both"/>
        <w:rPr>
          <w:sz w:val="18"/>
        </w:rPr>
      </w:pPr>
      <w:r>
        <w:rPr>
          <w:sz w:val="18"/>
        </w:rPr>
        <w:t xml:space="preserve">Touto smlouvou se pronajímatel zavazuje přenechat nájemci za úplatu movitou věc - přístroj pro temperaci a dávkování vody (dále jen </w:t>
      </w:r>
      <w:r>
        <w:rPr>
          <w:b/>
          <w:sz w:val="18"/>
        </w:rPr>
        <w:t>výdejník</w:t>
      </w:r>
      <w:r>
        <w:rPr>
          <w:sz w:val="18"/>
        </w:rPr>
        <w:t>) v množství tak jak je uvedeno v seznamu, který tvoří přílohu č. 1, jako nedílnou součást této smlouvy, aby tento v</w:t>
      </w:r>
      <w:r>
        <w:rPr>
          <w:sz w:val="18"/>
        </w:rPr>
        <w:t>e sjednané době užíval. Navyšování počtu výdejníků se bude sjednávat na základě objednávek od nájemce. Převzaté výdejníky nájemcem budou zaznamenány do přílohy č.1. U každého výdejníku v seznamu bude</w:t>
      </w:r>
      <w:r>
        <w:rPr>
          <w:spacing w:val="-8"/>
          <w:sz w:val="18"/>
        </w:rPr>
        <w:t xml:space="preserve"> </w:t>
      </w:r>
      <w:r>
        <w:rPr>
          <w:sz w:val="18"/>
        </w:rPr>
        <w:t>uvedeno:</w:t>
      </w:r>
    </w:p>
    <w:p w:rsidR="002C60C2" w:rsidRDefault="0027033F">
      <w:pPr>
        <w:pStyle w:val="Odstavecseseznamem"/>
        <w:numPr>
          <w:ilvl w:val="1"/>
          <w:numId w:val="7"/>
        </w:numPr>
        <w:tabs>
          <w:tab w:val="left" w:pos="941"/>
        </w:tabs>
        <w:spacing w:line="217" w:lineRule="exact"/>
        <w:ind w:hanging="349"/>
        <w:rPr>
          <w:sz w:val="18"/>
        </w:rPr>
      </w:pPr>
      <w:r>
        <w:rPr>
          <w:sz w:val="18"/>
        </w:rPr>
        <w:t>pořadové</w:t>
      </w:r>
      <w:r>
        <w:rPr>
          <w:spacing w:val="-2"/>
          <w:sz w:val="18"/>
        </w:rPr>
        <w:t xml:space="preserve"> </w:t>
      </w:r>
      <w:r>
        <w:rPr>
          <w:sz w:val="18"/>
        </w:rPr>
        <w:t>číslo</w:t>
      </w:r>
    </w:p>
    <w:p w:rsidR="002C60C2" w:rsidRDefault="0027033F">
      <w:pPr>
        <w:pStyle w:val="Odstavecseseznamem"/>
        <w:numPr>
          <w:ilvl w:val="1"/>
          <w:numId w:val="7"/>
        </w:numPr>
        <w:tabs>
          <w:tab w:val="left" w:pos="941"/>
        </w:tabs>
        <w:ind w:hanging="349"/>
        <w:rPr>
          <w:sz w:val="18"/>
        </w:rPr>
      </w:pPr>
      <w:r>
        <w:rPr>
          <w:sz w:val="18"/>
        </w:rPr>
        <w:t>typ</w:t>
      </w:r>
      <w:r>
        <w:rPr>
          <w:spacing w:val="-2"/>
          <w:sz w:val="18"/>
        </w:rPr>
        <w:t xml:space="preserve"> </w:t>
      </w:r>
      <w:r>
        <w:rPr>
          <w:sz w:val="18"/>
        </w:rPr>
        <w:t>výdejníku</w:t>
      </w:r>
    </w:p>
    <w:p w:rsidR="002C60C2" w:rsidRDefault="0027033F">
      <w:pPr>
        <w:pStyle w:val="Odstavecseseznamem"/>
        <w:numPr>
          <w:ilvl w:val="1"/>
          <w:numId w:val="7"/>
        </w:numPr>
        <w:tabs>
          <w:tab w:val="left" w:pos="941"/>
        </w:tabs>
        <w:spacing w:before="2" w:line="219" w:lineRule="exact"/>
        <w:ind w:hanging="349"/>
        <w:rPr>
          <w:sz w:val="18"/>
        </w:rPr>
      </w:pPr>
      <w:r>
        <w:rPr>
          <w:sz w:val="18"/>
        </w:rPr>
        <w:t>výrobní</w:t>
      </w:r>
      <w:r>
        <w:rPr>
          <w:spacing w:val="-1"/>
          <w:sz w:val="18"/>
        </w:rPr>
        <w:t xml:space="preserve"> </w:t>
      </w:r>
      <w:r>
        <w:rPr>
          <w:sz w:val="18"/>
        </w:rPr>
        <w:t>číslo</w:t>
      </w:r>
    </w:p>
    <w:p w:rsidR="002C60C2" w:rsidRDefault="0027033F">
      <w:pPr>
        <w:pStyle w:val="Odstavecseseznamem"/>
        <w:numPr>
          <w:ilvl w:val="1"/>
          <w:numId w:val="7"/>
        </w:numPr>
        <w:tabs>
          <w:tab w:val="left" w:pos="941"/>
        </w:tabs>
        <w:spacing w:line="218" w:lineRule="exact"/>
        <w:ind w:hanging="349"/>
        <w:rPr>
          <w:sz w:val="18"/>
        </w:rPr>
      </w:pPr>
      <w:r>
        <w:rPr>
          <w:sz w:val="18"/>
        </w:rPr>
        <w:t>umístění výdejníku u nájemce</w:t>
      </w:r>
      <w:r>
        <w:rPr>
          <w:spacing w:val="-5"/>
          <w:sz w:val="18"/>
        </w:rPr>
        <w:t xml:space="preserve"> </w:t>
      </w:r>
      <w:r>
        <w:rPr>
          <w:sz w:val="18"/>
        </w:rPr>
        <w:t>(adresa)</w:t>
      </w:r>
    </w:p>
    <w:p w:rsidR="002C60C2" w:rsidRDefault="0027033F">
      <w:pPr>
        <w:pStyle w:val="Odstavecseseznamem"/>
        <w:numPr>
          <w:ilvl w:val="1"/>
          <w:numId w:val="7"/>
        </w:numPr>
        <w:tabs>
          <w:tab w:val="left" w:pos="941"/>
        </w:tabs>
        <w:spacing w:line="218" w:lineRule="exact"/>
        <w:ind w:hanging="349"/>
        <w:rPr>
          <w:b/>
          <w:sz w:val="18"/>
        </w:rPr>
      </w:pPr>
      <w:r>
        <w:rPr>
          <w:sz w:val="18"/>
        </w:rPr>
        <w:t xml:space="preserve">datum předání výdejníku nájemci – označen jako </w:t>
      </w:r>
      <w:r>
        <w:rPr>
          <w:b/>
          <w:sz w:val="18"/>
        </w:rPr>
        <w:t>Datum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</w:p>
    <w:p w:rsidR="002C60C2" w:rsidRDefault="0027033F">
      <w:pPr>
        <w:pStyle w:val="Odstavecseseznamem"/>
        <w:numPr>
          <w:ilvl w:val="1"/>
          <w:numId w:val="7"/>
        </w:numPr>
        <w:tabs>
          <w:tab w:val="left" w:pos="940"/>
          <w:tab w:val="left" w:pos="941"/>
        </w:tabs>
        <w:spacing w:line="218" w:lineRule="exact"/>
        <w:ind w:hanging="349"/>
        <w:rPr>
          <w:sz w:val="18"/>
        </w:rPr>
      </w:pPr>
      <w:r>
        <w:rPr>
          <w:b/>
          <w:sz w:val="18"/>
        </w:rPr>
        <w:t xml:space="preserve">Datum B, </w:t>
      </w:r>
      <w:r>
        <w:rPr>
          <w:sz w:val="18"/>
        </w:rPr>
        <w:t xml:space="preserve">které je </w:t>
      </w:r>
      <w:r>
        <w:rPr>
          <w:b/>
          <w:sz w:val="18"/>
        </w:rPr>
        <w:t xml:space="preserve">Datum A </w:t>
      </w:r>
      <w:r>
        <w:rPr>
          <w:sz w:val="18"/>
        </w:rPr>
        <w:t xml:space="preserve">plus </w:t>
      </w:r>
      <w:r>
        <w:rPr>
          <w:b/>
          <w:sz w:val="18"/>
        </w:rPr>
        <w:t>24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měsíců</w:t>
      </w:r>
    </w:p>
    <w:p w:rsidR="002C60C2" w:rsidRDefault="0027033F">
      <w:pPr>
        <w:pStyle w:val="Odstavecseseznamem"/>
        <w:numPr>
          <w:ilvl w:val="1"/>
          <w:numId w:val="7"/>
        </w:numPr>
        <w:tabs>
          <w:tab w:val="left" w:pos="941"/>
        </w:tabs>
        <w:spacing w:line="218" w:lineRule="exact"/>
        <w:ind w:hanging="349"/>
        <w:rPr>
          <w:sz w:val="18"/>
        </w:rPr>
      </w:pPr>
      <w:r>
        <w:rPr>
          <w:sz w:val="18"/>
        </w:rPr>
        <w:t>výše</w:t>
      </w:r>
      <w:r>
        <w:rPr>
          <w:spacing w:val="-1"/>
          <w:sz w:val="18"/>
        </w:rPr>
        <w:t xml:space="preserve"> </w:t>
      </w:r>
      <w:r>
        <w:rPr>
          <w:sz w:val="18"/>
        </w:rPr>
        <w:t>kauce</w:t>
      </w:r>
    </w:p>
    <w:p w:rsidR="002C60C2" w:rsidRDefault="0027033F">
      <w:pPr>
        <w:pStyle w:val="Odstavecseseznamem"/>
        <w:numPr>
          <w:ilvl w:val="1"/>
          <w:numId w:val="7"/>
        </w:numPr>
        <w:tabs>
          <w:tab w:val="left" w:pos="941"/>
        </w:tabs>
        <w:spacing w:line="218" w:lineRule="exact"/>
        <w:ind w:hanging="349"/>
        <w:rPr>
          <w:sz w:val="18"/>
        </w:rPr>
      </w:pPr>
      <w:r>
        <w:rPr>
          <w:sz w:val="18"/>
        </w:rPr>
        <w:t>výše</w:t>
      </w:r>
      <w:r>
        <w:rPr>
          <w:spacing w:val="-1"/>
          <w:sz w:val="18"/>
        </w:rPr>
        <w:t xml:space="preserve"> </w:t>
      </w:r>
      <w:r>
        <w:rPr>
          <w:sz w:val="18"/>
        </w:rPr>
        <w:t>nájemného</w:t>
      </w:r>
    </w:p>
    <w:p w:rsidR="002C60C2" w:rsidRDefault="0027033F">
      <w:pPr>
        <w:pStyle w:val="Odstavecseseznamem"/>
        <w:numPr>
          <w:ilvl w:val="1"/>
          <w:numId w:val="7"/>
        </w:numPr>
        <w:tabs>
          <w:tab w:val="left" w:pos="940"/>
          <w:tab w:val="left" w:pos="941"/>
        </w:tabs>
        <w:spacing w:line="218" w:lineRule="exact"/>
        <w:ind w:hanging="349"/>
        <w:rPr>
          <w:sz w:val="18"/>
        </w:rPr>
      </w:pPr>
      <w:r>
        <w:rPr>
          <w:sz w:val="18"/>
        </w:rPr>
        <w:t>cena výdejníku bez</w:t>
      </w:r>
      <w:r>
        <w:rPr>
          <w:spacing w:val="-4"/>
          <w:sz w:val="18"/>
        </w:rPr>
        <w:t xml:space="preserve"> </w:t>
      </w:r>
      <w:r>
        <w:rPr>
          <w:sz w:val="18"/>
        </w:rPr>
        <w:t>DPH</w:t>
      </w:r>
    </w:p>
    <w:p w:rsidR="002C60C2" w:rsidRDefault="0027033F">
      <w:pPr>
        <w:pStyle w:val="Odstavecseseznamem"/>
        <w:numPr>
          <w:ilvl w:val="1"/>
          <w:numId w:val="7"/>
        </w:numPr>
        <w:tabs>
          <w:tab w:val="left" w:pos="940"/>
          <w:tab w:val="left" w:pos="941"/>
        </w:tabs>
        <w:ind w:hanging="349"/>
        <w:rPr>
          <w:sz w:val="18"/>
        </w:rPr>
      </w:pPr>
      <w:r>
        <w:rPr>
          <w:sz w:val="18"/>
        </w:rPr>
        <w:t>příslušenství</w:t>
      </w:r>
    </w:p>
    <w:p w:rsidR="002C60C2" w:rsidRDefault="0027033F">
      <w:pPr>
        <w:pStyle w:val="Odstavecseseznamem"/>
        <w:numPr>
          <w:ilvl w:val="0"/>
          <w:numId w:val="7"/>
        </w:numPr>
        <w:tabs>
          <w:tab w:val="left" w:pos="593"/>
        </w:tabs>
        <w:spacing w:before="2"/>
        <w:ind w:right="195"/>
        <w:jc w:val="both"/>
        <w:rPr>
          <w:sz w:val="18"/>
        </w:rPr>
      </w:pPr>
      <w:r>
        <w:rPr>
          <w:sz w:val="18"/>
        </w:rPr>
        <w:t>Nájemce se touto smlouvou zavazuje výdejník od pronajímatel</w:t>
      </w:r>
      <w:r>
        <w:rPr>
          <w:sz w:val="18"/>
        </w:rPr>
        <w:t>e převzít a po dobu trvání nájemního vztahu založeného touto smlouvou plnit její podmínky a hradit níže uvedeným způsobem</w:t>
      </w:r>
      <w:r>
        <w:rPr>
          <w:spacing w:val="-12"/>
          <w:sz w:val="18"/>
        </w:rPr>
        <w:t xml:space="preserve"> </w:t>
      </w:r>
      <w:r>
        <w:rPr>
          <w:sz w:val="18"/>
        </w:rPr>
        <w:t>nájemné.</w:t>
      </w:r>
    </w:p>
    <w:p w:rsidR="002C60C2" w:rsidRDefault="0027033F">
      <w:pPr>
        <w:pStyle w:val="Odstavecseseznamem"/>
        <w:numPr>
          <w:ilvl w:val="0"/>
          <w:numId w:val="7"/>
        </w:numPr>
        <w:tabs>
          <w:tab w:val="left" w:pos="593"/>
        </w:tabs>
        <w:ind w:right="183"/>
        <w:jc w:val="both"/>
        <w:rPr>
          <w:sz w:val="18"/>
        </w:rPr>
      </w:pPr>
      <w:r>
        <w:rPr>
          <w:sz w:val="18"/>
        </w:rPr>
        <w:t>O předání a převzetí výdejníku, jeho umístění po dobu trvání nájemního vztahu‚ stejně jako o jeho zpětném předání a převzetí během trvání smluvního vztahu touto smlouvou založeného nebo po jeho skončení, bude sepsán „Protokol o předání a převzetí výdejníku</w:t>
      </w:r>
      <w:r>
        <w:rPr>
          <w:sz w:val="18"/>
        </w:rPr>
        <w:t>“. Součástí předání výdejníku je i seznámení a zaškolení zástupce nájemce s obsluhou výdejníku. Jméno a podpis zástupce budou uvedeny v předávacím protokolu. Pronajímatel předá zástupci návod k obsluze výdejníku. Kopie každého protokolu bude přiložena ke s</w:t>
      </w:r>
      <w:r>
        <w:rPr>
          <w:sz w:val="18"/>
        </w:rPr>
        <w:t>mlouvě.</w:t>
      </w:r>
    </w:p>
    <w:p w:rsidR="002C60C2" w:rsidRDefault="0027033F">
      <w:pPr>
        <w:pStyle w:val="Odstavecseseznamem"/>
        <w:numPr>
          <w:ilvl w:val="0"/>
          <w:numId w:val="7"/>
        </w:numPr>
        <w:tabs>
          <w:tab w:val="left" w:pos="593"/>
        </w:tabs>
        <w:ind w:right="184"/>
        <w:jc w:val="both"/>
        <w:rPr>
          <w:sz w:val="18"/>
        </w:rPr>
      </w:pPr>
      <w:r>
        <w:rPr>
          <w:sz w:val="18"/>
        </w:rPr>
        <w:t>Po dobu trvání nájmu budou mezi oběma smluvními stranami realizovány dodávky balené neperlivé vody v barelech, které dodává firma Watercooler System s.r.o. - a to podle kupní smlouvy dle ust. článku VI. této smlouvy.</w:t>
      </w:r>
    </w:p>
    <w:p w:rsidR="002C60C2" w:rsidRDefault="002C60C2">
      <w:pPr>
        <w:pStyle w:val="Zkladntext"/>
        <w:spacing w:before="7"/>
        <w:rPr>
          <w:sz w:val="9"/>
        </w:rPr>
      </w:pPr>
    </w:p>
    <w:p w:rsidR="002C60C2" w:rsidRDefault="0027033F">
      <w:pPr>
        <w:pStyle w:val="Nadpis3"/>
        <w:numPr>
          <w:ilvl w:val="0"/>
          <w:numId w:val="8"/>
        </w:numPr>
        <w:tabs>
          <w:tab w:val="left" w:pos="4097"/>
        </w:tabs>
        <w:spacing w:before="101"/>
        <w:ind w:left="4097" w:hanging="324"/>
        <w:jc w:val="left"/>
      </w:pPr>
      <w:r>
        <w:t>Doba trvání smluvního</w:t>
      </w:r>
      <w:r>
        <w:rPr>
          <w:spacing w:val="1"/>
        </w:rPr>
        <w:t xml:space="preserve"> </w:t>
      </w:r>
      <w:r>
        <w:t>vztahu</w:t>
      </w:r>
    </w:p>
    <w:p w:rsidR="002C60C2" w:rsidRDefault="002C60C2">
      <w:pPr>
        <w:pStyle w:val="Zkladntext"/>
        <w:spacing w:before="11"/>
        <w:rPr>
          <w:b/>
        </w:rPr>
      </w:pPr>
    </w:p>
    <w:p w:rsidR="002C60C2" w:rsidRDefault="0027033F">
      <w:pPr>
        <w:pStyle w:val="Odstavecseseznamem"/>
        <w:numPr>
          <w:ilvl w:val="0"/>
          <w:numId w:val="6"/>
        </w:numPr>
        <w:tabs>
          <w:tab w:val="left" w:pos="593"/>
        </w:tabs>
        <w:ind w:right="188"/>
        <w:jc w:val="both"/>
        <w:rPr>
          <w:sz w:val="18"/>
        </w:rPr>
      </w:pPr>
      <w:r>
        <w:rPr>
          <w:sz w:val="18"/>
        </w:rPr>
        <w:t xml:space="preserve">Nájem se sjednává na dobu určitou od </w:t>
      </w:r>
      <w:r>
        <w:rPr>
          <w:b/>
          <w:sz w:val="18"/>
        </w:rPr>
        <w:t xml:space="preserve">Datum A </w:t>
      </w:r>
      <w:r>
        <w:rPr>
          <w:sz w:val="18"/>
        </w:rPr>
        <w:t xml:space="preserve">do </w:t>
      </w:r>
      <w:r>
        <w:rPr>
          <w:b/>
          <w:sz w:val="18"/>
        </w:rPr>
        <w:t>Datum B</w:t>
      </w:r>
      <w:r>
        <w:rPr>
          <w:sz w:val="18"/>
        </w:rPr>
        <w:t>. Trvání nájmu lze prodloužit na základě písemného dodatku uzavřeného stranami před uplynutím doby trvání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</w:p>
    <w:p w:rsidR="002C60C2" w:rsidRDefault="0027033F">
      <w:pPr>
        <w:pStyle w:val="Odstavecseseznamem"/>
        <w:numPr>
          <w:ilvl w:val="0"/>
          <w:numId w:val="6"/>
        </w:numPr>
        <w:tabs>
          <w:tab w:val="left" w:pos="593"/>
        </w:tabs>
        <w:ind w:right="193"/>
        <w:jc w:val="both"/>
        <w:rPr>
          <w:sz w:val="18"/>
        </w:rPr>
      </w:pPr>
      <w:r>
        <w:rPr>
          <w:sz w:val="18"/>
        </w:rPr>
        <w:t>Předání předmětu nájmu ze strany pronajímatele do užívání nájemci a jeho převzetí náje</w:t>
      </w:r>
      <w:r>
        <w:rPr>
          <w:sz w:val="18"/>
        </w:rPr>
        <w:t>mcem, stejně tak jako zaškolení nájemce pronajímatelem stran provozování, obsluhy a údržby předmětu nájmu, bude potvrzeno oběma smluvními stranami v protokolu o předání a převzetí předmětu nájmu (dále jen</w:t>
      </w:r>
      <w:r>
        <w:rPr>
          <w:spacing w:val="-35"/>
          <w:sz w:val="18"/>
        </w:rPr>
        <w:t xml:space="preserve"> </w:t>
      </w:r>
      <w:r>
        <w:rPr>
          <w:sz w:val="18"/>
        </w:rPr>
        <w:t>protokol)</w:t>
      </w:r>
    </w:p>
    <w:p w:rsidR="002C60C2" w:rsidRDefault="002C60C2">
      <w:pPr>
        <w:pStyle w:val="Zkladntext"/>
        <w:rPr>
          <w:sz w:val="20"/>
        </w:rPr>
      </w:pPr>
    </w:p>
    <w:p w:rsidR="002C60C2" w:rsidRDefault="0027033F">
      <w:pPr>
        <w:pStyle w:val="Zkladntext"/>
        <w:rPr>
          <w:sz w:val="17"/>
        </w:rPr>
      </w:pPr>
      <w:r>
        <w:pict>
          <v:shape id="_x0000_s1034" style="position:absolute;margin-left:41.15pt;margin-top:12.55pt;width:513.25pt;height:.1pt;z-index:-251658240;mso-wrap-distance-left:0;mso-wrap-distance-right:0;mso-position-horizontal-relative:page" coordorigin="823,251" coordsize="10265,0" path="m823,251r10265,e" filled="f" strokeweight=".16922mm">
            <v:path arrowok="t"/>
            <w10:wrap type="topAndBottom" anchorx="page"/>
          </v:shape>
        </w:pict>
      </w:r>
    </w:p>
    <w:p w:rsidR="002C60C2" w:rsidRDefault="0027033F">
      <w:pPr>
        <w:spacing w:line="220" w:lineRule="exact"/>
        <w:ind w:left="3359" w:right="3314"/>
        <w:jc w:val="center"/>
        <w:rPr>
          <w:rFonts w:ascii="Times New Roman"/>
          <w:sz w:val="20"/>
        </w:rPr>
      </w:pPr>
      <w:r>
        <w:rPr>
          <w:rFonts w:ascii="Times New Roman"/>
          <w:sz w:val="16"/>
        </w:rPr>
        <w:lastRenderedPageBreak/>
        <w:t xml:space="preserve">strana </w:t>
      </w:r>
      <w:r>
        <w:rPr>
          <w:rFonts w:ascii="Times New Roman"/>
          <w:sz w:val="20"/>
        </w:rPr>
        <w:t>1</w:t>
      </w:r>
    </w:p>
    <w:p w:rsidR="002C60C2" w:rsidRDefault="002C60C2">
      <w:pPr>
        <w:spacing w:line="220" w:lineRule="exact"/>
        <w:jc w:val="center"/>
        <w:rPr>
          <w:rFonts w:ascii="Times New Roman"/>
          <w:sz w:val="20"/>
        </w:rPr>
        <w:sectPr w:rsidR="002C60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820" w:right="660" w:bottom="280" w:left="620" w:header="708" w:footer="708" w:gutter="0"/>
          <w:cols w:space="708"/>
        </w:sectPr>
      </w:pPr>
    </w:p>
    <w:p w:rsidR="002C60C2" w:rsidRDefault="0027033F">
      <w:pPr>
        <w:pStyle w:val="Nadpis3"/>
        <w:numPr>
          <w:ilvl w:val="0"/>
          <w:numId w:val="8"/>
        </w:numPr>
        <w:tabs>
          <w:tab w:val="left" w:pos="4710"/>
        </w:tabs>
        <w:spacing w:before="70"/>
        <w:ind w:left="4709" w:hanging="424"/>
        <w:jc w:val="left"/>
      </w:pPr>
      <w:r>
        <w:lastRenderedPageBreak/>
        <w:t>Výše nájemnéh</w:t>
      </w:r>
      <w:r>
        <w:t>o</w:t>
      </w:r>
    </w:p>
    <w:p w:rsidR="002C60C2" w:rsidRDefault="002C60C2">
      <w:pPr>
        <w:pStyle w:val="Zkladntext"/>
        <w:spacing w:before="11"/>
        <w:rPr>
          <w:b/>
        </w:rPr>
      </w:pPr>
    </w:p>
    <w:p w:rsidR="002C60C2" w:rsidRDefault="0027033F">
      <w:pPr>
        <w:pStyle w:val="Odstavecseseznamem"/>
        <w:numPr>
          <w:ilvl w:val="0"/>
          <w:numId w:val="5"/>
        </w:numPr>
        <w:tabs>
          <w:tab w:val="left" w:pos="593"/>
        </w:tabs>
        <w:jc w:val="both"/>
        <w:rPr>
          <w:sz w:val="18"/>
        </w:rPr>
      </w:pPr>
      <w:r>
        <w:rPr>
          <w:sz w:val="18"/>
        </w:rPr>
        <w:t xml:space="preserve">Výše měsíčního nájemného je uvedena v příloze č.1 ve sloupci označeném </w:t>
      </w:r>
      <w:r>
        <w:rPr>
          <w:b/>
          <w:sz w:val="18"/>
        </w:rPr>
        <w:t>výše nájemného</w:t>
      </w:r>
      <w:r>
        <w:rPr>
          <w:sz w:val="18"/>
        </w:rPr>
        <w:t>. Tato</w:t>
      </w:r>
      <w:r>
        <w:rPr>
          <w:spacing w:val="-22"/>
          <w:sz w:val="18"/>
        </w:rPr>
        <w:t xml:space="preserve"> </w:t>
      </w:r>
      <w:r>
        <w:rPr>
          <w:sz w:val="18"/>
        </w:rPr>
        <w:t>částka</w:t>
      </w:r>
    </w:p>
    <w:p w:rsidR="002C60C2" w:rsidRDefault="0027033F">
      <w:pPr>
        <w:pStyle w:val="Zkladntext"/>
        <w:spacing w:line="219" w:lineRule="exact"/>
        <w:ind w:left="592"/>
        <w:jc w:val="both"/>
      </w:pPr>
      <w:r>
        <w:t>je uvedena bez DPH.</w:t>
      </w:r>
    </w:p>
    <w:p w:rsidR="002C60C2" w:rsidRDefault="0027033F">
      <w:pPr>
        <w:pStyle w:val="Odstavecseseznamem"/>
        <w:numPr>
          <w:ilvl w:val="0"/>
          <w:numId w:val="5"/>
        </w:numPr>
        <w:tabs>
          <w:tab w:val="left" w:pos="593"/>
        </w:tabs>
        <w:spacing w:line="218" w:lineRule="exact"/>
        <w:ind w:hanging="362"/>
        <w:jc w:val="both"/>
        <w:rPr>
          <w:sz w:val="18"/>
        </w:rPr>
      </w:pPr>
      <w:r>
        <w:rPr>
          <w:sz w:val="18"/>
        </w:rPr>
        <w:t>Nájemce bude hradit nájemné po dobu trvání smluvního</w:t>
      </w:r>
      <w:r>
        <w:rPr>
          <w:spacing w:val="-5"/>
          <w:sz w:val="18"/>
        </w:rPr>
        <w:t xml:space="preserve"> </w:t>
      </w:r>
      <w:r>
        <w:rPr>
          <w:sz w:val="18"/>
        </w:rPr>
        <w:t>vztahu.</w:t>
      </w:r>
    </w:p>
    <w:p w:rsidR="002C60C2" w:rsidRDefault="0027033F">
      <w:pPr>
        <w:pStyle w:val="Odstavecseseznamem"/>
        <w:numPr>
          <w:ilvl w:val="0"/>
          <w:numId w:val="5"/>
        </w:numPr>
        <w:tabs>
          <w:tab w:val="left" w:pos="593"/>
        </w:tabs>
        <w:ind w:right="186"/>
        <w:jc w:val="both"/>
        <w:rPr>
          <w:sz w:val="18"/>
        </w:rPr>
      </w:pPr>
      <w:r>
        <w:rPr>
          <w:sz w:val="18"/>
        </w:rPr>
        <w:t>Nájemce uhradí pronajímateli za výdejník kauci (dále jen kauce) ve výši j</w:t>
      </w:r>
      <w:r>
        <w:rPr>
          <w:sz w:val="18"/>
        </w:rPr>
        <w:t xml:space="preserve">ak je uvedeno v příloze č.1 ve sloupci </w:t>
      </w:r>
      <w:r>
        <w:rPr>
          <w:b/>
          <w:sz w:val="18"/>
        </w:rPr>
        <w:t>kauce</w:t>
      </w:r>
      <w:r>
        <w:rPr>
          <w:sz w:val="18"/>
        </w:rPr>
        <w:t>. Kauci nájemce uhradí na základě faktury, kterou pronajímatel vystaví nájemci po předání a převzetí výdejníku. Tato kauce je určena na úhradu škod a případných nedoplatků, které vznikly pronajímateli v souvislos</w:t>
      </w:r>
      <w:r>
        <w:rPr>
          <w:sz w:val="18"/>
        </w:rPr>
        <w:t>ti s nedodržením podmínek této smlouvy ze strany nájemce. Nájemce se však složením této kauce nezprošťuje odpovědnosti za škody způsobené pronajímateli na výdejníku. Tato kauce je v případě, že pronajímatel nemá za nájemcem pohledávku vzniklou z nájmu přís</w:t>
      </w:r>
      <w:r>
        <w:rPr>
          <w:sz w:val="18"/>
        </w:rPr>
        <w:t>lušného přístroje, vratná v plné výši do 1 měsíce od skončení nájmu výdejníku. Má-li pronajímatel za nájemcem pohledávku vzniklou z nájmu, je pronajímatel oprávněn uspokojit své nároky ze složené kauce. Z kauce neplyne nájemci nárok na žádný</w:t>
      </w:r>
      <w:r>
        <w:rPr>
          <w:spacing w:val="-3"/>
          <w:sz w:val="18"/>
        </w:rPr>
        <w:t xml:space="preserve"> </w:t>
      </w:r>
      <w:r>
        <w:rPr>
          <w:sz w:val="18"/>
        </w:rPr>
        <w:t>úrok.</w:t>
      </w:r>
    </w:p>
    <w:p w:rsidR="002C60C2" w:rsidRDefault="0027033F">
      <w:pPr>
        <w:pStyle w:val="Odstavecseseznamem"/>
        <w:numPr>
          <w:ilvl w:val="0"/>
          <w:numId w:val="5"/>
        </w:numPr>
        <w:tabs>
          <w:tab w:val="left" w:pos="593"/>
        </w:tabs>
        <w:spacing w:before="21" w:line="211" w:lineRule="auto"/>
        <w:ind w:right="818"/>
        <w:jc w:val="both"/>
        <w:rPr>
          <w:rFonts w:ascii="Times New Roman" w:hAnsi="Times New Roman"/>
          <w:sz w:val="24"/>
        </w:rPr>
      </w:pPr>
      <w:r>
        <w:rPr>
          <w:position w:val="2"/>
          <w:sz w:val="18"/>
        </w:rPr>
        <w:t>V ceně nájmu je i pronájem 1ks tlakové láhve 6Kg na CO</w:t>
      </w:r>
      <w:r>
        <w:rPr>
          <w:sz w:val="12"/>
        </w:rPr>
        <w:t xml:space="preserve">2, </w:t>
      </w:r>
      <w:r>
        <w:rPr>
          <w:position w:val="2"/>
          <w:sz w:val="18"/>
        </w:rPr>
        <w:t xml:space="preserve">pokud se jedná o </w:t>
      </w:r>
      <w:r>
        <w:rPr>
          <w:b/>
          <w:position w:val="2"/>
          <w:sz w:val="18"/>
        </w:rPr>
        <w:t>watercooler vybavený</w:t>
      </w:r>
      <w:r>
        <w:rPr>
          <w:b/>
          <w:sz w:val="18"/>
        </w:rPr>
        <w:t xml:space="preserve"> výrobou sodové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vody</w:t>
      </w:r>
      <w:r>
        <w:rPr>
          <w:sz w:val="18"/>
        </w:rPr>
        <w:t>.</w:t>
      </w:r>
    </w:p>
    <w:p w:rsidR="002C60C2" w:rsidRDefault="002C60C2">
      <w:pPr>
        <w:pStyle w:val="Zkladntext"/>
        <w:rPr>
          <w:sz w:val="22"/>
        </w:rPr>
      </w:pPr>
    </w:p>
    <w:p w:rsidR="002C60C2" w:rsidRDefault="0027033F">
      <w:pPr>
        <w:pStyle w:val="Nadpis3"/>
        <w:numPr>
          <w:ilvl w:val="0"/>
          <w:numId w:val="8"/>
        </w:numPr>
        <w:tabs>
          <w:tab w:val="left" w:pos="3428"/>
        </w:tabs>
        <w:spacing w:before="173"/>
        <w:ind w:left="3427" w:hanging="364"/>
        <w:jc w:val="left"/>
      </w:pPr>
      <w:r>
        <w:t>Ostatní práva a povinnosti smluvních</w:t>
      </w:r>
      <w:r>
        <w:rPr>
          <w:spacing w:val="-1"/>
        </w:rPr>
        <w:t xml:space="preserve"> </w:t>
      </w:r>
      <w:r>
        <w:t>stran</w:t>
      </w:r>
    </w:p>
    <w:p w:rsidR="002C60C2" w:rsidRDefault="002C60C2">
      <w:pPr>
        <w:pStyle w:val="Zkladntext"/>
        <w:rPr>
          <w:b/>
          <w:sz w:val="19"/>
        </w:rPr>
      </w:pPr>
    </w:p>
    <w:p w:rsidR="002C60C2" w:rsidRDefault="0027033F">
      <w:pPr>
        <w:pStyle w:val="Odstavecseseznamem"/>
        <w:numPr>
          <w:ilvl w:val="0"/>
          <w:numId w:val="4"/>
        </w:numPr>
        <w:tabs>
          <w:tab w:val="left" w:pos="593"/>
        </w:tabs>
        <w:ind w:right="182"/>
        <w:jc w:val="both"/>
        <w:rPr>
          <w:sz w:val="18"/>
        </w:rPr>
      </w:pPr>
      <w:r>
        <w:rPr>
          <w:sz w:val="18"/>
        </w:rPr>
        <w:t>Nájemce je oprávněn užívat výdejník přiměřeně povaze určení věci, dle pokynů pronajímatele, v souladu s návodem, přičemž je oprávněn výdejník užívat pouze k odběru balené neperlivé vody v barelech, dodávaných</w:t>
      </w:r>
      <w:r>
        <w:rPr>
          <w:spacing w:val="-1"/>
          <w:sz w:val="18"/>
        </w:rPr>
        <w:t xml:space="preserve"> </w:t>
      </w:r>
      <w:r>
        <w:rPr>
          <w:sz w:val="18"/>
        </w:rPr>
        <w:t>pronajímatelem.</w:t>
      </w:r>
    </w:p>
    <w:p w:rsidR="002C60C2" w:rsidRDefault="0027033F">
      <w:pPr>
        <w:pStyle w:val="Odstavecseseznamem"/>
        <w:numPr>
          <w:ilvl w:val="0"/>
          <w:numId w:val="4"/>
        </w:numPr>
        <w:tabs>
          <w:tab w:val="left" w:pos="593"/>
        </w:tabs>
        <w:ind w:right="184"/>
        <w:jc w:val="both"/>
        <w:rPr>
          <w:sz w:val="18"/>
        </w:rPr>
      </w:pPr>
      <w:r>
        <w:rPr>
          <w:sz w:val="18"/>
        </w:rPr>
        <w:t>Nájemce není oprávněn dát výdej</w:t>
      </w:r>
      <w:r>
        <w:rPr>
          <w:sz w:val="18"/>
        </w:rPr>
        <w:t>ník do podnájmu. Pronajímatel je oprávněn požadovat přístup k výdejníku za účelem kontroly, zda nájemce užívá výdejník řádným způsobem a v souladu s touto smlouvou. Nájemce je povinen si po pronajímateli předem vyžádat souhlas s jakýmkoli přemístěním výdej</w:t>
      </w:r>
      <w:r>
        <w:rPr>
          <w:sz w:val="18"/>
        </w:rPr>
        <w:t>níku mimo místo uvedené v předávacím protokolu a v příloze této</w:t>
      </w:r>
      <w:r>
        <w:rPr>
          <w:spacing w:val="-9"/>
          <w:sz w:val="18"/>
        </w:rPr>
        <w:t xml:space="preserve"> </w:t>
      </w:r>
      <w:r>
        <w:rPr>
          <w:sz w:val="18"/>
        </w:rPr>
        <w:t>smlouvy.</w:t>
      </w:r>
    </w:p>
    <w:p w:rsidR="002C60C2" w:rsidRDefault="0027033F">
      <w:pPr>
        <w:pStyle w:val="Odstavecseseznamem"/>
        <w:numPr>
          <w:ilvl w:val="0"/>
          <w:numId w:val="4"/>
        </w:numPr>
        <w:tabs>
          <w:tab w:val="left" w:pos="593"/>
        </w:tabs>
        <w:ind w:right="189"/>
        <w:jc w:val="both"/>
        <w:rPr>
          <w:sz w:val="18"/>
        </w:rPr>
      </w:pPr>
      <w:r>
        <w:rPr>
          <w:sz w:val="18"/>
        </w:rPr>
        <w:t>Změny na výdejníku nájemce není oprávněn provádět, ledaže by mu pronajímatel dal k takovým změnám písemný souhlas. Provede-li nájemce na výdejníku bez souhlasu pronajímatele změny, je</w:t>
      </w:r>
      <w:r>
        <w:rPr>
          <w:sz w:val="18"/>
        </w:rPr>
        <w:t xml:space="preserve"> povinen uvést výdejník po skončení nájmu do původního stavu bez nároku na jakoukoliv</w:t>
      </w:r>
      <w:r>
        <w:rPr>
          <w:spacing w:val="-11"/>
          <w:sz w:val="18"/>
        </w:rPr>
        <w:t xml:space="preserve"> </w:t>
      </w:r>
      <w:r>
        <w:rPr>
          <w:sz w:val="18"/>
        </w:rPr>
        <w:t>kompenzaci.</w:t>
      </w:r>
    </w:p>
    <w:p w:rsidR="002C60C2" w:rsidRDefault="0027033F">
      <w:pPr>
        <w:pStyle w:val="Odstavecseseznamem"/>
        <w:numPr>
          <w:ilvl w:val="0"/>
          <w:numId w:val="4"/>
        </w:numPr>
        <w:tabs>
          <w:tab w:val="left" w:pos="593"/>
        </w:tabs>
        <w:ind w:right="184"/>
        <w:jc w:val="both"/>
        <w:rPr>
          <w:sz w:val="18"/>
        </w:rPr>
      </w:pPr>
      <w:r>
        <w:rPr>
          <w:sz w:val="18"/>
        </w:rPr>
        <w:t>Pronajímatel je povinen po dobu trvání smluvního vztahu výdejník udržovat na své náklady ve stavu způsobilém řádnému užívání. Nájemce je povinen oznámit prona</w:t>
      </w:r>
      <w:r>
        <w:rPr>
          <w:sz w:val="18"/>
        </w:rPr>
        <w:t>jímateli bez zbytečného odkladu potřebu oprav, které má pronajímatel provést. Nájemce je povinen snášet omezení v užívání výdejníku v rozsahu nutném pro provedení oprav a udržování výdejníku. Pokud nebude možné závadu výdejníku odstranit na místě, je prona</w:t>
      </w:r>
      <w:r>
        <w:rPr>
          <w:sz w:val="18"/>
        </w:rPr>
        <w:t>jímatel povinen poskytnou náhradní výdejník k užívání zdarma po dobu</w:t>
      </w:r>
      <w:r>
        <w:rPr>
          <w:spacing w:val="-18"/>
          <w:sz w:val="18"/>
        </w:rPr>
        <w:t xml:space="preserve"> </w:t>
      </w:r>
      <w:r>
        <w:rPr>
          <w:sz w:val="18"/>
        </w:rPr>
        <w:t>opravy.</w:t>
      </w:r>
    </w:p>
    <w:p w:rsidR="002C60C2" w:rsidRDefault="0027033F">
      <w:pPr>
        <w:pStyle w:val="Odstavecseseznamem"/>
        <w:numPr>
          <w:ilvl w:val="0"/>
          <w:numId w:val="4"/>
        </w:numPr>
        <w:tabs>
          <w:tab w:val="left" w:pos="593"/>
        </w:tabs>
        <w:ind w:right="188"/>
        <w:jc w:val="both"/>
        <w:rPr>
          <w:sz w:val="18"/>
        </w:rPr>
      </w:pPr>
      <w:r>
        <w:rPr>
          <w:sz w:val="18"/>
        </w:rPr>
        <w:t>Nad rámec údržby pronajaté věci uvedené v předchozích odstavcích, je nutné provádět hygienické čištění a sanitaci, a to pravidelně vždy po uplynutí nejdéle čtyř měsíců. Cena služb</w:t>
      </w:r>
      <w:r>
        <w:rPr>
          <w:sz w:val="18"/>
        </w:rPr>
        <w:t>y je stanovena v ceníku , který je nedílnou součástí této nájemní</w:t>
      </w:r>
      <w:r>
        <w:rPr>
          <w:spacing w:val="1"/>
          <w:sz w:val="18"/>
        </w:rPr>
        <w:t xml:space="preserve"> </w:t>
      </w:r>
      <w:r>
        <w:rPr>
          <w:sz w:val="18"/>
        </w:rPr>
        <w:t>smlouvy.</w:t>
      </w:r>
    </w:p>
    <w:p w:rsidR="002C60C2" w:rsidRDefault="0027033F">
      <w:pPr>
        <w:pStyle w:val="Odstavecseseznamem"/>
        <w:numPr>
          <w:ilvl w:val="0"/>
          <w:numId w:val="4"/>
        </w:numPr>
        <w:tabs>
          <w:tab w:val="left" w:pos="593"/>
        </w:tabs>
        <w:ind w:right="184"/>
        <w:jc w:val="both"/>
        <w:rPr>
          <w:sz w:val="18"/>
        </w:rPr>
      </w:pPr>
      <w:r>
        <w:rPr>
          <w:sz w:val="18"/>
        </w:rPr>
        <w:t>Zničením výdejníku nájemní vztah zaniká pro tento konkrétní výdejník. Dojde-li k poškození nebo zničení výdejníku v důsledku užívání nájemcem, které není přiměřené povaze a určení v</w:t>
      </w:r>
      <w:r>
        <w:rPr>
          <w:sz w:val="18"/>
        </w:rPr>
        <w:t xml:space="preserve">ěci, je nájemce povinen zaplatit opravu výdejníku. V případě jeho zničení nebo ztráty je povinen uhradit pronajímateli jeho cenu která je uvedena v příloze č.1 ve sloupci </w:t>
      </w:r>
      <w:r>
        <w:rPr>
          <w:b/>
          <w:sz w:val="18"/>
        </w:rPr>
        <w:t>cena výdejníku bez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DPH</w:t>
      </w:r>
      <w:r>
        <w:rPr>
          <w:sz w:val="18"/>
        </w:rPr>
        <w:t>.</w:t>
      </w:r>
    </w:p>
    <w:p w:rsidR="002C60C2" w:rsidRDefault="002C60C2">
      <w:pPr>
        <w:pStyle w:val="Zkladntext"/>
        <w:spacing w:before="11"/>
      </w:pPr>
    </w:p>
    <w:p w:rsidR="002C60C2" w:rsidRDefault="0027033F">
      <w:pPr>
        <w:pStyle w:val="Nadpis3"/>
        <w:numPr>
          <w:ilvl w:val="0"/>
          <w:numId w:val="8"/>
        </w:numPr>
        <w:tabs>
          <w:tab w:val="left" w:pos="3329"/>
        </w:tabs>
        <w:ind w:left="3328" w:hanging="265"/>
        <w:jc w:val="left"/>
      </w:pPr>
      <w:r>
        <w:t>Předčasné skončení smluvního</w:t>
      </w:r>
      <w:r>
        <w:rPr>
          <w:spacing w:val="2"/>
        </w:rPr>
        <w:t xml:space="preserve"> </w:t>
      </w:r>
      <w:r>
        <w:t>vztahu</w:t>
      </w:r>
    </w:p>
    <w:p w:rsidR="002C60C2" w:rsidRDefault="002C60C2">
      <w:pPr>
        <w:pStyle w:val="Zkladntext"/>
        <w:spacing w:before="11"/>
        <w:rPr>
          <w:b/>
        </w:rPr>
      </w:pPr>
    </w:p>
    <w:p w:rsidR="002C60C2" w:rsidRDefault="0027033F">
      <w:pPr>
        <w:pStyle w:val="Odstavecseseznamem"/>
        <w:numPr>
          <w:ilvl w:val="0"/>
          <w:numId w:val="3"/>
        </w:numPr>
        <w:tabs>
          <w:tab w:val="left" w:pos="593"/>
        </w:tabs>
        <w:ind w:right="185"/>
        <w:jc w:val="both"/>
        <w:rPr>
          <w:sz w:val="18"/>
        </w:rPr>
      </w:pPr>
      <w:r>
        <w:rPr>
          <w:sz w:val="18"/>
        </w:rPr>
        <w:t>Bude-li nájemce užívat věc v rozporu s touto smlouvou, zejména poruší-li ust. čl.IV.,odst. 1, 2, 3, 4 nebo 5 této smlouvy, je pronajímatel oprávněn od smlouvy okamžitě odstoupit. Pronajímatel je oprávněn od smlouvy odstoupit i v případě, že nájemce bude vů</w:t>
      </w:r>
      <w:r>
        <w:rPr>
          <w:sz w:val="18"/>
        </w:rPr>
        <w:t>či němu v jakémkoli prodlení s placením delším než 30 (slovy třicet)</w:t>
      </w:r>
      <w:r>
        <w:rPr>
          <w:spacing w:val="-5"/>
          <w:sz w:val="18"/>
        </w:rPr>
        <w:t xml:space="preserve"> </w:t>
      </w:r>
      <w:r>
        <w:rPr>
          <w:sz w:val="18"/>
        </w:rPr>
        <w:t>dnů.</w:t>
      </w:r>
    </w:p>
    <w:p w:rsidR="002C60C2" w:rsidRDefault="0027033F">
      <w:pPr>
        <w:pStyle w:val="Odstavecseseznamem"/>
        <w:numPr>
          <w:ilvl w:val="0"/>
          <w:numId w:val="3"/>
        </w:numPr>
        <w:tabs>
          <w:tab w:val="left" w:pos="593"/>
        </w:tabs>
        <w:ind w:right="188"/>
        <w:jc w:val="both"/>
        <w:rPr>
          <w:sz w:val="18"/>
        </w:rPr>
      </w:pPr>
      <w:r>
        <w:rPr>
          <w:sz w:val="18"/>
        </w:rPr>
        <w:t xml:space="preserve">Odstoupí-li pronajímatel od smlouvy dle odstavce V.1., pak je nájemce povinen uhradit pronajímateli náklady spojené s deinstalací, dopravou a vyčištěním každého výdejníku ve výši. </w:t>
      </w:r>
      <w:r>
        <w:rPr>
          <w:b/>
          <w:sz w:val="18"/>
        </w:rPr>
        <w:t>2.</w:t>
      </w:r>
      <w:r>
        <w:rPr>
          <w:b/>
          <w:sz w:val="18"/>
        </w:rPr>
        <w:t xml:space="preserve">000,-Kč </w:t>
      </w:r>
      <w:r>
        <w:rPr>
          <w:sz w:val="18"/>
        </w:rPr>
        <w:t>bez DPH. Tuto částku si může pronajímatel strhnout z</w:t>
      </w:r>
      <w:r>
        <w:rPr>
          <w:spacing w:val="-3"/>
          <w:sz w:val="18"/>
        </w:rPr>
        <w:t xml:space="preserve"> </w:t>
      </w:r>
      <w:r>
        <w:rPr>
          <w:sz w:val="18"/>
        </w:rPr>
        <w:t>kauce.</w:t>
      </w:r>
    </w:p>
    <w:p w:rsidR="002C60C2" w:rsidRDefault="0027033F">
      <w:pPr>
        <w:pStyle w:val="Odstavecseseznamem"/>
        <w:numPr>
          <w:ilvl w:val="0"/>
          <w:numId w:val="3"/>
        </w:numPr>
        <w:tabs>
          <w:tab w:val="left" w:pos="593"/>
        </w:tabs>
        <w:spacing w:before="1"/>
        <w:ind w:right="184"/>
        <w:jc w:val="both"/>
        <w:rPr>
          <w:sz w:val="18"/>
        </w:rPr>
      </w:pPr>
      <w:r>
        <w:rPr>
          <w:sz w:val="18"/>
        </w:rPr>
        <w:t>Obě strany jsou oprávněny vypovědět smlouvu bez udání důvodu s výpovědní lhůtou, která počíná běžet prvním dnem měsíce následujícího po doručení písemné výpovědi druhé straně. Výpovědní do</w:t>
      </w:r>
      <w:r>
        <w:rPr>
          <w:sz w:val="18"/>
        </w:rPr>
        <w:t>ba je stanovena jeden</w:t>
      </w:r>
      <w:r>
        <w:rPr>
          <w:spacing w:val="-2"/>
          <w:sz w:val="18"/>
        </w:rPr>
        <w:t xml:space="preserve"> </w:t>
      </w:r>
      <w:r>
        <w:rPr>
          <w:sz w:val="18"/>
        </w:rPr>
        <w:t>měsíc.</w:t>
      </w:r>
    </w:p>
    <w:p w:rsidR="002C60C2" w:rsidRDefault="002C60C2">
      <w:pPr>
        <w:pStyle w:val="Zkladntext"/>
        <w:spacing w:before="8"/>
        <w:rPr>
          <w:sz w:val="9"/>
        </w:rPr>
      </w:pPr>
    </w:p>
    <w:p w:rsidR="002C60C2" w:rsidRDefault="0027033F">
      <w:pPr>
        <w:pStyle w:val="Nadpis3"/>
        <w:numPr>
          <w:ilvl w:val="0"/>
          <w:numId w:val="8"/>
        </w:numPr>
        <w:tabs>
          <w:tab w:val="left" w:pos="4844"/>
        </w:tabs>
        <w:spacing w:before="100"/>
        <w:ind w:left="4843" w:hanging="364"/>
        <w:jc w:val="left"/>
      </w:pPr>
      <w:r>
        <w:t>Smlouva</w:t>
      </w:r>
      <w:r>
        <w:rPr>
          <w:spacing w:val="-1"/>
        </w:rPr>
        <w:t xml:space="preserve"> </w:t>
      </w:r>
      <w:r>
        <w:t>kupní</w:t>
      </w:r>
    </w:p>
    <w:p w:rsidR="002C60C2" w:rsidRDefault="002C60C2">
      <w:pPr>
        <w:pStyle w:val="Zkladntext"/>
        <w:spacing w:before="11"/>
        <w:rPr>
          <w:b/>
        </w:rPr>
      </w:pPr>
    </w:p>
    <w:p w:rsidR="002C60C2" w:rsidRDefault="0027033F">
      <w:pPr>
        <w:pStyle w:val="Odstavecseseznamem"/>
        <w:numPr>
          <w:ilvl w:val="0"/>
          <w:numId w:val="2"/>
        </w:numPr>
        <w:tabs>
          <w:tab w:val="left" w:pos="593"/>
        </w:tabs>
        <w:ind w:right="194"/>
        <w:jc w:val="both"/>
        <w:rPr>
          <w:sz w:val="18"/>
        </w:rPr>
      </w:pPr>
      <w:r>
        <w:rPr>
          <w:sz w:val="18"/>
        </w:rPr>
        <w:t>Pronajímatel jako prodávající a nájemce jako kupující se dohodli, že po dobu účinnosti nájemního vztahu touto smlouvou založeného bude účinná i kupní smlouva, kterou smluvní strany mezi sebou uzavírají dle následujících odstavců tohoto</w:t>
      </w:r>
      <w:r>
        <w:rPr>
          <w:spacing w:val="-1"/>
          <w:sz w:val="18"/>
        </w:rPr>
        <w:t xml:space="preserve"> </w:t>
      </w:r>
      <w:r>
        <w:rPr>
          <w:sz w:val="18"/>
        </w:rPr>
        <w:t>článku.</w:t>
      </w:r>
    </w:p>
    <w:p w:rsidR="002C60C2" w:rsidRDefault="0027033F">
      <w:pPr>
        <w:pStyle w:val="Odstavecseseznamem"/>
        <w:numPr>
          <w:ilvl w:val="0"/>
          <w:numId w:val="2"/>
        </w:numPr>
        <w:tabs>
          <w:tab w:val="left" w:pos="593"/>
        </w:tabs>
        <w:spacing w:before="1"/>
        <w:ind w:right="185"/>
        <w:jc w:val="both"/>
        <w:rPr>
          <w:sz w:val="18"/>
        </w:rPr>
      </w:pPr>
      <w:r>
        <w:pict>
          <v:shape id="_x0000_s1033" style="position:absolute;left:0;text-align:left;margin-left:41.15pt;margin-top:28.2pt;width:513.25pt;height:.1pt;z-index:-251657216;mso-wrap-distance-left:0;mso-wrap-distance-right:0;mso-position-horizontal-relative:page" coordorigin="823,564" coordsize="10265,0" path="m823,564r10265,e" filled="f" strokeweight=".16936mm">
            <v:path arrowok="t"/>
            <w10:wrap type="topAndBottom" anchorx="page"/>
          </v:shape>
        </w:pict>
      </w:r>
      <w:r>
        <w:rPr>
          <w:sz w:val="18"/>
        </w:rPr>
        <w:t xml:space="preserve">Nájemce je </w:t>
      </w:r>
      <w:r>
        <w:rPr>
          <w:sz w:val="18"/>
        </w:rPr>
        <w:t>v této kupní smlouvě kupujícím, pronajímatel je prodávajícím. Kupující se zavazuje odebírat od distribuční sítě prodávajícího na základě průběžných objednávek balené neperlivé vody v barelech</w:t>
      </w:r>
      <w:r>
        <w:rPr>
          <w:spacing w:val="47"/>
          <w:sz w:val="18"/>
        </w:rPr>
        <w:t xml:space="preserve"> </w:t>
      </w:r>
      <w:r>
        <w:rPr>
          <w:sz w:val="18"/>
        </w:rPr>
        <w:t>a</w:t>
      </w:r>
    </w:p>
    <w:p w:rsidR="002C60C2" w:rsidRDefault="0027033F">
      <w:pPr>
        <w:ind w:left="3359" w:right="3316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strana 2</w:t>
      </w:r>
    </w:p>
    <w:p w:rsidR="002C60C2" w:rsidRDefault="002C60C2">
      <w:pPr>
        <w:jc w:val="center"/>
        <w:rPr>
          <w:rFonts w:ascii="Times New Roman"/>
          <w:sz w:val="16"/>
        </w:rPr>
        <w:sectPr w:rsidR="002C60C2">
          <w:pgSz w:w="11910" w:h="16850"/>
          <w:pgMar w:top="780" w:right="660" w:bottom="280" w:left="620" w:header="708" w:footer="708" w:gutter="0"/>
          <w:cols w:space="708"/>
        </w:sectPr>
      </w:pPr>
    </w:p>
    <w:p w:rsidR="002C60C2" w:rsidRDefault="0027033F">
      <w:pPr>
        <w:pStyle w:val="Zkladntext"/>
        <w:spacing w:before="70"/>
        <w:ind w:left="592" w:right="185"/>
        <w:jc w:val="both"/>
      </w:pPr>
      <w:r>
        <w:lastRenderedPageBreak/>
        <w:t>prodávající se zavazuje toto plnění kup</w:t>
      </w:r>
      <w:r>
        <w:t>ujícímu prostřednictvím své distribuční sítě dodávat  do 48 hodin      v pracovní dny. Minimální objednávka je 4ks barelů vody. Objednávky servisu budou vyřízeny maximálně do 48 h. Kupující bude doručovat objednávky prodávajícímu emailem, či telefonicky po</w:t>
      </w:r>
      <w:r>
        <w:t xml:space="preserve">uze na objednávkové kontakty: </w:t>
      </w:r>
      <w:r w:rsidR="007350D4" w:rsidRPr="007350D4">
        <w:rPr>
          <w:b/>
          <w:sz w:val="16"/>
          <w:highlight w:val="yellow"/>
        </w:rPr>
        <w:t>ANONYMIZOVÁNO</w:t>
      </w:r>
      <w:bookmarkStart w:id="0" w:name="_GoBack"/>
      <w:bookmarkEnd w:id="0"/>
      <w:r>
        <w:t xml:space="preserve">, dispečink </w:t>
      </w:r>
      <w:r w:rsidR="007350D4" w:rsidRPr="007350D4">
        <w:rPr>
          <w:b/>
          <w:sz w:val="16"/>
          <w:highlight w:val="yellow"/>
        </w:rPr>
        <w:t>ANONYMIZOVÁNO</w:t>
      </w:r>
      <w:r>
        <w:t>)</w:t>
      </w:r>
    </w:p>
    <w:p w:rsidR="002C60C2" w:rsidRDefault="0027033F">
      <w:pPr>
        <w:pStyle w:val="Odstavecseseznamem"/>
        <w:numPr>
          <w:ilvl w:val="0"/>
          <w:numId w:val="2"/>
        </w:numPr>
        <w:tabs>
          <w:tab w:val="left" w:pos="593"/>
        </w:tabs>
        <w:ind w:right="192"/>
        <w:jc w:val="both"/>
        <w:rPr>
          <w:sz w:val="18"/>
        </w:rPr>
      </w:pPr>
      <w:r>
        <w:rPr>
          <w:sz w:val="18"/>
        </w:rPr>
        <w:t>Ceny jsou uvedeny v ceníku, se kterým se obě strany před podpisem smlouvy seznámily a který tvoří nedílnou přílohu č. 2 této</w:t>
      </w:r>
      <w:r>
        <w:rPr>
          <w:spacing w:val="-3"/>
          <w:sz w:val="18"/>
        </w:rPr>
        <w:t xml:space="preserve"> </w:t>
      </w:r>
      <w:r>
        <w:rPr>
          <w:sz w:val="18"/>
        </w:rPr>
        <w:t>smlouvy.</w:t>
      </w:r>
    </w:p>
    <w:p w:rsidR="002C60C2" w:rsidRDefault="0027033F">
      <w:pPr>
        <w:pStyle w:val="Odstavecseseznamem"/>
        <w:numPr>
          <w:ilvl w:val="0"/>
          <w:numId w:val="2"/>
        </w:numPr>
        <w:tabs>
          <w:tab w:val="left" w:pos="593"/>
        </w:tabs>
        <w:ind w:right="183"/>
        <w:jc w:val="both"/>
        <w:rPr>
          <w:sz w:val="18"/>
        </w:rPr>
      </w:pPr>
      <w:r>
        <w:rPr>
          <w:sz w:val="18"/>
        </w:rPr>
        <w:t>Kupní smlouva se řídí ustanoveními Občanského zákoníku. Kupující bude po celou dobu účinnosti této smlouvy průběžně emailem nebo telefonicky doručovat distribuční síti prodávajícího objednávky balené neperlivé vody v barelech a prodávající je bude vykrývat</w:t>
      </w:r>
      <w:r>
        <w:rPr>
          <w:sz w:val="18"/>
        </w:rPr>
        <w:t xml:space="preserve"> tak, že objednané množství dodá kupujícímu do místa, kde bude umístěn výdejník, nebude-li dohodnuto jinak. Kupní cena za každé jednotlivé plnění v rámci předmětu této kupní smlouvy bude kupujícím hrazena na základě faktury převodem se splatností 14 dní od</w:t>
      </w:r>
      <w:r>
        <w:rPr>
          <w:sz w:val="18"/>
        </w:rPr>
        <w:t xml:space="preserve"> data doručení faktury</w:t>
      </w:r>
      <w:r>
        <w:rPr>
          <w:spacing w:val="-5"/>
          <w:sz w:val="18"/>
        </w:rPr>
        <w:t xml:space="preserve"> </w:t>
      </w:r>
      <w:r>
        <w:rPr>
          <w:sz w:val="18"/>
        </w:rPr>
        <w:t>kupujícímu.</w:t>
      </w:r>
    </w:p>
    <w:p w:rsidR="002C60C2" w:rsidRDefault="0027033F">
      <w:pPr>
        <w:pStyle w:val="Odstavecseseznamem"/>
        <w:numPr>
          <w:ilvl w:val="0"/>
          <w:numId w:val="2"/>
        </w:numPr>
        <w:tabs>
          <w:tab w:val="left" w:pos="593"/>
        </w:tabs>
        <w:ind w:right="195"/>
        <w:jc w:val="both"/>
        <w:rPr>
          <w:sz w:val="18"/>
        </w:rPr>
      </w:pPr>
      <w:r>
        <w:rPr>
          <w:sz w:val="18"/>
        </w:rPr>
        <w:t>Kupující se zavazuje, že po dobu účinnosti této smlouvy nebude odebírat od jiného prodávajícího jinou vodu, která by byla balena v barelech, lahvích nebo jiném balení, z něhož by bylo možno vodu stáčet pomocí</w:t>
      </w:r>
      <w:r>
        <w:rPr>
          <w:spacing w:val="-1"/>
          <w:sz w:val="18"/>
        </w:rPr>
        <w:t xml:space="preserve"> </w:t>
      </w:r>
      <w:r>
        <w:rPr>
          <w:sz w:val="18"/>
        </w:rPr>
        <w:t>výdejníku.</w:t>
      </w:r>
    </w:p>
    <w:p w:rsidR="002C60C2" w:rsidRDefault="0027033F">
      <w:pPr>
        <w:pStyle w:val="Odstavecseseznamem"/>
        <w:numPr>
          <w:ilvl w:val="0"/>
          <w:numId w:val="2"/>
        </w:numPr>
        <w:tabs>
          <w:tab w:val="left" w:pos="593"/>
        </w:tabs>
        <w:ind w:right="182"/>
        <w:jc w:val="both"/>
        <w:rPr>
          <w:sz w:val="18"/>
        </w:rPr>
      </w:pPr>
      <w:r>
        <w:rPr>
          <w:sz w:val="18"/>
        </w:rPr>
        <w:t>P</w:t>
      </w:r>
      <w:r>
        <w:rPr>
          <w:sz w:val="18"/>
        </w:rPr>
        <w:t>okud kupující neodebere od prodávajícího ani jeden barel balené neperlivé či středně mineralizované vody za následujících 6 měsíců od posledního odběru vody, skončí tak platnost této smlouvy ke dni posledního odběru</w:t>
      </w:r>
      <w:r>
        <w:rPr>
          <w:spacing w:val="-1"/>
          <w:sz w:val="18"/>
        </w:rPr>
        <w:t xml:space="preserve"> </w:t>
      </w:r>
      <w:r>
        <w:rPr>
          <w:sz w:val="18"/>
        </w:rPr>
        <w:t>vody.</w:t>
      </w:r>
    </w:p>
    <w:p w:rsidR="002C60C2" w:rsidRDefault="0027033F">
      <w:pPr>
        <w:pStyle w:val="Odstavecseseznamem"/>
        <w:numPr>
          <w:ilvl w:val="0"/>
          <w:numId w:val="2"/>
        </w:numPr>
        <w:tabs>
          <w:tab w:val="left" w:pos="593"/>
        </w:tabs>
        <w:spacing w:line="218" w:lineRule="exact"/>
        <w:ind w:hanging="362"/>
        <w:jc w:val="both"/>
        <w:rPr>
          <w:sz w:val="18"/>
        </w:rPr>
      </w:pPr>
      <w:r>
        <w:rPr>
          <w:sz w:val="18"/>
        </w:rPr>
        <w:t>Skončí-li předčasně účinnost smlou</w:t>
      </w:r>
      <w:r>
        <w:rPr>
          <w:sz w:val="18"/>
        </w:rPr>
        <w:t>vy nájemní, končí ve stejný okamžik také účinnost této kupní</w:t>
      </w:r>
      <w:r>
        <w:rPr>
          <w:spacing w:val="-30"/>
          <w:sz w:val="18"/>
        </w:rPr>
        <w:t xml:space="preserve"> </w:t>
      </w:r>
      <w:r>
        <w:rPr>
          <w:sz w:val="18"/>
        </w:rPr>
        <w:t>smlouvy.</w:t>
      </w:r>
    </w:p>
    <w:p w:rsidR="002C60C2" w:rsidRDefault="002C60C2">
      <w:pPr>
        <w:pStyle w:val="Zkladntext"/>
        <w:spacing w:before="2"/>
      </w:pPr>
    </w:p>
    <w:p w:rsidR="002C60C2" w:rsidRDefault="0027033F">
      <w:pPr>
        <w:pStyle w:val="Nadpis3"/>
        <w:numPr>
          <w:ilvl w:val="0"/>
          <w:numId w:val="8"/>
        </w:numPr>
        <w:tabs>
          <w:tab w:val="left" w:pos="4234"/>
        </w:tabs>
        <w:ind w:left="4233" w:hanging="462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2C60C2" w:rsidRDefault="002C60C2">
      <w:pPr>
        <w:pStyle w:val="Zkladntext"/>
        <w:spacing w:before="11"/>
        <w:rPr>
          <w:b/>
        </w:rPr>
      </w:pPr>
    </w:p>
    <w:p w:rsidR="002C60C2" w:rsidRDefault="0027033F">
      <w:pPr>
        <w:pStyle w:val="Odstavecseseznamem"/>
        <w:numPr>
          <w:ilvl w:val="0"/>
          <w:numId w:val="1"/>
        </w:numPr>
        <w:tabs>
          <w:tab w:val="left" w:pos="593"/>
        </w:tabs>
        <w:ind w:right="188"/>
        <w:jc w:val="both"/>
        <w:rPr>
          <w:sz w:val="18"/>
        </w:rPr>
      </w:pPr>
      <w:r>
        <w:rPr>
          <w:sz w:val="18"/>
        </w:rPr>
        <w:t>Tato smlouva je uzavřena ve dvou stejnopisech, z nichž oba mají povahu originálu. Tvoří ji smlouva nájemní a smlouva kupní, která je obsažena v ust. čl. VI. Pronaj</w:t>
      </w:r>
      <w:r>
        <w:rPr>
          <w:sz w:val="18"/>
        </w:rPr>
        <w:t>ímatel má ve smlouvě kupní postavení prodávajícího a nájemce postavení</w:t>
      </w:r>
      <w:r>
        <w:rPr>
          <w:spacing w:val="-3"/>
          <w:sz w:val="18"/>
        </w:rPr>
        <w:t xml:space="preserve"> </w:t>
      </w:r>
      <w:r>
        <w:rPr>
          <w:sz w:val="18"/>
        </w:rPr>
        <w:t>kupujícího.</w:t>
      </w:r>
    </w:p>
    <w:p w:rsidR="002C60C2" w:rsidRDefault="0027033F">
      <w:pPr>
        <w:pStyle w:val="Odstavecseseznamem"/>
        <w:numPr>
          <w:ilvl w:val="0"/>
          <w:numId w:val="1"/>
        </w:numPr>
        <w:tabs>
          <w:tab w:val="left" w:pos="593"/>
        </w:tabs>
        <w:spacing w:line="218" w:lineRule="exact"/>
        <w:ind w:hanging="362"/>
        <w:jc w:val="both"/>
        <w:rPr>
          <w:sz w:val="18"/>
        </w:rPr>
      </w:pPr>
      <w:r>
        <w:rPr>
          <w:sz w:val="18"/>
        </w:rPr>
        <w:t>Není-li uvedeno jinak, řídí se právní vztahy z ní vyplývající příslušnými ustanoveními Občanského</w:t>
      </w:r>
      <w:r>
        <w:rPr>
          <w:spacing w:val="-24"/>
          <w:sz w:val="18"/>
        </w:rPr>
        <w:t xml:space="preserve"> </w:t>
      </w:r>
      <w:r>
        <w:rPr>
          <w:sz w:val="18"/>
        </w:rPr>
        <w:t>zákoníku.</w:t>
      </w:r>
    </w:p>
    <w:p w:rsidR="002C60C2" w:rsidRDefault="0027033F">
      <w:pPr>
        <w:pStyle w:val="Odstavecseseznamem"/>
        <w:numPr>
          <w:ilvl w:val="0"/>
          <w:numId w:val="1"/>
        </w:numPr>
        <w:tabs>
          <w:tab w:val="left" w:pos="593"/>
        </w:tabs>
        <w:ind w:right="183"/>
        <w:jc w:val="both"/>
        <w:rPr>
          <w:sz w:val="18"/>
        </w:rPr>
      </w:pPr>
      <w:r>
        <w:rPr>
          <w:sz w:val="18"/>
        </w:rPr>
        <w:t>Smluvní strany prohlašují a podpisem potvrzují, že k této smlouvě neexistují žádná vedlejší ujednání, která by nebyla součástí této smlouvy a že v písemném vyhotovení této smlouvy není cokoli přepisováno nebo jinak opravováno. Před podpisem této smlouvy by</w:t>
      </w:r>
      <w:r>
        <w:rPr>
          <w:sz w:val="18"/>
        </w:rPr>
        <w:t>l nájemce řádně seznámen s obsluhou</w:t>
      </w:r>
      <w:r>
        <w:rPr>
          <w:spacing w:val="-16"/>
          <w:sz w:val="18"/>
        </w:rPr>
        <w:t xml:space="preserve"> </w:t>
      </w:r>
      <w:r>
        <w:rPr>
          <w:sz w:val="18"/>
        </w:rPr>
        <w:t>výdejníku.</w:t>
      </w:r>
    </w:p>
    <w:p w:rsidR="002C60C2" w:rsidRDefault="0027033F">
      <w:pPr>
        <w:pStyle w:val="Odstavecseseznamem"/>
        <w:numPr>
          <w:ilvl w:val="0"/>
          <w:numId w:val="1"/>
        </w:numPr>
        <w:tabs>
          <w:tab w:val="left" w:pos="593"/>
        </w:tabs>
        <w:spacing w:before="1"/>
        <w:ind w:right="189"/>
        <w:jc w:val="both"/>
        <w:rPr>
          <w:sz w:val="18"/>
        </w:rPr>
      </w:pPr>
      <w:r>
        <w:rPr>
          <w:sz w:val="18"/>
        </w:rPr>
        <w:t>Nevymahatelnost či neplatnost kteréhokoliv ustanovení této smlouvy nemá vliv na vymahatelnost či platnost zbývajících ustanovení této smlouvy, pokud z povahy nebo obsahu takového ustanovení nevyplývá, že nemůž</w:t>
      </w:r>
      <w:r>
        <w:rPr>
          <w:sz w:val="18"/>
        </w:rPr>
        <w:t>e být odděleno od ostatního obsahu 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smlouvy.</w:t>
      </w:r>
    </w:p>
    <w:p w:rsidR="002C60C2" w:rsidRDefault="0027033F">
      <w:pPr>
        <w:pStyle w:val="Odstavecseseznamem"/>
        <w:numPr>
          <w:ilvl w:val="0"/>
          <w:numId w:val="1"/>
        </w:numPr>
        <w:tabs>
          <w:tab w:val="left" w:pos="593"/>
        </w:tabs>
        <w:spacing w:line="218" w:lineRule="exact"/>
        <w:ind w:hanging="362"/>
        <w:jc w:val="both"/>
        <w:rPr>
          <w:sz w:val="18"/>
        </w:rPr>
      </w:pPr>
      <w:r>
        <w:rPr>
          <w:sz w:val="18"/>
        </w:rPr>
        <w:t>Obě smluvní strany přistupují na podmínky uvedené v této smlouvě a na důkaz toho ji</w:t>
      </w:r>
      <w:r>
        <w:rPr>
          <w:spacing w:val="-24"/>
          <w:sz w:val="18"/>
        </w:rPr>
        <w:t xml:space="preserve"> </w:t>
      </w:r>
      <w:r>
        <w:rPr>
          <w:sz w:val="18"/>
        </w:rPr>
        <w:t>podepisují</w:t>
      </w:r>
    </w:p>
    <w:p w:rsidR="002C60C2" w:rsidRDefault="0027033F">
      <w:pPr>
        <w:pStyle w:val="Odstavecseseznamem"/>
        <w:numPr>
          <w:ilvl w:val="0"/>
          <w:numId w:val="1"/>
        </w:numPr>
        <w:tabs>
          <w:tab w:val="left" w:pos="593"/>
        </w:tabs>
        <w:ind w:hanging="362"/>
        <w:jc w:val="both"/>
        <w:rPr>
          <w:sz w:val="18"/>
        </w:rPr>
      </w:pPr>
      <w:r>
        <w:rPr>
          <w:sz w:val="18"/>
        </w:rPr>
        <w:t>Smluvní strany vylučují aplikaci § 1765 Občanského zákoníku na tuto smlouvu a práva jí</w:t>
      </w:r>
      <w:r>
        <w:rPr>
          <w:spacing w:val="-23"/>
          <w:sz w:val="18"/>
        </w:rPr>
        <w:t xml:space="preserve"> </w:t>
      </w:r>
      <w:r>
        <w:rPr>
          <w:sz w:val="18"/>
        </w:rPr>
        <w:t>založená.</w:t>
      </w:r>
    </w:p>
    <w:p w:rsidR="002C60C2" w:rsidRDefault="0027033F">
      <w:pPr>
        <w:pStyle w:val="Nadpis2"/>
        <w:numPr>
          <w:ilvl w:val="0"/>
          <w:numId w:val="1"/>
        </w:numPr>
        <w:tabs>
          <w:tab w:val="left" w:pos="593"/>
        </w:tabs>
        <w:ind w:right="536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na</w:t>
      </w:r>
      <w:r>
        <w:t>bývá</w:t>
      </w:r>
      <w:r>
        <w:rPr>
          <w:spacing w:val="-3"/>
        </w:rPr>
        <w:t xml:space="preserve"> </w:t>
      </w:r>
      <w:r>
        <w:t>platnosti</w:t>
      </w:r>
      <w:r>
        <w:rPr>
          <w:spacing w:val="-6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jejího</w:t>
      </w:r>
      <w:r>
        <w:rPr>
          <w:spacing w:val="-5"/>
        </w:rPr>
        <w:t xml:space="preserve"> </w:t>
      </w:r>
      <w:r>
        <w:t>podpisu</w:t>
      </w:r>
      <w:r>
        <w:rPr>
          <w:spacing w:val="-5"/>
        </w:rPr>
        <w:t xml:space="preserve"> </w:t>
      </w:r>
      <w:r>
        <w:t>oprávněnými</w:t>
      </w:r>
      <w:r>
        <w:rPr>
          <w:spacing w:val="-4"/>
        </w:rPr>
        <w:t xml:space="preserve"> </w:t>
      </w:r>
      <w:r>
        <w:t>zástupci</w:t>
      </w:r>
      <w:r>
        <w:rPr>
          <w:spacing w:val="-4"/>
        </w:rPr>
        <w:t xml:space="preserve"> </w:t>
      </w:r>
      <w:r>
        <w:t>obou</w:t>
      </w:r>
      <w:r>
        <w:rPr>
          <w:spacing w:val="-6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účinnosti dnem jejího uveřejnění v registru smluv. Uveřejnění v registru smluv provede</w:t>
      </w:r>
      <w:r>
        <w:rPr>
          <w:spacing w:val="-9"/>
        </w:rPr>
        <w:t xml:space="preserve"> </w:t>
      </w:r>
      <w:r>
        <w:t>nájemce,</w:t>
      </w:r>
    </w:p>
    <w:p w:rsidR="002C60C2" w:rsidRDefault="002C60C2">
      <w:pPr>
        <w:pStyle w:val="Zkladntext"/>
        <w:rPr>
          <w:rFonts w:ascii="Arial"/>
          <w:sz w:val="22"/>
        </w:rPr>
      </w:pPr>
    </w:p>
    <w:p w:rsidR="002C60C2" w:rsidRDefault="002C60C2">
      <w:pPr>
        <w:pStyle w:val="Zkladntext"/>
        <w:rPr>
          <w:rFonts w:ascii="Arial"/>
          <w:sz w:val="22"/>
        </w:rPr>
      </w:pPr>
    </w:p>
    <w:p w:rsidR="002C60C2" w:rsidRDefault="002C60C2">
      <w:pPr>
        <w:pStyle w:val="Zkladntext"/>
        <w:spacing w:before="3"/>
        <w:rPr>
          <w:rFonts w:ascii="Arial"/>
          <w:sz w:val="32"/>
        </w:rPr>
      </w:pPr>
    </w:p>
    <w:p w:rsidR="002C60C2" w:rsidRDefault="0027033F">
      <w:pPr>
        <w:pStyle w:val="Zkladntext"/>
        <w:ind w:left="3359" w:right="3314"/>
        <w:jc w:val="center"/>
      </w:pPr>
      <w:r>
        <w:pict>
          <v:group id="_x0000_s1028" style="position:absolute;left:0;text-align:left;margin-left:152.2pt;margin-top:56.75pt;width:34.05pt;height:34.05pt;z-index:-252113920;mso-position-horizontal-relative:page" coordorigin="3044,1135" coordsize="681,681">
            <v:shape id="_x0000_s1032" style="position:absolute;left:3044;top:1135;width:681;height:681" coordorigin="3044,1135" coordsize="681,681" o:spt="100" adj="0,,0" path="m3550,1135r-497,l3044,1144r,663l3053,1816r663,l3725,1807r,-42l3674,1765,3296,1625r-9,-84l3266,1465r-32,-71l3193,1327r-50,-69l3085,1186r465,l3550,1135xm3550,1186r-465,l3136,1207r61,32l3266,1278r71,45l3409,1371r69,50l3540,1469r52,45l3610,1574r22,64l3654,1703r20,62l3725,1765r,-455l3596,1310r-19,-5l3563,1295r-9,-15l3551,1258r-1,-72xm3581,1135r,130l3596,1275r129,l3581,1135xe" fillcolor="#e6cee6" stroked="f">
              <v:stroke joinstyle="round"/>
              <v:formulas/>
              <v:path arrowok="t" o:connecttype="segments"/>
            </v:shape>
            <v:shape id="_x0000_s1031" style="position:absolute;left:3085;top:1185;width:589;height:580" coordorigin="3085,1186" coordsize="589,580" path="m3085,1186r58,72l3193,1327r41,67l3266,1465r21,76l3296,1626r378,139l3654,1703r-22,-65l3610,1574r-18,-59l3540,1469r-62,-48l3409,1371r-72,-48l3266,1278r-69,-39l3136,1207r-51,-21xe" fillcolor="#f0d7f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405;top:1509;width:174;height:162">
              <v:imagedata r:id="rId14" o:title=""/>
            </v:shape>
            <v:shape id="_x0000_s1029" style="position:absolute;left:3198;top:1244;width:373;height:522" coordorigin="3199,1244" coordsize="373,522" o:spt="100" adj="0,,0" path="m3416,1244r-49,3l3319,1265r-43,29l3239,1330r-16,27l3210,1387r-9,31l3199,1448r14,60l3253,1560r56,36l3373,1610r25,-4l3426,1598r24,-10l3466,1578r28,-25l3501,1542r-94,l3360,1536r-37,-30l3303,1458r11,-58l3342,1363r41,-22l3431,1334r57,l3477,1321r-26,-20l3424,1288r90,l3514,1288r-48,-32l3416,1244xm3469,1396r-8,32l3441,1454r-28,16l3380,1471r10,19l3405,1504r23,9l3460,1517r-53,25l3501,1542r14,-20l3528,1491r4,-29l3530,1439r-32,l3492,1426r-6,-12l3479,1403r-10,-7xm3505,1385r-2,16l3501,1417r-1,11l3498,1439r32,l3530,1438r-5,-21l3516,1399r-11,-14xm3514,1288r-90,l3472,1298r46,25l3553,1353r18,30l3551,1333r-37,-45xm3488,1334r-57,l3453,1335r24,10l3497,1359r10,12l3498,1346r-10,-12xm3298,1662r-45,l3253,1766r23,l3276,1730r22,l3322,1719r3,-10l3276,1709r,-27l3325,1682r-3,-10l3298,1662xm3325,1682r-27,l3309,1686r3,10l3309,1705r-11,4l3325,1709r5,-13l3325,1682xm3394,1662r-46,l3348,1766r46,l3427,1750r1,-4l3373,1746r,-64l3428,1682r-1,-4l3394,1662xm3428,1682r-34,l3414,1692r6,22l3414,1736r-20,10l3428,1746r10,-32l3428,1682xm3534,1662r-74,l3460,1766r25,l3485,1723r49,l3534,1703r-49,l3485,1682r49,l3534,1662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val="cs-CZ" w:eastAsia="cs-CZ"/>
        </w:rPr>
        <w:drawing>
          <wp:anchor distT="0" distB="0" distL="0" distR="0" simplePos="0" relativeHeight="251203584" behindDoc="1" locked="0" layoutInCell="1" allowOverlap="1">
            <wp:simplePos x="0" y="0"/>
            <wp:positionH relativeFrom="page">
              <wp:posOffset>4053870</wp:posOffset>
            </wp:positionH>
            <wp:positionV relativeFrom="paragraph">
              <wp:posOffset>579550</wp:posOffset>
            </wp:positionV>
            <wp:extent cx="485394" cy="476726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94" cy="476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Praze dne</w:t>
      </w:r>
      <w:r>
        <w:rPr>
          <w:spacing w:val="59"/>
        </w:rPr>
        <w:t xml:space="preserve"> </w:t>
      </w:r>
      <w:r>
        <w:t>31.7.2025</w:t>
      </w:r>
    </w:p>
    <w:p w:rsidR="002C60C2" w:rsidRDefault="002C60C2">
      <w:pPr>
        <w:pStyle w:val="Zkladntext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5173"/>
      </w:tblGrid>
      <w:tr w:rsidR="002C60C2">
        <w:trPr>
          <w:trHeight w:val="2138"/>
        </w:trPr>
        <w:tc>
          <w:tcPr>
            <w:tcW w:w="5173" w:type="dxa"/>
          </w:tcPr>
          <w:p w:rsidR="002C60C2" w:rsidRDefault="007350D4">
            <w:pPr>
              <w:pStyle w:val="TableParagraph"/>
              <w:spacing w:line="190" w:lineRule="atLeast"/>
              <w:ind w:left="1212" w:right="891" w:hanging="49"/>
              <w:jc w:val="center"/>
              <w:rPr>
                <w:sz w:val="16"/>
              </w:rPr>
            </w:pPr>
            <w:r w:rsidRPr="007350D4">
              <w:rPr>
                <w:b/>
                <w:sz w:val="16"/>
                <w:highlight w:val="yellow"/>
              </w:rPr>
              <w:t>ANONYMIZOVÁNO</w:t>
            </w:r>
            <w:r>
              <w:rPr>
                <w:sz w:val="16"/>
              </w:rPr>
              <w:t xml:space="preserve"> </w:t>
            </w:r>
            <w:r w:rsidR="0027033F">
              <w:rPr>
                <w:sz w:val="16"/>
              </w:rPr>
              <w:t>…………………………………………………………… jméno a příjmení (hůlkovým písmem)</w:t>
            </w:r>
          </w:p>
        </w:tc>
        <w:tc>
          <w:tcPr>
            <w:tcW w:w="5173" w:type="dxa"/>
          </w:tcPr>
          <w:p w:rsidR="002C60C2" w:rsidRDefault="002C60C2">
            <w:pPr>
              <w:pStyle w:val="TableParagraph"/>
            </w:pPr>
          </w:p>
          <w:p w:rsidR="002C60C2" w:rsidRDefault="007350D4">
            <w:pPr>
              <w:pStyle w:val="TableParagraph"/>
              <w:spacing w:line="174" w:lineRule="exact"/>
              <w:ind w:left="1060"/>
              <w:rPr>
                <w:sz w:val="16"/>
              </w:rPr>
            </w:pPr>
            <w:r w:rsidRPr="007350D4">
              <w:rPr>
                <w:b/>
                <w:sz w:val="16"/>
                <w:highlight w:val="yellow"/>
              </w:rPr>
              <w:t>ANONYMIZOVÁNO</w:t>
            </w:r>
          </w:p>
        </w:tc>
      </w:tr>
      <w:tr w:rsidR="002C60C2">
        <w:trPr>
          <w:trHeight w:val="391"/>
        </w:trPr>
        <w:tc>
          <w:tcPr>
            <w:tcW w:w="5173" w:type="dxa"/>
          </w:tcPr>
          <w:p w:rsidR="002C60C2" w:rsidRDefault="002C60C2">
            <w:pPr>
              <w:pStyle w:val="TableParagraph"/>
              <w:spacing w:before="2"/>
              <w:rPr>
                <w:sz w:val="16"/>
              </w:rPr>
            </w:pPr>
          </w:p>
          <w:p w:rsidR="002C60C2" w:rsidRDefault="0027033F">
            <w:pPr>
              <w:pStyle w:val="TableParagraph"/>
              <w:spacing w:line="174" w:lineRule="exact"/>
              <w:ind w:left="950"/>
              <w:rPr>
                <w:sz w:val="16"/>
              </w:rPr>
            </w:pPr>
            <w:r>
              <w:rPr>
                <w:sz w:val="16"/>
              </w:rPr>
              <w:t>Pronajímatel – Watercooler System s.r.o</w:t>
            </w:r>
          </w:p>
        </w:tc>
        <w:tc>
          <w:tcPr>
            <w:tcW w:w="5173" w:type="dxa"/>
          </w:tcPr>
          <w:p w:rsidR="002C60C2" w:rsidRDefault="002C60C2">
            <w:pPr>
              <w:pStyle w:val="TableParagraph"/>
              <w:spacing w:before="2"/>
              <w:rPr>
                <w:sz w:val="16"/>
              </w:rPr>
            </w:pPr>
          </w:p>
          <w:p w:rsidR="002C60C2" w:rsidRDefault="0027033F">
            <w:pPr>
              <w:pStyle w:val="TableParagraph"/>
              <w:spacing w:line="174" w:lineRule="exact"/>
              <w:ind w:left="873"/>
              <w:rPr>
                <w:sz w:val="16"/>
              </w:rPr>
            </w:pPr>
            <w:r>
              <w:rPr>
                <w:sz w:val="16"/>
              </w:rPr>
              <w:t>Nájemce - Národní ústav duševního zdraví</w:t>
            </w:r>
          </w:p>
        </w:tc>
      </w:tr>
    </w:tbl>
    <w:p w:rsidR="002C60C2" w:rsidRDefault="002C60C2">
      <w:pPr>
        <w:pStyle w:val="Zkladntext"/>
        <w:rPr>
          <w:sz w:val="20"/>
        </w:rPr>
      </w:pPr>
    </w:p>
    <w:p w:rsidR="002C60C2" w:rsidRDefault="002C60C2">
      <w:pPr>
        <w:pStyle w:val="Zkladntext"/>
        <w:rPr>
          <w:sz w:val="20"/>
        </w:rPr>
      </w:pPr>
    </w:p>
    <w:p w:rsidR="002C60C2" w:rsidRDefault="002C60C2">
      <w:pPr>
        <w:pStyle w:val="Zkladntext"/>
        <w:rPr>
          <w:sz w:val="20"/>
        </w:rPr>
      </w:pPr>
    </w:p>
    <w:p w:rsidR="002C60C2" w:rsidRDefault="002C60C2">
      <w:pPr>
        <w:pStyle w:val="Zkladntext"/>
        <w:rPr>
          <w:sz w:val="20"/>
        </w:rPr>
      </w:pPr>
    </w:p>
    <w:p w:rsidR="002C60C2" w:rsidRDefault="002C60C2">
      <w:pPr>
        <w:pStyle w:val="Zkladntext"/>
        <w:rPr>
          <w:sz w:val="20"/>
        </w:rPr>
      </w:pPr>
    </w:p>
    <w:p w:rsidR="002C60C2" w:rsidRDefault="002C60C2">
      <w:pPr>
        <w:pStyle w:val="Zkladntext"/>
        <w:rPr>
          <w:sz w:val="20"/>
        </w:rPr>
      </w:pPr>
    </w:p>
    <w:p w:rsidR="002C60C2" w:rsidRDefault="002C60C2">
      <w:pPr>
        <w:pStyle w:val="Zkladntext"/>
        <w:rPr>
          <w:sz w:val="20"/>
        </w:rPr>
      </w:pPr>
    </w:p>
    <w:p w:rsidR="002C60C2" w:rsidRDefault="002C60C2">
      <w:pPr>
        <w:pStyle w:val="Zkladntext"/>
        <w:rPr>
          <w:sz w:val="20"/>
        </w:rPr>
      </w:pPr>
    </w:p>
    <w:p w:rsidR="002C60C2" w:rsidRDefault="0027033F">
      <w:pPr>
        <w:pStyle w:val="Zkladntext"/>
        <w:spacing w:before="8"/>
        <w:rPr>
          <w:sz w:val="15"/>
        </w:rPr>
      </w:pPr>
      <w:r>
        <w:pict>
          <v:shape id="_x0000_s1027" style="position:absolute;margin-left:41.15pt;margin-top:11.75pt;width:513.25pt;height:.1pt;z-index:-251656192;mso-wrap-distance-left:0;mso-wrap-distance-right:0;mso-position-horizontal-relative:page" coordorigin="823,235" coordsize="10265,0" path="m823,235r10265,e" filled="f" strokeweight=".16936mm">
            <v:path arrowok="t"/>
            <w10:wrap type="topAndBottom" anchorx="page"/>
          </v:shape>
        </w:pict>
      </w:r>
    </w:p>
    <w:p w:rsidR="002C60C2" w:rsidRDefault="0027033F">
      <w:pPr>
        <w:ind w:left="3359" w:right="3316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strana 3</w:t>
      </w:r>
    </w:p>
    <w:p w:rsidR="002C60C2" w:rsidRDefault="002C60C2">
      <w:pPr>
        <w:jc w:val="center"/>
        <w:rPr>
          <w:rFonts w:ascii="Times New Roman"/>
          <w:sz w:val="16"/>
        </w:rPr>
        <w:sectPr w:rsidR="002C60C2">
          <w:pgSz w:w="11910" w:h="16850"/>
          <w:pgMar w:top="780" w:right="660" w:bottom="280" w:left="620" w:header="708" w:footer="708" w:gutter="0"/>
          <w:cols w:space="708"/>
        </w:sectPr>
      </w:pPr>
    </w:p>
    <w:p w:rsidR="002C60C2" w:rsidRDefault="007350D4">
      <w:pPr>
        <w:rPr>
          <w:rFonts w:ascii="Arial" w:hAnsi="Arial"/>
          <w:sz w:val="16"/>
        </w:rPr>
        <w:sectPr w:rsidR="002C60C2" w:rsidSect="007350D4">
          <w:pgSz w:w="11900" w:h="16840"/>
          <w:pgMar w:top="820" w:right="1400" w:bottom="280" w:left="300" w:header="708" w:footer="708" w:gutter="0"/>
          <w:cols w:num="2" w:space="708" w:equalWidth="0">
            <w:col w:w="4941" w:space="1639"/>
            <w:col w:w="3620"/>
          </w:cols>
        </w:sectPr>
      </w:pPr>
      <w:r w:rsidRPr="007350D4">
        <w:rPr>
          <w:b/>
          <w:sz w:val="16"/>
          <w:highlight w:val="yellow"/>
        </w:rPr>
        <w:lastRenderedPageBreak/>
        <w:t>ANONYMIZOVÁNO</w:t>
      </w:r>
    </w:p>
    <w:p w:rsidR="002C60C2" w:rsidRDefault="0027033F">
      <w:pPr>
        <w:pStyle w:val="Zkladntext"/>
        <w:rPr>
          <w:rFonts w:ascii="Arial"/>
          <w:sz w:val="20"/>
        </w:rPr>
      </w:pPr>
      <w:r>
        <w:pict>
          <v:line id="_x0000_s1026" style="position:absolute;z-index:251664384;mso-position-horizontal-relative:page;mso-position-vertical-relative:page" from="20pt,80.5pt" to="575pt,80.5pt" strokeweight="1pt">
            <w10:wrap anchorx="page" anchory="page"/>
          </v:line>
        </w:pict>
      </w: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rPr>
          <w:rFonts w:ascii="Arial"/>
          <w:sz w:val="20"/>
        </w:rPr>
      </w:pPr>
    </w:p>
    <w:p w:rsidR="002C60C2" w:rsidRDefault="002C60C2">
      <w:pPr>
        <w:pStyle w:val="Zkladntext"/>
        <w:spacing w:before="8"/>
        <w:rPr>
          <w:rFonts w:ascii="Arial"/>
          <w:sz w:val="24"/>
        </w:rPr>
      </w:pPr>
    </w:p>
    <w:p w:rsidR="002C60C2" w:rsidRDefault="0027033F">
      <w:pPr>
        <w:pStyle w:val="Nadpis2"/>
        <w:spacing w:before="103"/>
        <w:ind w:left="1302"/>
        <w:jc w:val="center"/>
      </w:pPr>
      <w:r>
        <w:rPr>
          <w:w w:val="92"/>
        </w:rPr>
        <w:t>1</w:t>
      </w:r>
    </w:p>
    <w:p w:rsidR="002C60C2" w:rsidRDefault="002C60C2">
      <w:pPr>
        <w:jc w:val="center"/>
        <w:sectPr w:rsidR="002C60C2">
          <w:type w:val="continuous"/>
          <w:pgSz w:w="11900" w:h="16840"/>
          <w:pgMar w:top="820" w:right="1400" w:bottom="280" w:left="300" w:header="708" w:footer="708" w:gutter="0"/>
          <w:cols w:space="708"/>
        </w:sectPr>
      </w:pPr>
    </w:p>
    <w:p w:rsidR="002C60C2" w:rsidRDefault="007350D4">
      <w:pPr>
        <w:pStyle w:val="Zkladntext"/>
        <w:spacing w:before="7"/>
        <w:rPr>
          <w:rFonts w:ascii="Times New Roman"/>
          <w:sz w:val="21"/>
        </w:rPr>
      </w:pPr>
      <w:r w:rsidRPr="007350D4">
        <w:rPr>
          <w:b/>
          <w:sz w:val="16"/>
          <w:highlight w:val="yellow"/>
        </w:rPr>
        <w:lastRenderedPageBreak/>
        <w:t>ANONYMIZOVÁNO</w:t>
      </w:r>
      <w:r>
        <w:rPr>
          <w:noProof/>
          <w:lang w:val="cs-CZ" w:eastAsia="cs-CZ"/>
        </w:rPr>
        <w:t xml:space="preserve"> </w:t>
      </w:r>
    </w:p>
    <w:sectPr w:rsidR="002C60C2">
      <w:pgSz w:w="11910" w:h="16840"/>
      <w:pgMar w:top="1520" w:right="80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3F" w:rsidRDefault="0027033F" w:rsidP="0027033F">
      <w:r>
        <w:separator/>
      </w:r>
    </w:p>
  </w:endnote>
  <w:endnote w:type="continuationSeparator" w:id="0">
    <w:p w:rsidR="0027033F" w:rsidRDefault="0027033F" w:rsidP="0027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F" w:rsidRDefault="002703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F" w:rsidRDefault="002703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F" w:rsidRDefault="002703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3F" w:rsidRDefault="0027033F" w:rsidP="0027033F">
      <w:r>
        <w:separator/>
      </w:r>
    </w:p>
  </w:footnote>
  <w:footnote w:type="continuationSeparator" w:id="0">
    <w:p w:rsidR="0027033F" w:rsidRDefault="0027033F" w:rsidP="0027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F" w:rsidRDefault="002703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F" w:rsidRDefault="002703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3F" w:rsidRDefault="002703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DC9"/>
    <w:multiLevelType w:val="hybridMultilevel"/>
    <w:tmpl w:val="D5A84D2A"/>
    <w:lvl w:ilvl="0" w:tplc="CAC211E4">
      <w:start w:val="1"/>
      <w:numFmt w:val="decimal"/>
      <w:lvlText w:val="%1."/>
      <w:lvlJc w:val="left"/>
      <w:pPr>
        <w:ind w:left="592" w:hanging="361"/>
        <w:jc w:val="left"/>
      </w:pPr>
      <w:rPr>
        <w:rFonts w:ascii="Verdana" w:eastAsia="Verdana" w:hAnsi="Verdana" w:cs="Verdana" w:hint="default"/>
        <w:spacing w:val="-11"/>
        <w:w w:val="100"/>
        <w:sz w:val="18"/>
        <w:szCs w:val="18"/>
      </w:rPr>
    </w:lvl>
    <w:lvl w:ilvl="1" w:tplc="935E2A6C">
      <w:numFmt w:val="bullet"/>
      <w:lvlText w:val="•"/>
      <w:lvlJc w:val="left"/>
      <w:pPr>
        <w:ind w:left="1602" w:hanging="361"/>
      </w:pPr>
      <w:rPr>
        <w:rFonts w:hint="default"/>
      </w:rPr>
    </w:lvl>
    <w:lvl w:ilvl="2" w:tplc="C53290B8">
      <w:numFmt w:val="bullet"/>
      <w:lvlText w:val="•"/>
      <w:lvlJc w:val="left"/>
      <w:pPr>
        <w:ind w:left="2605" w:hanging="361"/>
      </w:pPr>
      <w:rPr>
        <w:rFonts w:hint="default"/>
      </w:rPr>
    </w:lvl>
    <w:lvl w:ilvl="3" w:tplc="4BAECFF0">
      <w:numFmt w:val="bullet"/>
      <w:lvlText w:val="•"/>
      <w:lvlJc w:val="left"/>
      <w:pPr>
        <w:ind w:left="3607" w:hanging="361"/>
      </w:pPr>
      <w:rPr>
        <w:rFonts w:hint="default"/>
      </w:rPr>
    </w:lvl>
    <w:lvl w:ilvl="4" w:tplc="DDF0FB7A">
      <w:numFmt w:val="bullet"/>
      <w:lvlText w:val="•"/>
      <w:lvlJc w:val="left"/>
      <w:pPr>
        <w:ind w:left="4610" w:hanging="361"/>
      </w:pPr>
      <w:rPr>
        <w:rFonts w:hint="default"/>
      </w:rPr>
    </w:lvl>
    <w:lvl w:ilvl="5" w:tplc="1B6ECD6E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AA088368">
      <w:numFmt w:val="bullet"/>
      <w:lvlText w:val="•"/>
      <w:lvlJc w:val="left"/>
      <w:pPr>
        <w:ind w:left="6615" w:hanging="361"/>
      </w:pPr>
      <w:rPr>
        <w:rFonts w:hint="default"/>
      </w:rPr>
    </w:lvl>
    <w:lvl w:ilvl="7" w:tplc="CC3CB7E8">
      <w:numFmt w:val="bullet"/>
      <w:lvlText w:val="•"/>
      <w:lvlJc w:val="left"/>
      <w:pPr>
        <w:ind w:left="7618" w:hanging="361"/>
      </w:pPr>
      <w:rPr>
        <w:rFonts w:hint="default"/>
      </w:rPr>
    </w:lvl>
    <w:lvl w:ilvl="8" w:tplc="F0382480">
      <w:numFmt w:val="bullet"/>
      <w:lvlText w:val="•"/>
      <w:lvlJc w:val="left"/>
      <w:pPr>
        <w:ind w:left="8621" w:hanging="361"/>
      </w:pPr>
      <w:rPr>
        <w:rFonts w:hint="default"/>
      </w:rPr>
    </w:lvl>
  </w:abstractNum>
  <w:abstractNum w:abstractNumId="1" w15:restartNumberingAfterBreak="0">
    <w:nsid w:val="261D637D"/>
    <w:multiLevelType w:val="hybridMultilevel"/>
    <w:tmpl w:val="E7400D4E"/>
    <w:lvl w:ilvl="0" w:tplc="EA6CCD34">
      <w:start w:val="1"/>
      <w:numFmt w:val="decimal"/>
      <w:lvlText w:val="%1."/>
      <w:lvlJc w:val="left"/>
      <w:pPr>
        <w:ind w:left="592" w:hanging="361"/>
        <w:jc w:val="left"/>
      </w:pPr>
      <w:rPr>
        <w:rFonts w:hint="default"/>
        <w:spacing w:val="-26"/>
        <w:w w:val="100"/>
      </w:rPr>
    </w:lvl>
    <w:lvl w:ilvl="1" w:tplc="D772AA44">
      <w:numFmt w:val="bullet"/>
      <w:lvlText w:val="•"/>
      <w:lvlJc w:val="left"/>
      <w:pPr>
        <w:ind w:left="4460" w:hanging="361"/>
      </w:pPr>
      <w:rPr>
        <w:rFonts w:hint="default"/>
      </w:rPr>
    </w:lvl>
    <w:lvl w:ilvl="2" w:tplc="8760DFC8">
      <w:numFmt w:val="bullet"/>
      <w:lvlText w:val="•"/>
      <w:lvlJc w:val="left"/>
      <w:pPr>
        <w:ind w:left="5145" w:hanging="361"/>
      </w:pPr>
      <w:rPr>
        <w:rFonts w:hint="default"/>
      </w:rPr>
    </w:lvl>
    <w:lvl w:ilvl="3" w:tplc="85B27564">
      <w:numFmt w:val="bullet"/>
      <w:lvlText w:val="•"/>
      <w:lvlJc w:val="left"/>
      <w:pPr>
        <w:ind w:left="5830" w:hanging="361"/>
      </w:pPr>
      <w:rPr>
        <w:rFonts w:hint="default"/>
      </w:rPr>
    </w:lvl>
    <w:lvl w:ilvl="4" w:tplc="F0463A7C">
      <w:numFmt w:val="bullet"/>
      <w:lvlText w:val="•"/>
      <w:lvlJc w:val="left"/>
      <w:pPr>
        <w:ind w:left="6515" w:hanging="361"/>
      </w:pPr>
      <w:rPr>
        <w:rFonts w:hint="default"/>
      </w:rPr>
    </w:lvl>
    <w:lvl w:ilvl="5" w:tplc="01FEC662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492EE5A0">
      <w:numFmt w:val="bullet"/>
      <w:lvlText w:val="•"/>
      <w:lvlJc w:val="left"/>
      <w:pPr>
        <w:ind w:left="7885" w:hanging="361"/>
      </w:pPr>
      <w:rPr>
        <w:rFonts w:hint="default"/>
      </w:rPr>
    </w:lvl>
    <w:lvl w:ilvl="7" w:tplc="D7CAF2A8">
      <w:numFmt w:val="bullet"/>
      <w:lvlText w:val="•"/>
      <w:lvlJc w:val="left"/>
      <w:pPr>
        <w:ind w:left="8570" w:hanging="361"/>
      </w:pPr>
      <w:rPr>
        <w:rFonts w:hint="default"/>
      </w:rPr>
    </w:lvl>
    <w:lvl w:ilvl="8" w:tplc="A9EAE45A">
      <w:numFmt w:val="bullet"/>
      <w:lvlText w:val="•"/>
      <w:lvlJc w:val="left"/>
      <w:pPr>
        <w:ind w:left="9256" w:hanging="361"/>
      </w:pPr>
      <w:rPr>
        <w:rFonts w:hint="default"/>
      </w:rPr>
    </w:lvl>
  </w:abstractNum>
  <w:abstractNum w:abstractNumId="2" w15:restartNumberingAfterBreak="0">
    <w:nsid w:val="2D1B0F6A"/>
    <w:multiLevelType w:val="hybridMultilevel"/>
    <w:tmpl w:val="2C14458E"/>
    <w:lvl w:ilvl="0" w:tplc="E3BA113A">
      <w:start w:val="1"/>
      <w:numFmt w:val="decimal"/>
      <w:lvlText w:val="%1."/>
      <w:lvlJc w:val="left"/>
      <w:pPr>
        <w:ind w:left="592" w:hanging="361"/>
        <w:jc w:val="left"/>
      </w:pPr>
      <w:rPr>
        <w:rFonts w:ascii="Verdana" w:eastAsia="Verdana" w:hAnsi="Verdana" w:cs="Verdana" w:hint="default"/>
        <w:spacing w:val="-32"/>
        <w:w w:val="100"/>
        <w:sz w:val="18"/>
        <w:szCs w:val="18"/>
      </w:rPr>
    </w:lvl>
    <w:lvl w:ilvl="1" w:tplc="514EA218">
      <w:start w:val="1"/>
      <w:numFmt w:val="lowerLetter"/>
      <w:lvlText w:val="%2)"/>
      <w:lvlJc w:val="left"/>
      <w:pPr>
        <w:ind w:left="940" w:hanging="348"/>
        <w:jc w:val="left"/>
      </w:pPr>
      <w:rPr>
        <w:rFonts w:ascii="Verdana" w:eastAsia="Verdana" w:hAnsi="Verdana" w:cs="Verdana" w:hint="default"/>
        <w:spacing w:val="-32"/>
        <w:w w:val="100"/>
        <w:sz w:val="18"/>
        <w:szCs w:val="18"/>
      </w:rPr>
    </w:lvl>
    <w:lvl w:ilvl="2" w:tplc="035AD3CC">
      <w:numFmt w:val="bullet"/>
      <w:lvlText w:val="•"/>
      <w:lvlJc w:val="left"/>
      <w:pPr>
        <w:ind w:left="2016" w:hanging="348"/>
      </w:pPr>
      <w:rPr>
        <w:rFonts w:hint="default"/>
      </w:rPr>
    </w:lvl>
    <w:lvl w:ilvl="3" w:tplc="E66EA266">
      <w:numFmt w:val="bullet"/>
      <w:lvlText w:val="•"/>
      <w:lvlJc w:val="left"/>
      <w:pPr>
        <w:ind w:left="3092" w:hanging="348"/>
      </w:pPr>
      <w:rPr>
        <w:rFonts w:hint="default"/>
      </w:rPr>
    </w:lvl>
    <w:lvl w:ilvl="4" w:tplc="D0386A40">
      <w:numFmt w:val="bullet"/>
      <w:lvlText w:val="•"/>
      <w:lvlJc w:val="left"/>
      <w:pPr>
        <w:ind w:left="4168" w:hanging="348"/>
      </w:pPr>
      <w:rPr>
        <w:rFonts w:hint="default"/>
      </w:rPr>
    </w:lvl>
    <w:lvl w:ilvl="5" w:tplc="766442BE">
      <w:numFmt w:val="bullet"/>
      <w:lvlText w:val="•"/>
      <w:lvlJc w:val="left"/>
      <w:pPr>
        <w:ind w:left="5245" w:hanging="348"/>
      </w:pPr>
      <w:rPr>
        <w:rFonts w:hint="default"/>
      </w:rPr>
    </w:lvl>
    <w:lvl w:ilvl="6" w:tplc="F0A6B718">
      <w:numFmt w:val="bullet"/>
      <w:lvlText w:val="•"/>
      <w:lvlJc w:val="left"/>
      <w:pPr>
        <w:ind w:left="6321" w:hanging="348"/>
      </w:pPr>
      <w:rPr>
        <w:rFonts w:hint="default"/>
      </w:rPr>
    </w:lvl>
    <w:lvl w:ilvl="7" w:tplc="C3D8F0D0">
      <w:numFmt w:val="bullet"/>
      <w:lvlText w:val="•"/>
      <w:lvlJc w:val="left"/>
      <w:pPr>
        <w:ind w:left="7397" w:hanging="348"/>
      </w:pPr>
      <w:rPr>
        <w:rFonts w:hint="default"/>
      </w:rPr>
    </w:lvl>
    <w:lvl w:ilvl="8" w:tplc="1B562500">
      <w:numFmt w:val="bullet"/>
      <w:lvlText w:val="•"/>
      <w:lvlJc w:val="left"/>
      <w:pPr>
        <w:ind w:left="8473" w:hanging="348"/>
      </w:pPr>
      <w:rPr>
        <w:rFonts w:hint="default"/>
      </w:rPr>
    </w:lvl>
  </w:abstractNum>
  <w:abstractNum w:abstractNumId="3" w15:restartNumberingAfterBreak="0">
    <w:nsid w:val="3B47579D"/>
    <w:multiLevelType w:val="hybridMultilevel"/>
    <w:tmpl w:val="B31E1A44"/>
    <w:lvl w:ilvl="0" w:tplc="F2AEC6B2">
      <w:start w:val="1"/>
      <w:numFmt w:val="decimal"/>
      <w:lvlText w:val="%1."/>
      <w:lvlJc w:val="left"/>
      <w:pPr>
        <w:ind w:left="592" w:hanging="361"/>
        <w:jc w:val="left"/>
      </w:pPr>
      <w:rPr>
        <w:rFonts w:hint="default"/>
        <w:spacing w:val="-11"/>
        <w:w w:val="100"/>
      </w:rPr>
    </w:lvl>
    <w:lvl w:ilvl="1" w:tplc="2AFAFCE4">
      <w:numFmt w:val="bullet"/>
      <w:lvlText w:val="•"/>
      <w:lvlJc w:val="left"/>
      <w:pPr>
        <w:ind w:left="1602" w:hanging="361"/>
      </w:pPr>
      <w:rPr>
        <w:rFonts w:hint="default"/>
      </w:rPr>
    </w:lvl>
    <w:lvl w:ilvl="2" w:tplc="4B56A7B2">
      <w:numFmt w:val="bullet"/>
      <w:lvlText w:val="•"/>
      <w:lvlJc w:val="left"/>
      <w:pPr>
        <w:ind w:left="2605" w:hanging="361"/>
      </w:pPr>
      <w:rPr>
        <w:rFonts w:hint="default"/>
      </w:rPr>
    </w:lvl>
    <w:lvl w:ilvl="3" w:tplc="0C66E144">
      <w:numFmt w:val="bullet"/>
      <w:lvlText w:val="•"/>
      <w:lvlJc w:val="left"/>
      <w:pPr>
        <w:ind w:left="3607" w:hanging="361"/>
      </w:pPr>
      <w:rPr>
        <w:rFonts w:hint="default"/>
      </w:rPr>
    </w:lvl>
    <w:lvl w:ilvl="4" w:tplc="A5A06B30">
      <w:numFmt w:val="bullet"/>
      <w:lvlText w:val="•"/>
      <w:lvlJc w:val="left"/>
      <w:pPr>
        <w:ind w:left="4610" w:hanging="361"/>
      </w:pPr>
      <w:rPr>
        <w:rFonts w:hint="default"/>
      </w:rPr>
    </w:lvl>
    <w:lvl w:ilvl="5" w:tplc="7D0A62F2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46A6D59E">
      <w:numFmt w:val="bullet"/>
      <w:lvlText w:val="•"/>
      <w:lvlJc w:val="left"/>
      <w:pPr>
        <w:ind w:left="6615" w:hanging="361"/>
      </w:pPr>
      <w:rPr>
        <w:rFonts w:hint="default"/>
      </w:rPr>
    </w:lvl>
    <w:lvl w:ilvl="7" w:tplc="B67082B2">
      <w:numFmt w:val="bullet"/>
      <w:lvlText w:val="•"/>
      <w:lvlJc w:val="left"/>
      <w:pPr>
        <w:ind w:left="7618" w:hanging="361"/>
      </w:pPr>
      <w:rPr>
        <w:rFonts w:hint="default"/>
      </w:rPr>
    </w:lvl>
    <w:lvl w:ilvl="8" w:tplc="6BCE169A">
      <w:numFmt w:val="bullet"/>
      <w:lvlText w:val="•"/>
      <w:lvlJc w:val="left"/>
      <w:pPr>
        <w:ind w:left="8621" w:hanging="361"/>
      </w:pPr>
      <w:rPr>
        <w:rFonts w:hint="default"/>
      </w:rPr>
    </w:lvl>
  </w:abstractNum>
  <w:abstractNum w:abstractNumId="4" w15:restartNumberingAfterBreak="0">
    <w:nsid w:val="4CD000C8"/>
    <w:multiLevelType w:val="hybridMultilevel"/>
    <w:tmpl w:val="3D786E3E"/>
    <w:lvl w:ilvl="0" w:tplc="DB5E5DC2">
      <w:start w:val="1"/>
      <w:numFmt w:val="decimal"/>
      <w:lvlText w:val="%1."/>
      <w:lvlJc w:val="left"/>
      <w:pPr>
        <w:ind w:left="592" w:hanging="361"/>
        <w:jc w:val="left"/>
      </w:pPr>
      <w:rPr>
        <w:rFonts w:ascii="Verdana" w:eastAsia="Verdana" w:hAnsi="Verdana" w:cs="Verdana" w:hint="default"/>
        <w:spacing w:val="-32"/>
        <w:w w:val="100"/>
        <w:sz w:val="18"/>
        <w:szCs w:val="18"/>
      </w:rPr>
    </w:lvl>
    <w:lvl w:ilvl="1" w:tplc="43CEADAA">
      <w:numFmt w:val="bullet"/>
      <w:lvlText w:val="•"/>
      <w:lvlJc w:val="left"/>
      <w:pPr>
        <w:ind w:left="1602" w:hanging="361"/>
      </w:pPr>
      <w:rPr>
        <w:rFonts w:hint="default"/>
      </w:rPr>
    </w:lvl>
    <w:lvl w:ilvl="2" w:tplc="BF5A72E2">
      <w:numFmt w:val="bullet"/>
      <w:lvlText w:val="•"/>
      <w:lvlJc w:val="left"/>
      <w:pPr>
        <w:ind w:left="2605" w:hanging="361"/>
      </w:pPr>
      <w:rPr>
        <w:rFonts w:hint="default"/>
      </w:rPr>
    </w:lvl>
    <w:lvl w:ilvl="3" w:tplc="A0D6B29A">
      <w:numFmt w:val="bullet"/>
      <w:lvlText w:val="•"/>
      <w:lvlJc w:val="left"/>
      <w:pPr>
        <w:ind w:left="3607" w:hanging="361"/>
      </w:pPr>
      <w:rPr>
        <w:rFonts w:hint="default"/>
      </w:rPr>
    </w:lvl>
    <w:lvl w:ilvl="4" w:tplc="47F61BEA">
      <w:numFmt w:val="bullet"/>
      <w:lvlText w:val="•"/>
      <w:lvlJc w:val="left"/>
      <w:pPr>
        <w:ind w:left="4610" w:hanging="361"/>
      </w:pPr>
      <w:rPr>
        <w:rFonts w:hint="default"/>
      </w:rPr>
    </w:lvl>
    <w:lvl w:ilvl="5" w:tplc="41721376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F6361E20">
      <w:numFmt w:val="bullet"/>
      <w:lvlText w:val="•"/>
      <w:lvlJc w:val="left"/>
      <w:pPr>
        <w:ind w:left="6615" w:hanging="361"/>
      </w:pPr>
      <w:rPr>
        <w:rFonts w:hint="default"/>
      </w:rPr>
    </w:lvl>
    <w:lvl w:ilvl="7" w:tplc="013CD8E6">
      <w:numFmt w:val="bullet"/>
      <w:lvlText w:val="•"/>
      <w:lvlJc w:val="left"/>
      <w:pPr>
        <w:ind w:left="7618" w:hanging="361"/>
      </w:pPr>
      <w:rPr>
        <w:rFonts w:hint="default"/>
      </w:rPr>
    </w:lvl>
    <w:lvl w:ilvl="8" w:tplc="7B7496A2">
      <w:numFmt w:val="bullet"/>
      <w:lvlText w:val="•"/>
      <w:lvlJc w:val="left"/>
      <w:pPr>
        <w:ind w:left="8621" w:hanging="361"/>
      </w:pPr>
      <w:rPr>
        <w:rFonts w:hint="default"/>
      </w:rPr>
    </w:lvl>
  </w:abstractNum>
  <w:abstractNum w:abstractNumId="5" w15:restartNumberingAfterBreak="0">
    <w:nsid w:val="5E59356D"/>
    <w:multiLevelType w:val="hybridMultilevel"/>
    <w:tmpl w:val="C21C4040"/>
    <w:lvl w:ilvl="0" w:tplc="25E046F0">
      <w:start w:val="1"/>
      <w:numFmt w:val="decimal"/>
      <w:lvlText w:val="%1."/>
      <w:lvlJc w:val="left"/>
      <w:pPr>
        <w:ind w:left="592" w:hanging="361"/>
        <w:jc w:val="left"/>
      </w:pPr>
      <w:rPr>
        <w:rFonts w:ascii="Verdana" w:eastAsia="Verdana" w:hAnsi="Verdana" w:cs="Verdana" w:hint="default"/>
        <w:spacing w:val="-11"/>
        <w:w w:val="100"/>
        <w:sz w:val="18"/>
        <w:szCs w:val="18"/>
      </w:rPr>
    </w:lvl>
    <w:lvl w:ilvl="1" w:tplc="CC3E1502">
      <w:numFmt w:val="bullet"/>
      <w:lvlText w:val="•"/>
      <w:lvlJc w:val="left"/>
      <w:pPr>
        <w:ind w:left="1602" w:hanging="361"/>
      </w:pPr>
      <w:rPr>
        <w:rFonts w:hint="default"/>
      </w:rPr>
    </w:lvl>
    <w:lvl w:ilvl="2" w:tplc="62969490">
      <w:numFmt w:val="bullet"/>
      <w:lvlText w:val="•"/>
      <w:lvlJc w:val="left"/>
      <w:pPr>
        <w:ind w:left="2605" w:hanging="361"/>
      </w:pPr>
      <w:rPr>
        <w:rFonts w:hint="default"/>
      </w:rPr>
    </w:lvl>
    <w:lvl w:ilvl="3" w:tplc="CA22F716">
      <w:numFmt w:val="bullet"/>
      <w:lvlText w:val="•"/>
      <w:lvlJc w:val="left"/>
      <w:pPr>
        <w:ind w:left="3607" w:hanging="361"/>
      </w:pPr>
      <w:rPr>
        <w:rFonts w:hint="default"/>
      </w:rPr>
    </w:lvl>
    <w:lvl w:ilvl="4" w:tplc="8B026298">
      <w:numFmt w:val="bullet"/>
      <w:lvlText w:val="•"/>
      <w:lvlJc w:val="left"/>
      <w:pPr>
        <w:ind w:left="4610" w:hanging="361"/>
      </w:pPr>
      <w:rPr>
        <w:rFonts w:hint="default"/>
      </w:rPr>
    </w:lvl>
    <w:lvl w:ilvl="5" w:tplc="FDBA8EFA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ADF04736">
      <w:numFmt w:val="bullet"/>
      <w:lvlText w:val="•"/>
      <w:lvlJc w:val="left"/>
      <w:pPr>
        <w:ind w:left="6615" w:hanging="361"/>
      </w:pPr>
      <w:rPr>
        <w:rFonts w:hint="default"/>
      </w:rPr>
    </w:lvl>
    <w:lvl w:ilvl="7" w:tplc="3CAA9B2A">
      <w:numFmt w:val="bullet"/>
      <w:lvlText w:val="•"/>
      <w:lvlJc w:val="left"/>
      <w:pPr>
        <w:ind w:left="7618" w:hanging="361"/>
      </w:pPr>
      <w:rPr>
        <w:rFonts w:hint="default"/>
      </w:rPr>
    </w:lvl>
    <w:lvl w:ilvl="8" w:tplc="383E05B6">
      <w:numFmt w:val="bullet"/>
      <w:lvlText w:val="•"/>
      <w:lvlJc w:val="left"/>
      <w:pPr>
        <w:ind w:left="8621" w:hanging="361"/>
      </w:pPr>
      <w:rPr>
        <w:rFonts w:hint="default"/>
      </w:rPr>
    </w:lvl>
  </w:abstractNum>
  <w:abstractNum w:abstractNumId="6" w15:restartNumberingAfterBreak="0">
    <w:nsid w:val="7A277398"/>
    <w:multiLevelType w:val="hybridMultilevel"/>
    <w:tmpl w:val="BC1045BA"/>
    <w:lvl w:ilvl="0" w:tplc="7228F7D8">
      <w:start w:val="1"/>
      <w:numFmt w:val="decimal"/>
      <w:lvlText w:val="%1."/>
      <w:lvlJc w:val="left"/>
      <w:pPr>
        <w:ind w:left="592" w:hanging="361"/>
        <w:jc w:val="left"/>
      </w:pPr>
      <w:rPr>
        <w:rFonts w:ascii="Verdana" w:eastAsia="Verdana" w:hAnsi="Verdana" w:cs="Verdana" w:hint="default"/>
        <w:spacing w:val="-11"/>
        <w:w w:val="100"/>
        <w:sz w:val="18"/>
        <w:szCs w:val="18"/>
      </w:rPr>
    </w:lvl>
    <w:lvl w:ilvl="1" w:tplc="CF3CCE7E">
      <w:numFmt w:val="bullet"/>
      <w:lvlText w:val="•"/>
      <w:lvlJc w:val="left"/>
      <w:pPr>
        <w:ind w:left="1602" w:hanging="361"/>
      </w:pPr>
      <w:rPr>
        <w:rFonts w:hint="default"/>
      </w:rPr>
    </w:lvl>
    <w:lvl w:ilvl="2" w:tplc="477A680E">
      <w:numFmt w:val="bullet"/>
      <w:lvlText w:val="•"/>
      <w:lvlJc w:val="left"/>
      <w:pPr>
        <w:ind w:left="2605" w:hanging="361"/>
      </w:pPr>
      <w:rPr>
        <w:rFonts w:hint="default"/>
      </w:rPr>
    </w:lvl>
    <w:lvl w:ilvl="3" w:tplc="45DC99F2">
      <w:numFmt w:val="bullet"/>
      <w:lvlText w:val="•"/>
      <w:lvlJc w:val="left"/>
      <w:pPr>
        <w:ind w:left="3607" w:hanging="361"/>
      </w:pPr>
      <w:rPr>
        <w:rFonts w:hint="default"/>
      </w:rPr>
    </w:lvl>
    <w:lvl w:ilvl="4" w:tplc="764E1D1A">
      <w:numFmt w:val="bullet"/>
      <w:lvlText w:val="•"/>
      <w:lvlJc w:val="left"/>
      <w:pPr>
        <w:ind w:left="4610" w:hanging="361"/>
      </w:pPr>
      <w:rPr>
        <w:rFonts w:hint="default"/>
      </w:rPr>
    </w:lvl>
    <w:lvl w:ilvl="5" w:tplc="E6749DDE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C1241B48">
      <w:numFmt w:val="bullet"/>
      <w:lvlText w:val="•"/>
      <w:lvlJc w:val="left"/>
      <w:pPr>
        <w:ind w:left="6615" w:hanging="361"/>
      </w:pPr>
      <w:rPr>
        <w:rFonts w:hint="default"/>
      </w:rPr>
    </w:lvl>
    <w:lvl w:ilvl="7" w:tplc="F68E3052">
      <w:numFmt w:val="bullet"/>
      <w:lvlText w:val="•"/>
      <w:lvlJc w:val="left"/>
      <w:pPr>
        <w:ind w:left="7618" w:hanging="361"/>
      </w:pPr>
      <w:rPr>
        <w:rFonts w:hint="default"/>
      </w:rPr>
    </w:lvl>
    <w:lvl w:ilvl="8" w:tplc="25C8F1B4">
      <w:numFmt w:val="bullet"/>
      <w:lvlText w:val="•"/>
      <w:lvlJc w:val="left"/>
      <w:pPr>
        <w:ind w:left="8621" w:hanging="361"/>
      </w:pPr>
      <w:rPr>
        <w:rFonts w:hint="default"/>
      </w:rPr>
    </w:lvl>
  </w:abstractNum>
  <w:abstractNum w:abstractNumId="7" w15:restartNumberingAfterBreak="0">
    <w:nsid w:val="7A427724"/>
    <w:multiLevelType w:val="hybridMultilevel"/>
    <w:tmpl w:val="E08A9F36"/>
    <w:lvl w:ilvl="0" w:tplc="671E6930">
      <w:start w:val="1"/>
      <w:numFmt w:val="upperRoman"/>
      <w:lvlText w:val="%1."/>
      <w:lvlJc w:val="left"/>
      <w:pPr>
        <w:ind w:left="4706" w:hanging="226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</w:rPr>
    </w:lvl>
    <w:lvl w:ilvl="1" w:tplc="E76222CC">
      <w:numFmt w:val="bullet"/>
      <w:lvlText w:val="•"/>
      <w:lvlJc w:val="left"/>
      <w:pPr>
        <w:ind w:left="5292" w:hanging="226"/>
      </w:pPr>
      <w:rPr>
        <w:rFonts w:hint="default"/>
      </w:rPr>
    </w:lvl>
    <w:lvl w:ilvl="2" w:tplc="5380E188">
      <w:numFmt w:val="bullet"/>
      <w:lvlText w:val="•"/>
      <w:lvlJc w:val="left"/>
      <w:pPr>
        <w:ind w:left="5885" w:hanging="226"/>
      </w:pPr>
      <w:rPr>
        <w:rFonts w:hint="default"/>
      </w:rPr>
    </w:lvl>
    <w:lvl w:ilvl="3" w:tplc="E45E8260">
      <w:numFmt w:val="bullet"/>
      <w:lvlText w:val="•"/>
      <w:lvlJc w:val="left"/>
      <w:pPr>
        <w:ind w:left="6477" w:hanging="226"/>
      </w:pPr>
      <w:rPr>
        <w:rFonts w:hint="default"/>
      </w:rPr>
    </w:lvl>
    <w:lvl w:ilvl="4" w:tplc="2D58FEAA">
      <w:numFmt w:val="bullet"/>
      <w:lvlText w:val="•"/>
      <w:lvlJc w:val="left"/>
      <w:pPr>
        <w:ind w:left="7070" w:hanging="226"/>
      </w:pPr>
      <w:rPr>
        <w:rFonts w:hint="default"/>
      </w:rPr>
    </w:lvl>
    <w:lvl w:ilvl="5" w:tplc="835A7FBA">
      <w:numFmt w:val="bullet"/>
      <w:lvlText w:val="•"/>
      <w:lvlJc w:val="left"/>
      <w:pPr>
        <w:ind w:left="7663" w:hanging="226"/>
      </w:pPr>
      <w:rPr>
        <w:rFonts w:hint="default"/>
      </w:rPr>
    </w:lvl>
    <w:lvl w:ilvl="6" w:tplc="7D9E9A74">
      <w:numFmt w:val="bullet"/>
      <w:lvlText w:val="•"/>
      <w:lvlJc w:val="left"/>
      <w:pPr>
        <w:ind w:left="8255" w:hanging="226"/>
      </w:pPr>
      <w:rPr>
        <w:rFonts w:hint="default"/>
      </w:rPr>
    </w:lvl>
    <w:lvl w:ilvl="7" w:tplc="DCC03686">
      <w:numFmt w:val="bullet"/>
      <w:lvlText w:val="•"/>
      <w:lvlJc w:val="left"/>
      <w:pPr>
        <w:ind w:left="8848" w:hanging="226"/>
      </w:pPr>
      <w:rPr>
        <w:rFonts w:hint="default"/>
      </w:rPr>
    </w:lvl>
    <w:lvl w:ilvl="8" w:tplc="0DB8CF60">
      <w:numFmt w:val="bullet"/>
      <w:lvlText w:val="•"/>
      <w:lvlJc w:val="left"/>
      <w:pPr>
        <w:ind w:left="9441" w:hanging="226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C60C2"/>
    <w:rsid w:val="0027033F"/>
    <w:rsid w:val="002C60C2"/>
    <w:rsid w:val="0073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80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1"/>
    <w:qFormat/>
    <w:pPr>
      <w:spacing w:before="83"/>
      <w:ind w:left="100"/>
      <w:outlineLvl w:val="0"/>
    </w:pPr>
    <w:rPr>
      <w:rFonts w:ascii="Arial" w:eastAsia="Arial" w:hAnsi="Arial" w:cs="Arial"/>
      <w:sz w:val="24"/>
      <w:szCs w:val="24"/>
    </w:rPr>
  </w:style>
  <w:style w:type="paragraph" w:styleId="Nadpis2">
    <w:name w:val="heading 2"/>
    <w:basedOn w:val="Normln"/>
    <w:uiPriority w:val="1"/>
    <w:qFormat/>
    <w:pPr>
      <w:ind w:left="120"/>
      <w:outlineLvl w:val="1"/>
    </w:pPr>
    <w:rPr>
      <w:rFonts w:ascii="Arial" w:eastAsia="Arial" w:hAnsi="Arial" w:cs="Arial"/>
      <w:sz w:val="20"/>
      <w:szCs w:val="20"/>
    </w:rPr>
  </w:style>
  <w:style w:type="paragraph" w:styleId="Nadpis3">
    <w:name w:val="heading 3"/>
    <w:basedOn w:val="Normln"/>
    <w:uiPriority w:val="1"/>
    <w:qFormat/>
    <w:pPr>
      <w:ind w:left="3328" w:hanging="364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592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70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33F"/>
    <w:rPr>
      <w:rFonts w:ascii="Verdana" w:eastAsia="Verdana" w:hAnsi="Verdana" w:cs="Verdana"/>
    </w:rPr>
  </w:style>
  <w:style w:type="paragraph" w:styleId="Zpat">
    <w:name w:val="footer"/>
    <w:basedOn w:val="Normln"/>
    <w:link w:val="ZpatChar"/>
    <w:uiPriority w:val="99"/>
    <w:unhideWhenUsed/>
    <w:rsid w:val="0027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3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9191</Characters>
  <Application>Microsoft Office Word</Application>
  <DocSecurity>0</DocSecurity>
  <Lines>76</Lines>
  <Paragraphs>21</Paragraphs>
  <ScaleCrop>false</ScaleCrop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2025-11-14T08:56:00Z</dcterms:created>
  <dcterms:modified xsi:type="dcterms:W3CDTF">2025-11-14T08:56:00Z</dcterms:modified>
</cp:coreProperties>
</file>