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5653" w14:textId="1C981F5C" w:rsidR="009B344D" w:rsidRPr="00DD48BA" w:rsidRDefault="009B344D" w:rsidP="009B344D">
      <w:pPr>
        <w:pStyle w:val="SFPNzevsmlouvy"/>
        <w:spacing w:after="0" w:line="259" w:lineRule="auto"/>
        <w:rPr>
          <w:rFonts w:asciiTheme="minorHAnsi" w:hAnsiTheme="minorHAnsi" w:cstheme="minorHAnsi"/>
          <w:sz w:val="28"/>
          <w:szCs w:val="28"/>
        </w:rPr>
      </w:pPr>
      <w:r w:rsidRPr="00DD48BA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9951AB">
        <w:rPr>
          <w:rFonts w:asciiTheme="minorHAnsi" w:hAnsiTheme="minorHAnsi" w:cstheme="minorHAnsi"/>
          <w:sz w:val="28"/>
          <w:szCs w:val="28"/>
        </w:rPr>
        <w:t>2</w:t>
      </w:r>
    </w:p>
    <w:p w14:paraId="19DA8912" w14:textId="77777777" w:rsidR="009B344D" w:rsidRPr="00DD48BA" w:rsidRDefault="009B344D" w:rsidP="009B344D">
      <w:pPr>
        <w:pStyle w:val="SFPNzevsmlouvy"/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CD766A6" w14:textId="3EF82E62" w:rsidR="009B344D" w:rsidRPr="00DD48BA" w:rsidRDefault="009B344D" w:rsidP="009B344D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48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D48BA">
        <w:rPr>
          <w:rFonts w:asciiTheme="minorHAnsi" w:hAnsiTheme="minorHAnsi" w:cstheme="minorHAnsi"/>
          <w:sz w:val="22"/>
          <w:szCs w:val="22"/>
        </w:rPr>
        <w:t>(</w:t>
      </w:r>
      <w:r w:rsidR="00DD48BA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DD48BA">
        <w:rPr>
          <w:rFonts w:asciiTheme="minorHAnsi" w:hAnsiTheme="minorHAnsi" w:cstheme="minorHAnsi"/>
          <w:sz w:val="22"/>
          <w:szCs w:val="22"/>
        </w:rPr>
        <w:t>„</w:t>
      </w:r>
      <w:r w:rsidRPr="00DD48BA">
        <w:rPr>
          <w:rFonts w:asciiTheme="minorHAnsi" w:hAnsiTheme="minorHAnsi" w:cstheme="minorHAnsi"/>
          <w:b/>
          <w:bCs/>
          <w:sz w:val="22"/>
          <w:szCs w:val="22"/>
        </w:rPr>
        <w:t>Dodatek</w:t>
      </w:r>
      <w:r w:rsidRPr="00DD48BA">
        <w:rPr>
          <w:rFonts w:asciiTheme="minorHAnsi" w:hAnsiTheme="minorHAnsi" w:cstheme="minorHAnsi"/>
          <w:sz w:val="22"/>
          <w:szCs w:val="22"/>
        </w:rPr>
        <w:t>“)</w:t>
      </w:r>
    </w:p>
    <w:p w14:paraId="13C34748" w14:textId="77777777" w:rsidR="009B344D" w:rsidRPr="00DD48BA" w:rsidRDefault="009B344D" w:rsidP="009B344D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50F7254" w14:textId="3D1766E8" w:rsidR="002D0302" w:rsidRPr="00DD48BA" w:rsidRDefault="009B344D" w:rsidP="00DD48BA">
      <w:pPr>
        <w:pStyle w:val="SFPNzevsmlouvy"/>
        <w:spacing w:after="0" w:line="259" w:lineRule="auto"/>
        <w:rPr>
          <w:rFonts w:asciiTheme="minorHAnsi" w:hAnsiTheme="minorHAnsi" w:cstheme="minorHAnsi"/>
          <w:sz w:val="28"/>
          <w:szCs w:val="28"/>
        </w:rPr>
      </w:pPr>
      <w:r w:rsidRPr="00DD48BA">
        <w:rPr>
          <w:rFonts w:asciiTheme="minorHAnsi" w:hAnsiTheme="minorHAnsi" w:cstheme="minorHAnsi"/>
          <w:caps w:val="0"/>
          <w:sz w:val="28"/>
          <w:szCs w:val="28"/>
        </w:rPr>
        <w:t>ke SMLOUVĚ NA VYTVOŘENÍ, PROJEKTOVÉ DOKUMENTACE, VÝKONU INŽENÝRSKÉ ČINNOSTI A AUTORSKÉHO DOZORU</w:t>
      </w:r>
    </w:p>
    <w:p w14:paraId="22AB2723" w14:textId="77777777" w:rsidR="002D0302" w:rsidRPr="00DD48BA" w:rsidRDefault="002D0302" w:rsidP="009B344D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A068531" w14:textId="23A1401E" w:rsidR="00A0585C" w:rsidRDefault="009B344D" w:rsidP="009B344D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48BA">
        <w:rPr>
          <w:rFonts w:asciiTheme="minorHAnsi" w:hAnsiTheme="minorHAnsi" w:cstheme="minorHAnsi"/>
          <w:sz w:val="22"/>
          <w:szCs w:val="22"/>
        </w:rPr>
        <w:t>(</w:t>
      </w:r>
      <w:r w:rsidR="00DD48BA">
        <w:rPr>
          <w:rFonts w:asciiTheme="minorHAnsi" w:hAnsiTheme="minorHAnsi" w:cstheme="minorHAnsi"/>
          <w:sz w:val="22"/>
          <w:szCs w:val="22"/>
        </w:rPr>
        <w:t xml:space="preserve">dále jen </w:t>
      </w:r>
      <w:r w:rsidRPr="00DD48BA">
        <w:rPr>
          <w:rFonts w:asciiTheme="minorHAnsi" w:hAnsiTheme="minorHAnsi" w:cstheme="minorHAnsi"/>
          <w:sz w:val="22"/>
          <w:szCs w:val="22"/>
        </w:rPr>
        <w:t>„</w:t>
      </w:r>
      <w:r w:rsidRPr="00DD48BA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DD48BA">
        <w:rPr>
          <w:rFonts w:asciiTheme="minorHAnsi" w:hAnsiTheme="minorHAnsi" w:cstheme="minorHAnsi"/>
          <w:sz w:val="22"/>
          <w:szCs w:val="22"/>
        </w:rPr>
        <w:t>“)</w:t>
      </w:r>
    </w:p>
    <w:p w14:paraId="2C6919FC" w14:textId="77777777" w:rsidR="0094429E" w:rsidRPr="00DD48BA" w:rsidRDefault="0094429E" w:rsidP="009B344D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1119D" w14:textId="77777777" w:rsidR="00DD48BA" w:rsidRDefault="00DD48BA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A4184D" w14:textId="7C2579DD" w:rsidR="009B344D" w:rsidRPr="00DD48BA" w:rsidRDefault="009B344D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48BA">
        <w:rPr>
          <w:rFonts w:asciiTheme="minorHAnsi" w:hAnsiTheme="minorHAnsi" w:cstheme="minorHAnsi"/>
          <w:sz w:val="22"/>
          <w:szCs w:val="22"/>
        </w:rPr>
        <w:t>uzavřený níže uvedeného dne, měsíce a roku mezi:</w:t>
      </w:r>
    </w:p>
    <w:p w14:paraId="24BAE68B" w14:textId="77777777" w:rsidR="009B344D" w:rsidRPr="00DD48BA" w:rsidRDefault="009B344D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EA938F" w14:textId="77777777" w:rsidR="002D0302" w:rsidRPr="00DD48BA" w:rsidRDefault="002D0302" w:rsidP="003E1CEE">
      <w:pPr>
        <w:widowControl w:val="0"/>
        <w:numPr>
          <w:ilvl w:val="0"/>
          <w:numId w:val="2"/>
        </w:numPr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D48BA">
        <w:rPr>
          <w:rStyle w:val="preformatted"/>
          <w:rFonts w:asciiTheme="minorHAnsi" w:hAnsiTheme="minorHAnsi" w:cstheme="minorHAnsi"/>
          <w:b/>
          <w:sz w:val="22"/>
          <w:szCs w:val="22"/>
        </w:rPr>
        <w:t>Pražská developerská společnost, příspěvková organizace</w:t>
      </w:r>
    </w:p>
    <w:p w14:paraId="5258DAFA" w14:textId="77777777" w:rsidR="000054CB" w:rsidRDefault="002D0302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 xml:space="preserve">se sídlem U Radnice 10/2, Staré Město, 110 00 Praha 1, IČO: 09211322, DIČ: CZ09211322, </w:t>
      </w:r>
    </w:p>
    <w:p w14:paraId="5C894D7A" w14:textId="7C8F98E3" w:rsidR="000054CB" w:rsidRDefault="000054CB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 xml:space="preserve">zapsaná v obchodním rejstříku vedeném u </w:t>
      </w:r>
      <w:r>
        <w:rPr>
          <w:rFonts w:asciiTheme="minorHAnsi" w:hAnsiTheme="minorHAnsi" w:cstheme="minorHAnsi"/>
          <w:szCs w:val="22"/>
        </w:rPr>
        <w:t>M</w:t>
      </w:r>
      <w:r w:rsidRPr="00DD48BA">
        <w:rPr>
          <w:rFonts w:asciiTheme="minorHAnsi" w:hAnsiTheme="minorHAnsi" w:cstheme="minorHAnsi"/>
          <w:szCs w:val="22"/>
        </w:rPr>
        <w:t xml:space="preserve">ěstského soudu v Praze, </w:t>
      </w:r>
      <w:proofErr w:type="spellStart"/>
      <w:r>
        <w:rPr>
          <w:rFonts w:asciiTheme="minorHAnsi" w:hAnsiTheme="minorHAnsi" w:cstheme="minorHAnsi"/>
          <w:szCs w:val="22"/>
        </w:rPr>
        <w:t>sp.zn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Cs w:val="22"/>
        </w:rPr>
        <w:t>Pr</w:t>
      </w:r>
      <w:proofErr w:type="spellEnd"/>
      <w:r>
        <w:rPr>
          <w:rFonts w:asciiTheme="minorHAnsi" w:hAnsiTheme="minorHAnsi" w:cstheme="minorHAnsi"/>
          <w:szCs w:val="22"/>
        </w:rPr>
        <w:t xml:space="preserve"> 1681</w:t>
      </w:r>
    </w:p>
    <w:p w14:paraId="5E2BAEDD" w14:textId="35D58CDA" w:rsidR="002D0302" w:rsidRPr="00DD48BA" w:rsidRDefault="002D0302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>zastoupená Petrem Urbánkem, ředitelem</w:t>
      </w:r>
    </w:p>
    <w:p w14:paraId="4CE02CED" w14:textId="77777777" w:rsidR="002D0302" w:rsidRPr="00DD48BA" w:rsidRDefault="002D0302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>(„</w:t>
      </w:r>
      <w:r w:rsidRPr="00DD48BA">
        <w:rPr>
          <w:rFonts w:asciiTheme="minorHAnsi" w:hAnsiTheme="minorHAnsi" w:cstheme="minorHAnsi"/>
          <w:b/>
          <w:szCs w:val="22"/>
        </w:rPr>
        <w:t>Objednatel</w:t>
      </w:r>
      <w:r w:rsidRPr="00DD48BA">
        <w:rPr>
          <w:rFonts w:asciiTheme="minorHAnsi" w:hAnsiTheme="minorHAnsi" w:cstheme="minorHAnsi"/>
          <w:szCs w:val="22"/>
        </w:rPr>
        <w:t>“)</w:t>
      </w:r>
    </w:p>
    <w:p w14:paraId="4F28555E" w14:textId="77777777" w:rsidR="002D0302" w:rsidRPr="00DD48BA" w:rsidRDefault="002D0302" w:rsidP="003E1CEE">
      <w:pPr>
        <w:pStyle w:val="Smluvstranya"/>
        <w:keepNext w:val="0"/>
        <w:widowControl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>a</w:t>
      </w:r>
    </w:p>
    <w:p w14:paraId="595FC5BF" w14:textId="77777777" w:rsidR="002D0302" w:rsidRPr="00DD48BA" w:rsidRDefault="002D0302" w:rsidP="003E1CEE">
      <w:pPr>
        <w:widowControl w:val="0"/>
        <w:numPr>
          <w:ilvl w:val="0"/>
          <w:numId w:val="2"/>
        </w:numPr>
        <w:overflowPunct/>
        <w:autoSpaceDE/>
        <w:autoSpaceDN/>
        <w:adjustRightInd/>
        <w:ind w:left="720" w:hanging="720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D48BA">
        <w:rPr>
          <w:rFonts w:asciiTheme="minorHAnsi" w:hAnsiTheme="minorHAnsi" w:cstheme="minorHAnsi"/>
          <w:b/>
          <w:bCs/>
          <w:sz w:val="22"/>
          <w:szCs w:val="22"/>
        </w:rPr>
        <w:t>MS architekti s.r.o.</w:t>
      </w:r>
    </w:p>
    <w:p w14:paraId="333E52AF" w14:textId="77777777" w:rsidR="000054CB" w:rsidRDefault="002D0302" w:rsidP="003E1CEE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D48BA">
        <w:rPr>
          <w:rFonts w:asciiTheme="minorHAnsi" w:hAnsiTheme="minorHAnsi" w:cstheme="minorHAnsi"/>
          <w:sz w:val="22"/>
          <w:szCs w:val="22"/>
        </w:rPr>
        <w:t xml:space="preserve">se sídlem u </w:t>
      </w:r>
      <w:proofErr w:type="spellStart"/>
      <w:r w:rsidRPr="00DD48BA">
        <w:rPr>
          <w:rFonts w:asciiTheme="minorHAnsi" w:hAnsiTheme="minorHAnsi" w:cstheme="minorHAnsi"/>
          <w:sz w:val="22"/>
          <w:szCs w:val="22"/>
        </w:rPr>
        <w:t>Nikolajky</w:t>
      </w:r>
      <w:proofErr w:type="spellEnd"/>
      <w:r w:rsidRPr="00DD48BA">
        <w:rPr>
          <w:rFonts w:asciiTheme="minorHAnsi" w:hAnsiTheme="minorHAnsi" w:cstheme="minorHAnsi"/>
          <w:sz w:val="22"/>
          <w:szCs w:val="22"/>
        </w:rPr>
        <w:t xml:space="preserve"> 1085/15, 150 00 Praha 5, IČO: 62580426, DIČ: CZ62580426, </w:t>
      </w:r>
    </w:p>
    <w:p w14:paraId="4A321EFB" w14:textId="2C744174" w:rsidR="002D0302" w:rsidRPr="00DD48BA" w:rsidRDefault="002D0302" w:rsidP="003E1CEE">
      <w:pPr>
        <w:spacing w:before="120" w:after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D48BA">
        <w:rPr>
          <w:rFonts w:asciiTheme="minorHAnsi" w:hAnsiTheme="minorHAnsi" w:cstheme="minorHAnsi"/>
          <w:sz w:val="22"/>
          <w:szCs w:val="22"/>
        </w:rPr>
        <w:t xml:space="preserve">zapsaná v obchodním rejstříku vedeném u městského soudu v Praze, </w:t>
      </w:r>
      <w:proofErr w:type="spellStart"/>
      <w:r w:rsidR="000054CB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="000054CB">
        <w:rPr>
          <w:rFonts w:asciiTheme="minorHAnsi" w:hAnsiTheme="minorHAnsi" w:cstheme="minorHAnsi"/>
          <w:sz w:val="22"/>
          <w:szCs w:val="22"/>
        </w:rPr>
        <w:t xml:space="preserve">. </w:t>
      </w:r>
      <w:r w:rsidRPr="00DD48BA">
        <w:rPr>
          <w:rFonts w:asciiTheme="minorHAnsi" w:hAnsiTheme="minorHAnsi" w:cstheme="minorHAnsi"/>
          <w:sz w:val="22"/>
          <w:szCs w:val="22"/>
        </w:rPr>
        <w:t>C 33140</w:t>
      </w:r>
    </w:p>
    <w:p w14:paraId="5C25DB77" w14:textId="7D9A822E" w:rsidR="000054CB" w:rsidRPr="00DD48BA" w:rsidRDefault="000054CB" w:rsidP="000054CB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6F1F27">
        <w:rPr>
          <w:rFonts w:asciiTheme="minorHAnsi" w:hAnsiTheme="minorHAnsi" w:cstheme="minorHAnsi"/>
          <w:szCs w:val="22"/>
        </w:rPr>
        <w:t>zastoupená Ing. arch. Michalem Šourkem, jednatelem</w:t>
      </w:r>
    </w:p>
    <w:p w14:paraId="7FDB60EA" w14:textId="17E1720D" w:rsidR="002D0302" w:rsidRPr="00DD48BA" w:rsidRDefault="002D0302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>(„</w:t>
      </w:r>
      <w:r w:rsidRPr="00DD48BA">
        <w:rPr>
          <w:rFonts w:asciiTheme="minorHAnsi" w:hAnsiTheme="minorHAnsi" w:cstheme="minorHAnsi"/>
          <w:b/>
          <w:szCs w:val="22"/>
        </w:rPr>
        <w:t>Zhotovitel</w:t>
      </w:r>
      <w:r w:rsidRPr="00DD48BA">
        <w:rPr>
          <w:rFonts w:asciiTheme="minorHAnsi" w:hAnsiTheme="minorHAnsi" w:cstheme="minorHAnsi"/>
          <w:szCs w:val="22"/>
        </w:rPr>
        <w:t>“)</w:t>
      </w:r>
    </w:p>
    <w:p w14:paraId="1E21FA21" w14:textId="77777777" w:rsidR="002D0302" w:rsidRDefault="002D0302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  <w:r w:rsidRPr="00DD48BA">
        <w:rPr>
          <w:rFonts w:asciiTheme="minorHAnsi" w:hAnsiTheme="minorHAnsi" w:cstheme="minorHAnsi"/>
          <w:szCs w:val="22"/>
        </w:rPr>
        <w:t>(Objednatel a Zhotovitel společně „</w:t>
      </w:r>
      <w:r w:rsidRPr="00DD48BA">
        <w:rPr>
          <w:rFonts w:asciiTheme="minorHAnsi" w:hAnsiTheme="minorHAnsi" w:cstheme="minorHAnsi"/>
          <w:b/>
          <w:szCs w:val="22"/>
        </w:rPr>
        <w:t>Strany</w:t>
      </w:r>
      <w:r w:rsidRPr="00DD48BA">
        <w:rPr>
          <w:rFonts w:asciiTheme="minorHAnsi" w:hAnsiTheme="minorHAnsi" w:cstheme="minorHAnsi"/>
          <w:szCs w:val="22"/>
        </w:rPr>
        <w:t>“, a každý z nich samostatně „</w:t>
      </w:r>
      <w:r w:rsidRPr="00DD48BA">
        <w:rPr>
          <w:rFonts w:asciiTheme="minorHAnsi" w:hAnsiTheme="minorHAnsi" w:cstheme="minorHAnsi"/>
          <w:b/>
          <w:szCs w:val="22"/>
        </w:rPr>
        <w:t>Strana</w:t>
      </w:r>
      <w:r w:rsidRPr="00DD48BA">
        <w:rPr>
          <w:rFonts w:asciiTheme="minorHAnsi" w:hAnsiTheme="minorHAnsi" w:cstheme="minorHAnsi"/>
          <w:szCs w:val="22"/>
        </w:rPr>
        <w:t>“)</w:t>
      </w:r>
    </w:p>
    <w:p w14:paraId="1922FB8A" w14:textId="77777777" w:rsidR="0094429E" w:rsidRPr="00DD48BA" w:rsidRDefault="0094429E" w:rsidP="003E1CEE">
      <w:pPr>
        <w:pStyle w:val="Text11"/>
        <w:keepNext w:val="0"/>
        <w:widowControl w:val="0"/>
        <w:ind w:left="567"/>
        <w:rPr>
          <w:rFonts w:asciiTheme="minorHAnsi" w:hAnsiTheme="minorHAnsi" w:cstheme="minorHAnsi"/>
          <w:szCs w:val="22"/>
        </w:rPr>
      </w:pPr>
    </w:p>
    <w:p w14:paraId="51A34FEA" w14:textId="3DCD9777" w:rsidR="00DD48BA" w:rsidRPr="00992805" w:rsidRDefault="00DD48BA" w:rsidP="00DD48B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92805">
        <w:rPr>
          <w:rFonts w:ascii="Calibri" w:hAnsi="Calibri" w:cs="Calibri"/>
          <w:b/>
          <w:bCs/>
          <w:sz w:val="22"/>
          <w:szCs w:val="22"/>
        </w:rPr>
        <w:t>I.</w:t>
      </w:r>
    </w:p>
    <w:p w14:paraId="013DA917" w14:textId="77777777" w:rsidR="00DD48BA" w:rsidRPr="00992805" w:rsidRDefault="00DD48BA" w:rsidP="00DD48B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92805">
        <w:rPr>
          <w:rFonts w:ascii="Calibri" w:hAnsi="Calibri" w:cs="Calibri"/>
          <w:b/>
          <w:bCs/>
          <w:sz w:val="22"/>
          <w:szCs w:val="22"/>
        </w:rPr>
        <w:t>Předmět Dodatku</w:t>
      </w:r>
    </w:p>
    <w:p w14:paraId="4B55D70D" w14:textId="77777777" w:rsidR="002D0302" w:rsidRDefault="002D0302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D4DF6B" w14:textId="41FC15DB" w:rsidR="00DD48BA" w:rsidRDefault="00B454F2" w:rsidP="00DD48BA">
      <w:pPr>
        <w:numPr>
          <w:ilvl w:val="0"/>
          <w:numId w:val="3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DD48BA" w:rsidRPr="00DD48BA">
        <w:rPr>
          <w:rFonts w:ascii="Calibri" w:hAnsi="Calibri" w:cs="Calibri"/>
          <w:sz w:val="22"/>
          <w:szCs w:val="22"/>
        </w:rPr>
        <w:t xml:space="preserve">trany spolu dne </w:t>
      </w:r>
      <w:r w:rsidR="009C0ECE">
        <w:rPr>
          <w:rFonts w:ascii="Calibri" w:hAnsi="Calibri" w:cs="Calibri"/>
          <w:sz w:val="22"/>
          <w:szCs w:val="22"/>
        </w:rPr>
        <w:t>28. června 2022</w:t>
      </w:r>
      <w:r w:rsidR="00DD48BA" w:rsidRPr="00DD48BA">
        <w:rPr>
          <w:rFonts w:ascii="Calibri" w:hAnsi="Calibri" w:cs="Calibri"/>
          <w:sz w:val="22"/>
          <w:szCs w:val="22"/>
        </w:rPr>
        <w:t xml:space="preserve"> uzavře</w:t>
      </w:r>
      <w:r w:rsidR="00522580">
        <w:rPr>
          <w:rFonts w:ascii="Calibri" w:hAnsi="Calibri" w:cs="Calibri"/>
          <w:sz w:val="22"/>
          <w:szCs w:val="22"/>
        </w:rPr>
        <w:t>ly Smlouvu</w:t>
      </w:r>
      <w:r w:rsidR="00DD48BA" w:rsidRPr="00DD48BA">
        <w:rPr>
          <w:rFonts w:ascii="Calibri" w:hAnsi="Calibri" w:cs="Calibri"/>
          <w:sz w:val="22"/>
          <w:szCs w:val="22"/>
        </w:rPr>
        <w:t xml:space="preserve"> podle § 2586 a násl. </w:t>
      </w:r>
      <w:r w:rsidR="002B4FB1">
        <w:rPr>
          <w:rFonts w:ascii="Calibri" w:hAnsi="Calibri" w:cs="Calibri"/>
          <w:sz w:val="22"/>
          <w:szCs w:val="22"/>
        </w:rPr>
        <w:t>zákona č. 89/2012 Sb., občanského zákoníku, ve znění pozdějších předpisů (dále jen „</w:t>
      </w:r>
      <w:r w:rsidR="00DD48BA" w:rsidRPr="002B4FB1">
        <w:rPr>
          <w:rFonts w:ascii="Calibri" w:hAnsi="Calibri" w:cs="Calibri"/>
          <w:b/>
          <w:bCs/>
          <w:sz w:val="22"/>
          <w:szCs w:val="22"/>
        </w:rPr>
        <w:t>OZ</w:t>
      </w:r>
      <w:r w:rsidR="002B4FB1">
        <w:rPr>
          <w:rFonts w:ascii="Calibri" w:hAnsi="Calibri" w:cs="Calibri"/>
          <w:sz w:val="22"/>
          <w:szCs w:val="22"/>
        </w:rPr>
        <w:t>“)</w:t>
      </w:r>
      <w:r w:rsidR="00DD48BA" w:rsidRPr="00DD48BA">
        <w:rPr>
          <w:rFonts w:ascii="Calibri" w:hAnsi="Calibri" w:cs="Calibri"/>
          <w:sz w:val="22"/>
          <w:szCs w:val="22"/>
        </w:rPr>
        <w:t xml:space="preserve">, </w:t>
      </w:r>
      <w:r w:rsidR="00591769">
        <w:rPr>
          <w:rFonts w:ascii="Calibri" w:hAnsi="Calibri" w:cs="Calibri"/>
          <w:sz w:val="22"/>
          <w:szCs w:val="22"/>
        </w:rPr>
        <w:t xml:space="preserve">jejímž předmětem </w:t>
      </w:r>
      <w:r w:rsidR="00591769" w:rsidRPr="00591769">
        <w:rPr>
          <w:rFonts w:ascii="Calibri" w:hAnsi="Calibri" w:cs="Calibri"/>
          <w:sz w:val="22"/>
          <w:szCs w:val="22"/>
        </w:rPr>
        <w:t xml:space="preserve">je závazek Zhotovitele jako </w:t>
      </w:r>
      <w:r w:rsidR="002B4FB1">
        <w:rPr>
          <w:rFonts w:ascii="Calibri" w:hAnsi="Calibri" w:cs="Calibri"/>
          <w:sz w:val="22"/>
          <w:szCs w:val="22"/>
        </w:rPr>
        <w:t>h</w:t>
      </w:r>
      <w:r w:rsidR="00591769" w:rsidRPr="00591769">
        <w:rPr>
          <w:rFonts w:ascii="Calibri" w:hAnsi="Calibri" w:cs="Calibri"/>
          <w:sz w:val="22"/>
          <w:szCs w:val="22"/>
        </w:rPr>
        <w:t xml:space="preserve">lavního architekta </w:t>
      </w:r>
      <w:r w:rsidR="002B4FB1">
        <w:rPr>
          <w:rFonts w:ascii="Calibri" w:hAnsi="Calibri" w:cs="Calibri"/>
          <w:sz w:val="22"/>
          <w:szCs w:val="22"/>
        </w:rPr>
        <w:t>p</w:t>
      </w:r>
      <w:r w:rsidR="00591769" w:rsidRPr="00591769">
        <w:rPr>
          <w:rFonts w:ascii="Calibri" w:hAnsi="Calibri" w:cs="Calibri"/>
          <w:sz w:val="22"/>
          <w:szCs w:val="22"/>
        </w:rPr>
        <w:t>rojektu řádně a včas provést pro Objednatele Dílo za podmínek Smlouvy</w:t>
      </w:r>
      <w:r w:rsidR="008224C8">
        <w:rPr>
          <w:rFonts w:ascii="Calibri" w:hAnsi="Calibri" w:cs="Calibri"/>
          <w:sz w:val="22"/>
          <w:szCs w:val="22"/>
        </w:rPr>
        <w:t xml:space="preserve">, ve znění dodatku č. 1 ze dne </w:t>
      </w:r>
      <w:r w:rsidR="009951AB">
        <w:rPr>
          <w:rFonts w:ascii="Calibri" w:hAnsi="Calibri" w:cs="Calibri"/>
          <w:sz w:val="22"/>
          <w:szCs w:val="22"/>
        </w:rPr>
        <w:t xml:space="preserve">31. </w:t>
      </w:r>
      <w:r w:rsidR="001F5554">
        <w:rPr>
          <w:rFonts w:ascii="Calibri" w:hAnsi="Calibri" w:cs="Calibri"/>
          <w:sz w:val="22"/>
          <w:szCs w:val="22"/>
        </w:rPr>
        <w:t xml:space="preserve">března </w:t>
      </w:r>
      <w:r w:rsidR="009951AB">
        <w:rPr>
          <w:rFonts w:ascii="Calibri" w:hAnsi="Calibri" w:cs="Calibri"/>
          <w:sz w:val="22"/>
          <w:szCs w:val="22"/>
        </w:rPr>
        <w:t>2024</w:t>
      </w:r>
      <w:r w:rsidR="008224C8">
        <w:rPr>
          <w:rFonts w:ascii="Calibri" w:hAnsi="Calibri" w:cs="Calibri"/>
          <w:sz w:val="22"/>
          <w:szCs w:val="22"/>
        </w:rPr>
        <w:t>.</w:t>
      </w:r>
      <w:r w:rsidR="009951AB">
        <w:rPr>
          <w:rFonts w:ascii="Calibri" w:hAnsi="Calibri" w:cs="Calibri"/>
          <w:sz w:val="22"/>
          <w:szCs w:val="22"/>
        </w:rPr>
        <w:t xml:space="preserve"> </w:t>
      </w:r>
    </w:p>
    <w:p w14:paraId="0A3A4168" w14:textId="77777777" w:rsidR="00DD48BA" w:rsidRDefault="00DD48BA" w:rsidP="00DD48BA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3C84904" w14:textId="58DBA2BC" w:rsidR="009951AB" w:rsidRDefault="00961045" w:rsidP="00961045">
      <w:pPr>
        <w:numPr>
          <w:ilvl w:val="0"/>
          <w:numId w:val="3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tohoto Dodatku je dohoda </w:t>
      </w:r>
      <w:r w:rsidR="00B454F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tran </w:t>
      </w:r>
      <w:r w:rsidR="009951AB">
        <w:rPr>
          <w:rFonts w:ascii="Calibri" w:hAnsi="Calibri" w:cs="Calibri"/>
          <w:sz w:val="22"/>
          <w:szCs w:val="22"/>
        </w:rPr>
        <w:t xml:space="preserve">na změně </w:t>
      </w:r>
      <w:r w:rsidR="008224C8">
        <w:rPr>
          <w:rFonts w:ascii="Calibri" w:hAnsi="Calibri" w:cs="Calibri"/>
          <w:sz w:val="22"/>
          <w:szCs w:val="22"/>
        </w:rPr>
        <w:t xml:space="preserve">Díla </w:t>
      </w:r>
      <w:r w:rsidR="009951AB">
        <w:rPr>
          <w:rFonts w:ascii="Calibri" w:hAnsi="Calibri" w:cs="Calibri"/>
          <w:sz w:val="22"/>
          <w:szCs w:val="22"/>
        </w:rPr>
        <w:t xml:space="preserve">vyvolané okolnostmi, které </w:t>
      </w:r>
      <w:r w:rsidR="00321046">
        <w:rPr>
          <w:rFonts w:ascii="Calibri" w:hAnsi="Calibri" w:cs="Calibri"/>
          <w:sz w:val="22"/>
          <w:szCs w:val="22"/>
        </w:rPr>
        <w:t xml:space="preserve">Objednatel jednající s náležitou péčí nemohl předvídat. </w:t>
      </w:r>
      <w:r w:rsidR="008810A5">
        <w:rPr>
          <w:rFonts w:ascii="Calibri" w:hAnsi="Calibri" w:cs="Calibri"/>
          <w:sz w:val="22"/>
          <w:szCs w:val="22"/>
        </w:rPr>
        <w:t xml:space="preserve">Pro účely splnění povinností Objednatele coby veřejného zadavatele Objednatel uvádí, že </w:t>
      </w:r>
      <w:r w:rsidR="008224C8">
        <w:rPr>
          <w:rFonts w:ascii="Calibri" w:hAnsi="Calibri" w:cs="Calibri"/>
          <w:sz w:val="22"/>
          <w:szCs w:val="22"/>
        </w:rPr>
        <w:t xml:space="preserve">tento </w:t>
      </w:r>
      <w:r w:rsidR="008810A5">
        <w:rPr>
          <w:rFonts w:ascii="Calibri" w:hAnsi="Calibri" w:cs="Calibri"/>
          <w:sz w:val="22"/>
          <w:szCs w:val="22"/>
        </w:rPr>
        <w:t>Dodatek je uzavírán v souladu s § 222 odst. 6 zákona č. 134/2016 Sb., o zadávání veřejných zakázek, ve znění pozdějších předpisů (dále jen „</w:t>
      </w:r>
      <w:r w:rsidR="008810A5" w:rsidRPr="008810A5">
        <w:rPr>
          <w:rFonts w:ascii="Calibri" w:hAnsi="Calibri" w:cs="Calibri"/>
          <w:b/>
          <w:bCs/>
          <w:sz w:val="22"/>
          <w:szCs w:val="22"/>
        </w:rPr>
        <w:t>ZZVZ</w:t>
      </w:r>
      <w:r w:rsidR="008810A5">
        <w:rPr>
          <w:rFonts w:ascii="Calibri" w:hAnsi="Calibri" w:cs="Calibri"/>
          <w:sz w:val="22"/>
          <w:szCs w:val="22"/>
        </w:rPr>
        <w:t xml:space="preserve">“). </w:t>
      </w:r>
    </w:p>
    <w:p w14:paraId="15A5F8AB" w14:textId="77777777" w:rsidR="009951AB" w:rsidRDefault="009951AB" w:rsidP="009951AB">
      <w:pPr>
        <w:pStyle w:val="Odstavecseseznamem"/>
        <w:rPr>
          <w:rFonts w:ascii="Calibri" w:hAnsi="Calibri" w:cs="Calibri"/>
          <w:sz w:val="22"/>
          <w:szCs w:val="22"/>
        </w:rPr>
      </w:pPr>
    </w:p>
    <w:p w14:paraId="52C5F8C8" w14:textId="113B01A7" w:rsidR="00E62E27" w:rsidRPr="009B28C8" w:rsidRDefault="00321046" w:rsidP="00E62E27">
      <w:pPr>
        <w:numPr>
          <w:ilvl w:val="0"/>
          <w:numId w:val="3"/>
        </w:numPr>
        <w:ind w:left="708" w:hanging="720"/>
        <w:jc w:val="both"/>
        <w:rPr>
          <w:rFonts w:ascii="Calibri" w:hAnsi="Calibri" w:cs="Calibri"/>
          <w:sz w:val="22"/>
          <w:szCs w:val="22"/>
        </w:rPr>
      </w:pPr>
      <w:r w:rsidRPr="002D2511">
        <w:rPr>
          <w:rFonts w:ascii="Calibri" w:hAnsi="Calibri" w:cs="Calibri"/>
          <w:sz w:val="22"/>
          <w:szCs w:val="22"/>
        </w:rPr>
        <w:t>Zhotovitel</w:t>
      </w:r>
      <w:r w:rsidR="009951AB" w:rsidRPr="002D2511">
        <w:rPr>
          <w:rFonts w:ascii="Calibri" w:hAnsi="Calibri" w:cs="Calibri"/>
          <w:sz w:val="22"/>
          <w:szCs w:val="22"/>
        </w:rPr>
        <w:t xml:space="preserve"> navrhl v</w:t>
      </w:r>
      <w:r w:rsidRPr="002D2511">
        <w:rPr>
          <w:rFonts w:ascii="Calibri" w:hAnsi="Calibri" w:cs="Calibri"/>
          <w:sz w:val="22"/>
          <w:szCs w:val="22"/>
        </w:rPr>
        <w:t xml:space="preserve"> souladu </w:t>
      </w:r>
      <w:r w:rsidR="009951AB" w:rsidRPr="002D2511">
        <w:rPr>
          <w:rFonts w:ascii="Calibri" w:hAnsi="Calibri" w:cs="Calibri"/>
          <w:sz w:val="22"/>
          <w:szCs w:val="22"/>
        </w:rPr>
        <w:t>se Smlouvou preferovanou možnost vytápění</w:t>
      </w:r>
      <w:r w:rsidR="004A401B" w:rsidRPr="002D2511">
        <w:rPr>
          <w:rFonts w:ascii="Calibri" w:hAnsi="Calibri" w:cs="Calibri"/>
          <w:sz w:val="22"/>
          <w:szCs w:val="22"/>
        </w:rPr>
        <w:t xml:space="preserve"> prostřednictvím horkovod</w:t>
      </w:r>
      <w:r w:rsidR="00A033A2">
        <w:rPr>
          <w:rFonts w:ascii="Calibri" w:hAnsi="Calibri" w:cs="Calibri"/>
          <w:sz w:val="22"/>
          <w:szCs w:val="22"/>
        </w:rPr>
        <w:t>u</w:t>
      </w:r>
      <w:r w:rsidR="007316A7" w:rsidRPr="002D2511">
        <w:rPr>
          <w:rFonts w:ascii="Calibri" w:hAnsi="Calibri" w:cs="Calibri"/>
          <w:sz w:val="22"/>
          <w:szCs w:val="22"/>
        </w:rPr>
        <w:t xml:space="preserve">. </w:t>
      </w:r>
      <w:r w:rsidR="009951AB" w:rsidRPr="002D2511">
        <w:rPr>
          <w:rFonts w:ascii="Calibri" w:hAnsi="Calibri" w:cs="Calibri"/>
          <w:sz w:val="22"/>
          <w:szCs w:val="22"/>
        </w:rPr>
        <w:t>Navržení trasy horkovodní přípojky proběhlo po konzultaci s vlastníkem horkovodního řadu (Pražská teplárenská a.s.)</w:t>
      </w:r>
      <w:r w:rsidR="00CA4916" w:rsidRPr="002D2511">
        <w:rPr>
          <w:rFonts w:ascii="Calibri" w:hAnsi="Calibri" w:cs="Calibri"/>
          <w:sz w:val="22"/>
          <w:szCs w:val="22"/>
        </w:rPr>
        <w:t>, který podmiňoval vybudování horkovod</w:t>
      </w:r>
      <w:r w:rsidR="001F5554">
        <w:rPr>
          <w:rFonts w:ascii="Calibri" w:hAnsi="Calibri" w:cs="Calibri"/>
          <w:sz w:val="22"/>
          <w:szCs w:val="22"/>
        </w:rPr>
        <w:t xml:space="preserve">ní přípojky </w:t>
      </w:r>
      <w:r w:rsidR="00CA4916" w:rsidRPr="002D2511">
        <w:rPr>
          <w:rFonts w:ascii="Calibri" w:hAnsi="Calibri" w:cs="Calibri"/>
          <w:sz w:val="22"/>
          <w:szCs w:val="22"/>
        </w:rPr>
        <w:t xml:space="preserve">realizací </w:t>
      </w:r>
      <w:r w:rsidR="00A033A2">
        <w:rPr>
          <w:rFonts w:ascii="Calibri" w:hAnsi="Calibri" w:cs="Calibri"/>
          <w:sz w:val="22"/>
          <w:szCs w:val="22"/>
        </w:rPr>
        <w:t xml:space="preserve">další </w:t>
      </w:r>
      <w:r w:rsidR="00CA4916" w:rsidRPr="002D2511">
        <w:rPr>
          <w:rFonts w:ascii="Calibri" w:hAnsi="Calibri" w:cs="Calibri"/>
          <w:sz w:val="22"/>
          <w:szCs w:val="22"/>
        </w:rPr>
        <w:t xml:space="preserve">zástavby v návaznosti na </w:t>
      </w:r>
      <w:r w:rsidR="00A033A2">
        <w:rPr>
          <w:rFonts w:ascii="Calibri" w:hAnsi="Calibri" w:cs="Calibri"/>
          <w:sz w:val="22"/>
          <w:szCs w:val="22"/>
        </w:rPr>
        <w:t xml:space="preserve">nově </w:t>
      </w:r>
      <w:r w:rsidR="00CA4916" w:rsidRPr="002D2511">
        <w:rPr>
          <w:rFonts w:ascii="Calibri" w:hAnsi="Calibri" w:cs="Calibri"/>
          <w:sz w:val="22"/>
          <w:szCs w:val="22"/>
        </w:rPr>
        <w:t>zpracov</w:t>
      </w:r>
      <w:r w:rsidR="00A033A2">
        <w:rPr>
          <w:rFonts w:ascii="Calibri" w:hAnsi="Calibri" w:cs="Calibri"/>
          <w:sz w:val="22"/>
          <w:szCs w:val="22"/>
        </w:rPr>
        <w:t xml:space="preserve">anou </w:t>
      </w:r>
      <w:r w:rsidR="00CA4916" w:rsidRPr="002D2511">
        <w:rPr>
          <w:rFonts w:ascii="Calibri" w:hAnsi="Calibri" w:cs="Calibri"/>
          <w:sz w:val="22"/>
          <w:szCs w:val="22"/>
        </w:rPr>
        <w:t>územní studi</w:t>
      </w:r>
      <w:r w:rsidR="00A033A2">
        <w:rPr>
          <w:rFonts w:ascii="Calibri" w:hAnsi="Calibri" w:cs="Calibri"/>
          <w:sz w:val="22"/>
          <w:szCs w:val="22"/>
        </w:rPr>
        <w:t>i</w:t>
      </w:r>
      <w:r w:rsidR="00CA4916" w:rsidRPr="002D2511">
        <w:rPr>
          <w:rFonts w:ascii="Calibri" w:hAnsi="Calibri" w:cs="Calibri"/>
          <w:sz w:val="22"/>
          <w:szCs w:val="22"/>
        </w:rPr>
        <w:t xml:space="preserve">. Trasa </w:t>
      </w:r>
      <w:r w:rsidR="009B05E7" w:rsidRPr="002D2511">
        <w:rPr>
          <w:rFonts w:ascii="Calibri" w:hAnsi="Calibri" w:cs="Calibri"/>
          <w:sz w:val="22"/>
          <w:szCs w:val="22"/>
        </w:rPr>
        <w:t>horkovod</w:t>
      </w:r>
      <w:r w:rsidR="00CA4916" w:rsidRPr="002D2511">
        <w:rPr>
          <w:rFonts w:ascii="Calibri" w:hAnsi="Calibri" w:cs="Calibri"/>
          <w:sz w:val="22"/>
          <w:szCs w:val="22"/>
        </w:rPr>
        <w:t xml:space="preserve">ní přípojky </w:t>
      </w:r>
      <w:r w:rsidR="007316A7" w:rsidRPr="002D2511">
        <w:rPr>
          <w:rFonts w:ascii="Calibri" w:hAnsi="Calibri" w:cs="Calibri"/>
          <w:sz w:val="22"/>
          <w:szCs w:val="22"/>
        </w:rPr>
        <w:t xml:space="preserve">měla vést </w:t>
      </w:r>
      <w:r w:rsidR="009951AB" w:rsidRPr="002D2511">
        <w:rPr>
          <w:rFonts w:ascii="Calibri" w:hAnsi="Calibri" w:cs="Calibri"/>
          <w:sz w:val="22"/>
          <w:szCs w:val="22"/>
        </w:rPr>
        <w:t xml:space="preserve">přes pozemky ve vlastnictví Dopravního podniku hl. m. Prahy </w:t>
      </w:r>
      <w:r w:rsidR="009951AB" w:rsidRPr="002D2511">
        <w:rPr>
          <w:rFonts w:ascii="Calibri" w:hAnsi="Calibri" w:cs="Calibri"/>
          <w:sz w:val="22"/>
          <w:szCs w:val="22"/>
        </w:rPr>
        <w:lastRenderedPageBreak/>
        <w:t>a.s.</w:t>
      </w:r>
      <w:r w:rsidR="004A401B" w:rsidRPr="002D2511">
        <w:rPr>
          <w:rFonts w:ascii="Calibri" w:hAnsi="Calibri" w:cs="Calibri"/>
          <w:sz w:val="22"/>
          <w:szCs w:val="22"/>
        </w:rPr>
        <w:t xml:space="preserve"> (zejména přes pozemek </w:t>
      </w:r>
      <w:proofErr w:type="spellStart"/>
      <w:r w:rsidR="004A401B" w:rsidRPr="002D2511">
        <w:rPr>
          <w:rFonts w:ascii="Calibri" w:hAnsi="Calibri" w:cs="Calibri"/>
          <w:sz w:val="22"/>
          <w:szCs w:val="22"/>
        </w:rPr>
        <w:t>p.č</w:t>
      </w:r>
      <w:proofErr w:type="spellEnd"/>
      <w:r w:rsidR="004A401B" w:rsidRPr="002D2511">
        <w:rPr>
          <w:rFonts w:ascii="Calibri" w:hAnsi="Calibri" w:cs="Calibri"/>
          <w:sz w:val="22"/>
          <w:szCs w:val="22"/>
        </w:rPr>
        <w:t xml:space="preserve">. 4014/1, obec Praha, </w:t>
      </w:r>
      <w:proofErr w:type="spellStart"/>
      <w:r w:rsidR="004A401B" w:rsidRPr="002D2511">
        <w:rPr>
          <w:rFonts w:ascii="Calibri" w:hAnsi="Calibri" w:cs="Calibri"/>
          <w:sz w:val="22"/>
          <w:szCs w:val="22"/>
        </w:rPr>
        <w:t>k.ú</w:t>
      </w:r>
      <w:proofErr w:type="spellEnd"/>
      <w:r w:rsidR="004A401B" w:rsidRPr="002D2511">
        <w:rPr>
          <w:rFonts w:ascii="Calibri" w:hAnsi="Calibri" w:cs="Calibri"/>
          <w:sz w:val="22"/>
          <w:szCs w:val="22"/>
        </w:rPr>
        <w:t>. Libeň</w:t>
      </w:r>
      <w:r w:rsidR="004A401B" w:rsidRPr="009B28C8">
        <w:rPr>
          <w:rFonts w:ascii="Calibri" w:hAnsi="Calibri" w:cs="Calibri"/>
          <w:sz w:val="22"/>
          <w:szCs w:val="22"/>
        </w:rPr>
        <w:t>)</w:t>
      </w:r>
      <w:r w:rsidR="009B28C8">
        <w:rPr>
          <w:rFonts w:ascii="Calibri" w:hAnsi="Calibri" w:cs="Calibri"/>
          <w:sz w:val="22"/>
          <w:szCs w:val="22"/>
        </w:rPr>
        <w:t xml:space="preserve">, které měly být </w:t>
      </w:r>
      <w:r w:rsidR="00CA4916" w:rsidRPr="009B28C8">
        <w:rPr>
          <w:rFonts w:ascii="Calibri" w:hAnsi="Calibri" w:cs="Calibri"/>
          <w:sz w:val="22"/>
          <w:szCs w:val="22"/>
        </w:rPr>
        <w:t xml:space="preserve">převedeny </w:t>
      </w:r>
      <w:r w:rsidR="009B05E7" w:rsidRPr="009B28C8">
        <w:rPr>
          <w:rFonts w:ascii="Calibri" w:hAnsi="Calibri" w:cs="Calibri"/>
          <w:sz w:val="22"/>
          <w:szCs w:val="22"/>
        </w:rPr>
        <w:t>na Hlavní město Prahu</w:t>
      </w:r>
      <w:r w:rsidR="002D2511" w:rsidRPr="009B28C8">
        <w:rPr>
          <w:rFonts w:ascii="Calibri" w:hAnsi="Calibri" w:cs="Calibri"/>
          <w:sz w:val="22"/>
          <w:szCs w:val="22"/>
        </w:rPr>
        <w:t>, resp. též na další vlastníky</w:t>
      </w:r>
      <w:r w:rsidR="009B05E7" w:rsidRPr="009B28C8">
        <w:rPr>
          <w:rFonts w:ascii="Calibri" w:hAnsi="Calibri" w:cs="Calibri"/>
          <w:sz w:val="22"/>
          <w:szCs w:val="22"/>
        </w:rPr>
        <w:t xml:space="preserve">. </w:t>
      </w:r>
    </w:p>
    <w:p w14:paraId="0FE5F8CF" w14:textId="77777777" w:rsidR="00E62E27" w:rsidRPr="009B28C8" w:rsidRDefault="00E62E27" w:rsidP="00E62E27">
      <w:pPr>
        <w:pStyle w:val="Odstavecseseznamem"/>
        <w:rPr>
          <w:rFonts w:ascii="Aptos" w:hAnsi="Aptos" w:cs="Aptos"/>
          <w:i/>
          <w:iCs/>
          <w:sz w:val="22"/>
          <w:szCs w:val="22"/>
          <w:lang w:eastAsia="en-US"/>
        </w:rPr>
      </w:pPr>
    </w:p>
    <w:p w14:paraId="52DECBDD" w14:textId="5C2E10D7" w:rsidR="00A033A2" w:rsidRPr="009B28C8" w:rsidRDefault="00E62E27" w:rsidP="00E62E27">
      <w:pPr>
        <w:numPr>
          <w:ilvl w:val="0"/>
          <w:numId w:val="3"/>
        </w:numPr>
        <w:ind w:left="708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28C8">
        <w:rPr>
          <w:rFonts w:asciiTheme="minorHAnsi" w:hAnsiTheme="minorHAnsi" w:cstheme="minorHAnsi"/>
          <w:sz w:val="22"/>
          <w:szCs w:val="22"/>
          <w:lang w:eastAsia="en-US"/>
        </w:rPr>
        <w:t xml:space="preserve">Vzhledem ke složitosti a komplexnosti transakce došlo k posunu harmonogramů, přičemž termín finálního uskutečnění převodu předmětných pozemků, resp. </w:t>
      </w:r>
      <w:r w:rsidR="009B28C8" w:rsidRPr="009B28C8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Pr="009B28C8">
        <w:rPr>
          <w:rFonts w:asciiTheme="minorHAnsi" w:hAnsiTheme="minorHAnsi" w:cstheme="minorHAnsi"/>
          <w:sz w:val="22"/>
          <w:szCs w:val="22"/>
          <w:lang w:eastAsia="en-US"/>
        </w:rPr>
        <w:t>realizace bytové výstavby v dané lokalitě</w:t>
      </w:r>
      <w:r w:rsidR="009B28C8" w:rsidRPr="009B28C8">
        <w:rPr>
          <w:rFonts w:asciiTheme="minorHAnsi" w:hAnsiTheme="minorHAnsi" w:cstheme="minorHAnsi"/>
          <w:sz w:val="22"/>
          <w:szCs w:val="22"/>
          <w:lang w:eastAsia="en-US"/>
        </w:rPr>
        <w:t xml:space="preserve"> požadované ze strany Pražské plynárenské</w:t>
      </w:r>
      <w:r w:rsidRPr="009B28C8">
        <w:rPr>
          <w:rFonts w:asciiTheme="minorHAnsi" w:hAnsiTheme="minorHAnsi" w:cstheme="minorHAnsi"/>
          <w:sz w:val="22"/>
          <w:szCs w:val="22"/>
          <w:lang w:eastAsia="en-US"/>
        </w:rPr>
        <w:t xml:space="preserve">, je </w:t>
      </w:r>
      <w:r w:rsidR="00AE723E">
        <w:rPr>
          <w:rFonts w:asciiTheme="minorHAnsi" w:hAnsiTheme="minorHAnsi" w:cstheme="minorHAnsi"/>
          <w:sz w:val="22"/>
          <w:szCs w:val="22"/>
          <w:lang w:eastAsia="en-US"/>
        </w:rPr>
        <w:t xml:space="preserve">nyní </w:t>
      </w:r>
      <w:r w:rsidR="009B28C8">
        <w:rPr>
          <w:rFonts w:asciiTheme="minorHAnsi" w:hAnsiTheme="minorHAnsi" w:cstheme="minorHAnsi"/>
          <w:sz w:val="22"/>
          <w:szCs w:val="22"/>
          <w:lang w:eastAsia="en-US"/>
        </w:rPr>
        <w:t xml:space="preserve">velmi </w:t>
      </w:r>
      <w:r w:rsidRPr="009B28C8">
        <w:rPr>
          <w:rFonts w:asciiTheme="minorHAnsi" w:hAnsiTheme="minorHAnsi" w:cstheme="minorHAnsi"/>
          <w:sz w:val="22"/>
          <w:szCs w:val="22"/>
          <w:lang w:eastAsia="en-US"/>
        </w:rPr>
        <w:t xml:space="preserve">obtížné odhadovat. </w:t>
      </w:r>
      <w:r w:rsidR="002D2511" w:rsidRPr="009B28C8">
        <w:rPr>
          <w:rFonts w:asciiTheme="minorHAnsi" w:hAnsiTheme="minorHAnsi" w:cstheme="minorHAnsi"/>
          <w:sz w:val="22"/>
          <w:szCs w:val="22"/>
        </w:rPr>
        <w:t xml:space="preserve">Uvedené </w:t>
      </w:r>
      <w:r w:rsidR="00CA4916" w:rsidRPr="009B28C8">
        <w:rPr>
          <w:rFonts w:asciiTheme="minorHAnsi" w:hAnsiTheme="minorHAnsi" w:cstheme="minorHAnsi"/>
          <w:sz w:val="22"/>
          <w:szCs w:val="22"/>
        </w:rPr>
        <w:t xml:space="preserve">okolnosti </w:t>
      </w:r>
      <w:r w:rsidR="009B28C8">
        <w:rPr>
          <w:rFonts w:asciiTheme="minorHAnsi" w:hAnsiTheme="minorHAnsi" w:cstheme="minorHAnsi"/>
          <w:sz w:val="22"/>
          <w:szCs w:val="22"/>
        </w:rPr>
        <w:t>spolu s </w:t>
      </w:r>
      <w:r w:rsidR="00CA4916" w:rsidRPr="009B28C8">
        <w:rPr>
          <w:rFonts w:asciiTheme="minorHAnsi" w:hAnsiTheme="minorHAnsi" w:cstheme="minorHAnsi"/>
          <w:sz w:val="22"/>
          <w:szCs w:val="22"/>
        </w:rPr>
        <w:t>potenciálně vyvolan</w:t>
      </w:r>
      <w:r w:rsidR="009B28C8">
        <w:rPr>
          <w:rFonts w:asciiTheme="minorHAnsi" w:hAnsiTheme="minorHAnsi" w:cstheme="minorHAnsi"/>
          <w:sz w:val="22"/>
          <w:szCs w:val="22"/>
        </w:rPr>
        <w:t xml:space="preserve">ými investicemi do </w:t>
      </w:r>
      <w:r w:rsidR="00CA4916" w:rsidRPr="009B28C8">
        <w:rPr>
          <w:rFonts w:asciiTheme="minorHAnsi" w:hAnsiTheme="minorHAnsi" w:cstheme="minorHAnsi"/>
          <w:sz w:val="22"/>
          <w:szCs w:val="22"/>
        </w:rPr>
        <w:t>přeložek stávajících inženýrských sítí</w:t>
      </w:r>
      <w:r w:rsidR="00A033A2" w:rsidRPr="009B28C8">
        <w:rPr>
          <w:rFonts w:asciiTheme="minorHAnsi" w:hAnsiTheme="minorHAnsi" w:cstheme="minorHAnsi"/>
          <w:sz w:val="22"/>
          <w:szCs w:val="22"/>
        </w:rPr>
        <w:t xml:space="preserve"> </w:t>
      </w:r>
      <w:r w:rsidR="00CA4916" w:rsidRPr="009B28C8">
        <w:rPr>
          <w:rFonts w:asciiTheme="minorHAnsi" w:hAnsiTheme="minorHAnsi" w:cstheme="minorHAnsi"/>
          <w:sz w:val="22"/>
          <w:szCs w:val="22"/>
        </w:rPr>
        <w:t xml:space="preserve">vedly </w:t>
      </w:r>
      <w:r w:rsidR="002D2511" w:rsidRPr="009B28C8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A033A2" w:rsidRPr="009B28C8">
        <w:rPr>
          <w:rFonts w:asciiTheme="minorHAnsi" w:hAnsiTheme="minorHAnsi" w:cstheme="minorHAnsi"/>
          <w:sz w:val="22"/>
          <w:szCs w:val="22"/>
        </w:rPr>
        <w:t>k</w:t>
      </w:r>
      <w:r w:rsidR="00AE723E">
        <w:rPr>
          <w:rFonts w:asciiTheme="minorHAnsi" w:hAnsiTheme="minorHAnsi" w:cstheme="minorHAnsi"/>
          <w:sz w:val="22"/>
          <w:szCs w:val="22"/>
        </w:rPr>
        <w:t> přehodnocení p</w:t>
      </w:r>
      <w:r w:rsidR="002D2511" w:rsidRPr="009B28C8">
        <w:rPr>
          <w:rFonts w:asciiTheme="minorHAnsi" w:hAnsiTheme="minorHAnsi" w:cstheme="minorHAnsi"/>
          <w:sz w:val="22"/>
          <w:szCs w:val="22"/>
        </w:rPr>
        <w:t>ůvodně preferované</w:t>
      </w:r>
      <w:r w:rsidR="00AE723E">
        <w:rPr>
          <w:rFonts w:asciiTheme="minorHAnsi" w:hAnsiTheme="minorHAnsi" w:cstheme="minorHAnsi"/>
          <w:sz w:val="22"/>
          <w:szCs w:val="22"/>
        </w:rPr>
        <w:t>ho</w:t>
      </w:r>
      <w:r w:rsidR="002D2511" w:rsidRPr="009B28C8">
        <w:rPr>
          <w:rFonts w:asciiTheme="minorHAnsi" w:hAnsiTheme="minorHAnsi" w:cstheme="minorHAnsi"/>
          <w:sz w:val="22"/>
          <w:szCs w:val="22"/>
        </w:rPr>
        <w:t xml:space="preserve"> řešení</w:t>
      </w:r>
      <w:r w:rsidR="00AE723E">
        <w:rPr>
          <w:rFonts w:asciiTheme="minorHAnsi" w:hAnsiTheme="minorHAnsi" w:cstheme="minorHAnsi"/>
          <w:sz w:val="22"/>
          <w:szCs w:val="22"/>
        </w:rPr>
        <w:t>.</w:t>
      </w:r>
      <w:r w:rsidR="002D2511" w:rsidRPr="009B28C8">
        <w:rPr>
          <w:rFonts w:asciiTheme="minorHAnsi" w:hAnsiTheme="minorHAnsi" w:cstheme="minorHAnsi"/>
          <w:sz w:val="22"/>
          <w:szCs w:val="22"/>
        </w:rPr>
        <w:t xml:space="preserve"> </w:t>
      </w:r>
      <w:r w:rsidR="00AE723E">
        <w:rPr>
          <w:rFonts w:asciiTheme="minorHAnsi" w:hAnsiTheme="minorHAnsi" w:cstheme="minorHAnsi"/>
          <w:sz w:val="22"/>
          <w:szCs w:val="22"/>
        </w:rPr>
        <w:t xml:space="preserve">Namísto </w:t>
      </w:r>
      <w:r w:rsidR="00AE723E" w:rsidRPr="009B28C8">
        <w:rPr>
          <w:rFonts w:asciiTheme="minorHAnsi" w:hAnsiTheme="minorHAnsi" w:cstheme="minorHAnsi"/>
          <w:sz w:val="22"/>
          <w:szCs w:val="22"/>
        </w:rPr>
        <w:t xml:space="preserve">vytápění </w:t>
      </w:r>
      <w:r w:rsidR="000C72FE">
        <w:rPr>
          <w:rFonts w:asciiTheme="minorHAnsi" w:hAnsiTheme="minorHAnsi" w:cstheme="minorHAnsi"/>
          <w:sz w:val="22"/>
          <w:szCs w:val="22"/>
        </w:rPr>
        <w:t xml:space="preserve">objektu </w:t>
      </w:r>
      <w:r w:rsidR="00AE723E" w:rsidRPr="009B28C8">
        <w:rPr>
          <w:rFonts w:asciiTheme="minorHAnsi" w:hAnsiTheme="minorHAnsi" w:cstheme="minorHAnsi"/>
          <w:sz w:val="22"/>
          <w:szCs w:val="22"/>
        </w:rPr>
        <w:t>horkovodem</w:t>
      </w:r>
      <w:r w:rsidR="00AE723E">
        <w:rPr>
          <w:rFonts w:asciiTheme="minorHAnsi" w:hAnsiTheme="minorHAnsi" w:cstheme="minorHAnsi"/>
          <w:sz w:val="22"/>
          <w:szCs w:val="22"/>
        </w:rPr>
        <w:t xml:space="preserve"> bude n</w:t>
      </w:r>
      <w:r w:rsidR="00CA4916" w:rsidRPr="009B28C8">
        <w:rPr>
          <w:rFonts w:asciiTheme="minorHAnsi" w:hAnsiTheme="minorHAnsi" w:cstheme="minorHAnsi"/>
          <w:sz w:val="22"/>
          <w:szCs w:val="22"/>
        </w:rPr>
        <w:t>ově pro objekt jako zdroj vytápění navržen plynový kotel.</w:t>
      </w:r>
    </w:p>
    <w:p w14:paraId="483FC8CF" w14:textId="77777777" w:rsidR="00A033A2" w:rsidRDefault="00A033A2" w:rsidP="00A033A2">
      <w:pPr>
        <w:pStyle w:val="Odstavecseseznamem"/>
        <w:rPr>
          <w:rFonts w:ascii="Calibri" w:hAnsi="Calibri" w:cs="Calibri"/>
          <w:sz w:val="22"/>
          <w:szCs w:val="22"/>
        </w:rPr>
      </w:pPr>
    </w:p>
    <w:p w14:paraId="7F4E1929" w14:textId="62D0E386" w:rsidR="00ED23FD" w:rsidRDefault="002D2511" w:rsidP="00E62E27">
      <w:pPr>
        <w:numPr>
          <w:ilvl w:val="0"/>
          <w:numId w:val="11"/>
        </w:numPr>
        <w:ind w:left="708" w:hanging="720"/>
        <w:jc w:val="both"/>
        <w:rPr>
          <w:rFonts w:ascii="Calibri" w:hAnsi="Calibri" w:cs="Calibri"/>
          <w:sz w:val="22"/>
          <w:szCs w:val="22"/>
        </w:rPr>
      </w:pPr>
      <w:r w:rsidRPr="002D2511">
        <w:rPr>
          <w:rFonts w:ascii="Calibri" w:hAnsi="Calibri" w:cs="Calibri"/>
          <w:sz w:val="22"/>
          <w:szCs w:val="22"/>
        </w:rPr>
        <w:t xml:space="preserve">Provedení nového řešení vytápění vyžaduje úpravu projektové dokumentace, zejména nutnost navržení nové plynové přípojky a úpravu dílčích částí projektové dokumentace. Popis změn je součástí </w:t>
      </w:r>
      <w:r w:rsidR="000054CB">
        <w:rPr>
          <w:rFonts w:ascii="Calibri" w:hAnsi="Calibri" w:cs="Calibri"/>
          <w:sz w:val="22"/>
          <w:szCs w:val="22"/>
        </w:rPr>
        <w:t>P</w:t>
      </w:r>
      <w:r w:rsidRPr="002D2511">
        <w:rPr>
          <w:rFonts w:ascii="Calibri" w:hAnsi="Calibri" w:cs="Calibri"/>
          <w:sz w:val="22"/>
          <w:szCs w:val="22"/>
        </w:rPr>
        <w:t>řílohy 1 tohoto Dodatku</w:t>
      </w:r>
      <w:r w:rsidR="00ED23FD">
        <w:rPr>
          <w:rFonts w:ascii="Calibri" w:hAnsi="Calibri" w:cs="Calibri"/>
          <w:sz w:val="22"/>
          <w:szCs w:val="22"/>
        </w:rPr>
        <w:t xml:space="preserve">, </w:t>
      </w:r>
      <w:r w:rsidR="00ED23FD">
        <w:rPr>
          <w:rFonts w:asciiTheme="minorHAnsi" w:hAnsiTheme="minorHAnsi" w:cstheme="minorHAnsi"/>
          <w:sz w:val="22"/>
          <w:szCs w:val="22"/>
        </w:rPr>
        <w:t xml:space="preserve">přičemž cenové navýšení </w:t>
      </w:r>
      <w:r w:rsidR="00ED23FD" w:rsidRPr="006F1F27">
        <w:rPr>
          <w:rFonts w:asciiTheme="minorHAnsi" w:hAnsiTheme="minorHAnsi" w:cstheme="minorHAnsi"/>
          <w:sz w:val="22"/>
          <w:szCs w:val="22"/>
        </w:rPr>
        <w:t>činí 342</w:t>
      </w:r>
      <w:r w:rsidR="000054CB" w:rsidRPr="006F1F27">
        <w:rPr>
          <w:rFonts w:asciiTheme="minorHAnsi" w:hAnsiTheme="minorHAnsi" w:cstheme="minorHAnsi"/>
          <w:sz w:val="22"/>
          <w:szCs w:val="22"/>
        </w:rPr>
        <w:t xml:space="preserve"> </w:t>
      </w:r>
      <w:r w:rsidR="00ED23FD" w:rsidRPr="006F1F27">
        <w:rPr>
          <w:rFonts w:asciiTheme="minorHAnsi" w:hAnsiTheme="minorHAnsi" w:cstheme="minorHAnsi"/>
          <w:sz w:val="22"/>
          <w:szCs w:val="22"/>
        </w:rPr>
        <w:t>000 Kč bez DPH.</w:t>
      </w:r>
      <w:r w:rsidRPr="002D2511">
        <w:rPr>
          <w:rFonts w:ascii="Calibri" w:hAnsi="Calibri" w:cs="Calibri"/>
          <w:sz w:val="22"/>
          <w:szCs w:val="22"/>
        </w:rPr>
        <w:t xml:space="preserve"> </w:t>
      </w:r>
    </w:p>
    <w:p w14:paraId="72282C9B" w14:textId="77777777" w:rsidR="00ED23FD" w:rsidRDefault="00ED23FD" w:rsidP="00ED23F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FF8DD6" w14:textId="77777777" w:rsidR="0094429E" w:rsidRDefault="0094429E" w:rsidP="00961045">
      <w:pPr>
        <w:jc w:val="both"/>
        <w:rPr>
          <w:rFonts w:ascii="Calibri" w:hAnsi="Calibri" w:cs="Calibri"/>
          <w:sz w:val="22"/>
          <w:szCs w:val="22"/>
        </w:rPr>
      </w:pPr>
    </w:p>
    <w:p w14:paraId="04C74A73" w14:textId="33C75466" w:rsidR="00961045" w:rsidRPr="00961045" w:rsidRDefault="00961045" w:rsidP="0096104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61045">
        <w:rPr>
          <w:rFonts w:ascii="Calibri" w:hAnsi="Calibri" w:cs="Calibri"/>
          <w:b/>
          <w:bCs/>
          <w:sz w:val="22"/>
          <w:szCs w:val="22"/>
        </w:rPr>
        <w:t>II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64D3A08E" w14:textId="6FBFBE6D" w:rsidR="002C40F3" w:rsidRDefault="00961045" w:rsidP="00FA1A7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Změny Smlouvy</w:t>
      </w:r>
    </w:p>
    <w:p w14:paraId="3CCEA91D" w14:textId="77777777" w:rsidR="002C40F3" w:rsidRPr="002C40F3" w:rsidRDefault="002C40F3" w:rsidP="002C40F3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4192334" w14:textId="77777777" w:rsidR="002C40F3" w:rsidRPr="002C40F3" w:rsidRDefault="002C40F3" w:rsidP="002C40F3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D16970B" w14:textId="77777777" w:rsidR="00481532" w:rsidRPr="00FA1A75" w:rsidRDefault="00481532" w:rsidP="00FA1A7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59C8F1" w14:textId="79A13DAA" w:rsidR="001F5554" w:rsidRDefault="001F5554" w:rsidP="001F5554">
      <w:pPr>
        <w:pStyle w:val="Odstavecseseznamem"/>
        <w:numPr>
          <w:ilvl w:val="1"/>
          <w:numId w:val="6"/>
        </w:numPr>
        <w:ind w:hanging="7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lk155731130"/>
      <w:r>
        <w:rPr>
          <w:rFonts w:asciiTheme="minorHAnsi" w:hAnsiTheme="minorHAnsi" w:cstheme="minorHAnsi"/>
          <w:sz w:val="22"/>
          <w:szCs w:val="22"/>
        </w:rPr>
        <w:t xml:space="preserve">Strany se dohodly na změně Specifikace Ceny Díla a jednotlivých dílčích plnění dle Smlouvy. Nová Specifikace Ceny Díla a jednotlivých dílčích plnění jsou uvedena v Příloze </w:t>
      </w:r>
      <w:r w:rsidR="000054C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tohoto Dodatku, která s účinností tohoto Dodatku nahrazuje Přílohu 2 Smlouvy.</w:t>
      </w:r>
    </w:p>
    <w:p w14:paraId="647E9C64" w14:textId="77777777" w:rsidR="001F5554" w:rsidRDefault="001F5554" w:rsidP="001F5554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6842962C" w14:textId="3BDA5C7F" w:rsidR="001F5554" w:rsidRDefault="001F5554" w:rsidP="001F5554">
      <w:pPr>
        <w:pStyle w:val="Odstavecseseznamem"/>
        <w:numPr>
          <w:ilvl w:val="1"/>
          <w:numId w:val="6"/>
        </w:numPr>
        <w:ind w:hanging="7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Strany se dohodly na změně Harmonogramu prací. Nový Harmonogram prací je uveden v Příloze </w:t>
      </w:r>
      <w:r w:rsidR="000054C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tohoto Dodatku, který s účinností tohoto Dodatku nahrazuje Přílohu 3 Smlouvy.</w:t>
      </w:r>
    </w:p>
    <w:p w14:paraId="5D87FAC3" w14:textId="77777777" w:rsidR="001F5554" w:rsidRDefault="001F5554" w:rsidP="001F5554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44ABF071" w14:textId="77777777" w:rsidR="001F5554" w:rsidRDefault="001F5554" w:rsidP="001F5554">
      <w:pPr>
        <w:pStyle w:val="Odstavecseseznamem"/>
        <w:numPr>
          <w:ilvl w:val="1"/>
          <w:numId w:val="6"/>
        </w:numPr>
        <w:ind w:hanging="792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Strany se dohodly, že článek 14.1 Smlouvy nově zní:</w:t>
      </w:r>
    </w:p>
    <w:bookmarkEnd w:id="0"/>
    <w:p w14:paraId="3C048031" w14:textId="77777777" w:rsidR="00481532" w:rsidRDefault="00481532" w:rsidP="0048153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603"/>
      </w:tblGrid>
      <w:tr w:rsidR="00481532" w:rsidRPr="006F1F27" w14:paraId="58779130" w14:textId="77777777" w:rsidTr="00481532">
        <w:tc>
          <w:tcPr>
            <w:tcW w:w="851" w:type="dxa"/>
          </w:tcPr>
          <w:p w14:paraId="67093EB3" w14:textId="35324E4A" w:rsidR="00481532" w:rsidRPr="00481532" w:rsidRDefault="00481532" w:rsidP="00481532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4815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14.1</w:t>
            </w:r>
          </w:p>
        </w:tc>
        <w:tc>
          <w:tcPr>
            <w:tcW w:w="7603" w:type="dxa"/>
          </w:tcPr>
          <w:p w14:paraId="13DA81E5" w14:textId="20987995" w:rsidR="00481532" w:rsidRPr="006F1F27" w:rsidRDefault="00481532" w:rsidP="00481532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F1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</w:t>
            </w:r>
          </w:p>
          <w:p w14:paraId="4BF3369F" w14:textId="748031DD" w:rsidR="00481532" w:rsidRPr="006F1F27" w:rsidRDefault="00481532" w:rsidP="00481532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F1F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 zhotovení Návrhu stavby, Projektové dokumentace, provedení inženýrských činností, provedení služeb Autorského dozoru a za všechny ostatní závazky Zhotovitele vyplývající z této Smlouvy, včetně provedení přípravných prací, obstarání podkladů a povolení, koordinace provedení měření a průzkumů a za další blíže specifikované služby poskytnuté v souvislosti s touto Smlouvu, uhradí Objednatel Zhotoviteli celkovou maximální a nepřekročitelnou cenu ve výši </w:t>
            </w:r>
            <w:r w:rsidR="002127D5" w:rsidRPr="006F1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5</w:t>
            </w:r>
            <w:r w:rsidR="00047B1A" w:rsidRPr="006F1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218 803</w:t>
            </w:r>
            <w:r w:rsidRPr="006F1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bez DPH</w:t>
            </w:r>
            <w:r w:rsidRPr="006F1F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(„</w:t>
            </w:r>
            <w:r w:rsidRPr="006F1F2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Cena</w:t>
            </w:r>
            <w:r w:rsidRPr="006F1F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”). Cena jakož i její jednotlivé složky jsou vždy bez DPH.“</w:t>
            </w:r>
          </w:p>
          <w:p w14:paraId="68B73BA1" w14:textId="0480E0D4" w:rsidR="001F5554" w:rsidRPr="006F1F27" w:rsidRDefault="001F5554" w:rsidP="00481532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393383AF" w14:textId="7D21C389" w:rsidR="009355ED" w:rsidRDefault="0051151B" w:rsidP="002C40F3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Ostatní ustanovení Smlouvy </w:t>
      </w:r>
      <w:r w:rsidR="008224C8">
        <w:rPr>
          <w:rFonts w:asciiTheme="minorHAnsi" w:hAnsiTheme="minorHAnsi" w:cstheme="minorHAnsi"/>
          <w:sz w:val="22"/>
          <w:szCs w:val="22"/>
        </w:rPr>
        <w:t xml:space="preserve">zůstávají </w:t>
      </w:r>
      <w:r>
        <w:rPr>
          <w:rFonts w:asciiTheme="minorHAnsi" w:hAnsiTheme="minorHAnsi" w:cstheme="minorHAnsi"/>
          <w:sz w:val="22"/>
          <w:szCs w:val="22"/>
        </w:rPr>
        <w:t xml:space="preserve">tímto Dodatkem </w:t>
      </w:r>
      <w:r w:rsidR="008224C8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>dotčena.</w:t>
      </w:r>
    </w:p>
    <w:p w14:paraId="4C3F7C21" w14:textId="77777777" w:rsidR="0094429E" w:rsidRDefault="0094429E" w:rsidP="009442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7F5BE" w14:textId="77777777" w:rsidR="0094429E" w:rsidRPr="0094429E" w:rsidRDefault="0094429E" w:rsidP="009442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B5670" w14:textId="77777777" w:rsidR="00373F7D" w:rsidRDefault="00373F7D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8B6886" w14:textId="7EA1C519" w:rsidR="00373F7D" w:rsidRPr="00373F7D" w:rsidRDefault="00373F7D" w:rsidP="00373F7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73F7D">
        <w:rPr>
          <w:rFonts w:ascii="Calibri" w:hAnsi="Calibri" w:cs="Calibri"/>
          <w:b/>
          <w:bCs/>
          <w:sz w:val="22"/>
          <w:szCs w:val="22"/>
        </w:rPr>
        <w:t>III.</w:t>
      </w:r>
    </w:p>
    <w:p w14:paraId="412D072A" w14:textId="3B64AD9E" w:rsidR="00373F7D" w:rsidRPr="00373F7D" w:rsidRDefault="00373F7D" w:rsidP="00373F7D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0E7D2977" w14:textId="77777777" w:rsidR="00373F7D" w:rsidRDefault="00373F7D" w:rsidP="009B344D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2724B" w14:textId="77777777" w:rsidR="00CD465D" w:rsidRPr="00CD465D" w:rsidRDefault="00CD465D" w:rsidP="00CD465D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D765931" w14:textId="1C30E582" w:rsidR="0055645C" w:rsidRDefault="0055645C" w:rsidP="00CD465D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se řídí právem České republiky a bude vykládán v souladu s ním. </w:t>
      </w:r>
      <w:r w:rsidRPr="0055645C">
        <w:rPr>
          <w:rFonts w:asciiTheme="minorHAnsi" w:hAnsiTheme="minorHAnsi" w:cstheme="minorHAnsi"/>
          <w:sz w:val="22"/>
          <w:szCs w:val="22"/>
        </w:rPr>
        <w:t>Záležitosti, které nejsou v t</w:t>
      </w:r>
      <w:r>
        <w:rPr>
          <w:rFonts w:asciiTheme="minorHAnsi" w:hAnsiTheme="minorHAnsi" w:cstheme="minorHAnsi"/>
          <w:sz w:val="22"/>
          <w:szCs w:val="22"/>
        </w:rPr>
        <w:t>omto</w:t>
      </w:r>
      <w:r w:rsidRPr="005564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Dodatku</w:t>
      </w:r>
      <w:r w:rsidRPr="0055645C">
        <w:rPr>
          <w:rFonts w:asciiTheme="minorHAnsi" w:hAnsiTheme="minorHAnsi" w:cstheme="minorHAnsi"/>
          <w:sz w:val="22"/>
          <w:szCs w:val="22"/>
        </w:rPr>
        <w:t xml:space="preserve"> dohodnuty nebo z t</w:t>
      </w:r>
      <w:r>
        <w:rPr>
          <w:rFonts w:asciiTheme="minorHAnsi" w:hAnsiTheme="minorHAnsi" w:cstheme="minorHAnsi"/>
          <w:sz w:val="22"/>
          <w:szCs w:val="22"/>
        </w:rPr>
        <w:t>ohoto</w:t>
      </w:r>
      <w:r w:rsidRPr="005564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Dodatku</w:t>
      </w:r>
      <w:r w:rsidRPr="0055645C">
        <w:rPr>
          <w:rFonts w:asciiTheme="minorHAnsi" w:hAnsiTheme="minorHAnsi" w:cstheme="minorHAnsi"/>
          <w:sz w:val="22"/>
          <w:szCs w:val="22"/>
        </w:rPr>
        <w:t xml:space="preserve"> nevyplývají, se budou řídit příslušnými ustanoveními </w:t>
      </w:r>
      <w:r w:rsidR="00FE7D60">
        <w:rPr>
          <w:rFonts w:asciiTheme="minorHAnsi" w:hAnsiTheme="minorHAnsi" w:cstheme="minorHAnsi"/>
          <w:sz w:val="22"/>
          <w:szCs w:val="22"/>
        </w:rPr>
        <w:t>p</w:t>
      </w:r>
      <w:r w:rsidRPr="0055645C">
        <w:rPr>
          <w:rFonts w:asciiTheme="minorHAnsi" w:hAnsiTheme="minorHAnsi" w:cstheme="minorHAnsi"/>
          <w:sz w:val="22"/>
          <w:szCs w:val="22"/>
        </w:rPr>
        <w:t>rávních předpisů, zejména O</w:t>
      </w:r>
      <w:r>
        <w:rPr>
          <w:rFonts w:asciiTheme="minorHAnsi" w:hAnsiTheme="minorHAnsi" w:cstheme="minorHAnsi"/>
          <w:sz w:val="22"/>
          <w:szCs w:val="22"/>
        </w:rPr>
        <w:t xml:space="preserve">Z </w:t>
      </w:r>
      <w:r w:rsidRPr="0055645C">
        <w:rPr>
          <w:rFonts w:asciiTheme="minorHAnsi" w:hAnsiTheme="minorHAnsi" w:cstheme="minorHAnsi"/>
          <w:sz w:val="22"/>
          <w:szCs w:val="22"/>
        </w:rPr>
        <w:t xml:space="preserve">a </w:t>
      </w:r>
      <w:r w:rsidRPr="00245598">
        <w:rPr>
          <w:rFonts w:asciiTheme="minorHAnsi" w:hAnsiTheme="minorHAnsi" w:cstheme="minorHAnsi"/>
          <w:sz w:val="22"/>
          <w:szCs w:val="22"/>
        </w:rPr>
        <w:t>ZZVZ</w:t>
      </w:r>
      <w:r w:rsidRPr="0055645C">
        <w:rPr>
          <w:rFonts w:asciiTheme="minorHAnsi" w:hAnsiTheme="minorHAnsi" w:cstheme="minorHAnsi"/>
          <w:sz w:val="22"/>
          <w:szCs w:val="22"/>
        </w:rPr>
        <w:t>.</w:t>
      </w:r>
    </w:p>
    <w:p w14:paraId="1AAC5FE3" w14:textId="77777777" w:rsidR="00504962" w:rsidRPr="00504962" w:rsidRDefault="00504962" w:rsidP="0050496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C0B5AEF" w14:textId="165F90C3" w:rsidR="00504962" w:rsidRPr="002B4FB1" w:rsidRDefault="00504962" w:rsidP="00CD465D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2B4FB1">
        <w:rPr>
          <w:rFonts w:asciiTheme="minorHAnsi" w:hAnsiTheme="minorHAnsi" w:cstheme="minorHAnsi"/>
          <w:sz w:val="22"/>
          <w:szCs w:val="22"/>
        </w:rPr>
        <w:t xml:space="preserve">Pro </w:t>
      </w:r>
      <w:r w:rsidR="00EE73E9" w:rsidRPr="002B4FB1">
        <w:rPr>
          <w:rFonts w:asciiTheme="minorHAnsi" w:hAnsiTheme="minorHAnsi" w:cstheme="minorHAnsi"/>
          <w:sz w:val="22"/>
          <w:szCs w:val="22"/>
        </w:rPr>
        <w:t>vyloučení</w:t>
      </w:r>
      <w:r w:rsidRPr="002B4FB1">
        <w:rPr>
          <w:rFonts w:asciiTheme="minorHAnsi" w:hAnsiTheme="minorHAnsi" w:cstheme="minorHAnsi"/>
          <w:sz w:val="22"/>
          <w:szCs w:val="22"/>
        </w:rPr>
        <w:t xml:space="preserve"> pochybností Strany shodně uvádí, že hodnota změny </w:t>
      </w:r>
      <w:r w:rsidR="00543C31" w:rsidRPr="002B4FB1">
        <w:rPr>
          <w:rFonts w:asciiTheme="minorHAnsi" w:hAnsiTheme="minorHAnsi" w:cstheme="minorHAnsi"/>
          <w:sz w:val="22"/>
          <w:szCs w:val="22"/>
        </w:rPr>
        <w:t>C</w:t>
      </w:r>
      <w:r w:rsidRPr="002B4FB1">
        <w:rPr>
          <w:rFonts w:asciiTheme="minorHAnsi" w:hAnsiTheme="minorHAnsi" w:cstheme="minorHAnsi"/>
          <w:sz w:val="22"/>
          <w:szCs w:val="22"/>
        </w:rPr>
        <w:t xml:space="preserve">eny, provedená tímto </w:t>
      </w:r>
      <w:r w:rsidR="005D7B45" w:rsidRPr="002B4FB1">
        <w:rPr>
          <w:rFonts w:asciiTheme="minorHAnsi" w:hAnsiTheme="minorHAnsi" w:cstheme="minorHAnsi"/>
          <w:sz w:val="22"/>
          <w:szCs w:val="22"/>
        </w:rPr>
        <w:t>D</w:t>
      </w:r>
      <w:r w:rsidRPr="002B4FB1">
        <w:rPr>
          <w:rFonts w:asciiTheme="minorHAnsi" w:hAnsiTheme="minorHAnsi" w:cstheme="minorHAnsi"/>
          <w:sz w:val="22"/>
          <w:szCs w:val="22"/>
        </w:rPr>
        <w:t xml:space="preserve">odatkem, je nižší než </w:t>
      </w:r>
      <w:r w:rsidR="002127D5" w:rsidRPr="002B4FB1">
        <w:rPr>
          <w:rFonts w:asciiTheme="minorHAnsi" w:hAnsiTheme="minorHAnsi" w:cstheme="minorHAnsi"/>
          <w:sz w:val="22"/>
          <w:szCs w:val="22"/>
        </w:rPr>
        <w:t>3</w:t>
      </w:r>
      <w:r w:rsidRPr="002B4FB1">
        <w:rPr>
          <w:rFonts w:asciiTheme="minorHAnsi" w:hAnsiTheme="minorHAnsi" w:cstheme="minorHAnsi"/>
          <w:sz w:val="22"/>
          <w:szCs w:val="22"/>
        </w:rPr>
        <w:t xml:space="preserve">0 % původní hodnoty závazku a není tak ve smyslu § 222 odst. </w:t>
      </w:r>
      <w:r w:rsidR="002127D5" w:rsidRPr="002B4FB1">
        <w:rPr>
          <w:rFonts w:asciiTheme="minorHAnsi" w:hAnsiTheme="minorHAnsi" w:cstheme="minorHAnsi"/>
          <w:sz w:val="22"/>
          <w:szCs w:val="22"/>
        </w:rPr>
        <w:t>9</w:t>
      </w:r>
      <w:r w:rsidRPr="002B4FB1">
        <w:rPr>
          <w:rFonts w:asciiTheme="minorHAnsi" w:hAnsiTheme="minorHAnsi" w:cstheme="minorHAnsi"/>
          <w:sz w:val="22"/>
          <w:szCs w:val="22"/>
        </w:rPr>
        <w:t xml:space="preserve"> ZZVZ považována za podstatnou změnu závazku ze smlouvy na veřejnou zakázku. Strany rovněž </w:t>
      </w:r>
      <w:r w:rsidRPr="002B4FB1">
        <w:rPr>
          <w:rFonts w:asciiTheme="minorHAnsi" w:hAnsiTheme="minorHAnsi" w:cstheme="minorHAnsi"/>
          <w:sz w:val="22"/>
          <w:szCs w:val="22"/>
        </w:rPr>
        <w:lastRenderedPageBreak/>
        <w:t xml:space="preserve">prohlašují že ke dni podpisu tohoto Dodatku nebylo provedeno více změn </w:t>
      </w:r>
      <w:r w:rsidR="00543C31" w:rsidRPr="002B4FB1">
        <w:rPr>
          <w:rFonts w:asciiTheme="minorHAnsi" w:hAnsiTheme="minorHAnsi" w:cstheme="minorHAnsi"/>
          <w:sz w:val="22"/>
          <w:szCs w:val="22"/>
        </w:rPr>
        <w:t>Ceny</w:t>
      </w:r>
      <w:r w:rsidR="002B4FB1" w:rsidRPr="002B4FB1">
        <w:rPr>
          <w:rFonts w:asciiTheme="minorHAnsi" w:hAnsiTheme="minorHAnsi" w:cstheme="minorHAnsi"/>
          <w:sz w:val="22"/>
          <w:szCs w:val="22"/>
        </w:rPr>
        <w:t xml:space="preserve"> zdůvodněných podle § 222 odst. 5 nebo 6 ZZVZ</w:t>
      </w:r>
      <w:r w:rsidRPr="002B4FB1">
        <w:rPr>
          <w:rFonts w:asciiTheme="minorHAnsi" w:hAnsiTheme="minorHAnsi" w:cstheme="minorHAnsi"/>
          <w:sz w:val="22"/>
          <w:szCs w:val="22"/>
        </w:rPr>
        <w:t>.</w:t>
      </w:r>
    </w:p>
    <w:p w14:paraId="7F03AD79" w14:textId="77777777" w:rsidR="00F745EA" w:rsidRPr="00F745EA" w:rsidRDefault="00F745EA" w:rsidP="00B5564E"/>
    <w:p w14:paraId="330C6ECE" w14:textId="4B435689" w:rsidR="00F745EA" w:rsidRDefault="00F745EA" w:rsidP="00CD465D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F745EA">
        <w:rPr>
          <w:rFonts w:asciiTheme="minorHAnsi" w:hAnsiTheme="minorHAnsi" w:cstheme="minorHAnsi"/>
          <w:sz w:val="22"/>
          <w:szCs w:val="22"/>
        </w:rPr>
        <w:t>Pokud se jakékoli ustanovení t</w:t>
      </w:r>
      <w:r>
        <w:rPr>
          <w:rFonts w:asciiTheme="minorHAnsi" w:hAnsiTheme="minorHAnsi" w:cstheme="minorHAnsi"/>
          <w:sz w:val="22"/>
          <w:szCs w:val="22"/>
        </w:rPr>
        <w:t>ohoto</w:t>
      </w:r>
      <w:r w:rsidRPr="00F745E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Dodatku</w:t>
      </w:r>
      <w:r w:rsidRPr="00F745EA">
        <w:rPr>
          <w:rFonts w:asciiTheme="minorHAnsi" w:hAnsiTheme="minorHAnsi" w:cstheme="minorHAnsi"/>
          <w:sz w:val="22"/>
          <w:szCs w:val="22"/>
        </w:rPr>
        <w:t xml:space="preserve"> stane nebo bude určeno jako neplatné nebo nevynutitelné, pak taková neplatnost nebo nevynutitelnost neovlivní (v nejvyšší možné míře přípustné </w:t>
      </w:r>
      <w:r w:rsidR="00FE7D60">
        <w:rPr>
          <w:rFonts w:asciiTheme="minorHAnsi" w:hAnsiTheme="minorHAnsi" w:cstheme="minorHAnsi"/>
          <w:sz w:val="22"/>
          <w:szCs w:val="22"/>
        </w:rPr>
        <w:t>p</w:t>
      </w:r>
      <w:r w:rsidRPr="00F745EA">
        <w:rPr>
          <w:rFonts w:asciiTheme="minorHAnsi" w:hAnsiTheme="minorHAnsi" w:cstheme="minorHAnsi"/>
          <w:sz w:val="22"/>
          <w:szCs w:val="22"/>
        </w:rPr>
        <w:t>rávními předpisy) platnost nebo vynutitelnost zbylých ustanovení t</w:t>
      </w:r>
      <w:r>
        <w:rPr>
          <w:rFonts w:asciiTheme="minorHAnsi" w:hAnsiTheme="minorHAnsi" w:cstheme="minorHAnsi"/>
          <w:sz w:val="22"/>
          <w:szCs w:val="22"/>
        </w:rPr>
        <w:t>ohoto</w:t>
      </w:r>
      <w:r w:rsidRPr="00F745E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Dodatku</w:t>
      </w:r>
      <w:r w:rsidRPr="00F745EA">
        <w:rPr>
          <w:rFonts w:asciiTheme="minorHAnsi" w:hAnsiTheme="minorHAnsi" w:cstheme="minorHAnsi"/>
          <w:sz w:val="22"/>
          <w:szCs w:val="22"/>
        </w:rPr>
        <w:t xml:space="preserve">. V takovém případě se Strany dohodly, že bez zbytečného odkladu nahradí neplatné nebo nevynutitelné ustanovení ustanovením platným a vynutitelným, aby se dosáhlo v maximální možné míře dovolené </w:t>
      </w:r>
      <w:r w:rsidR="00230AB5">
        <w:rPr>
          <w:rFonts w:asciiTheme="minorHAnsi" w:hAnsiTheme="minorHAnsi" w:cstheme="minorHAnsi"/>
          <w:sz w:val="22"/>
          <w:szCs w:val="22"/>
        </w:rPr>
        <w:t>p</w:t>
      </w:r>
      <w:r w:rsidRPr="00F745EA">
        <w:rPr>
          <w:rFonts w:asciiTheme="minorHAnsi" w:hAnsiTheme="minorHAnsi" w:cstheme="minorHAnsi"/>
          <w:sz w:val="22"/>
          <w:szCs w:val="22"/>
        </w:rPr>
        <w:t>rávními předpisy stejného účinku a výsledku, jaký byl sledován nahrazovaným ustanovením.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3AB750" w14:textId="77777777" w:rsidR="001F5554" w:rsidRDefault="001F5554" w:rsidP="001F555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9B5F15" w14:textId="77777777" w:rsidR="00874117" w:rsidRDefault="00874117" w:rsidP="00874117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Tento Dodatek je vyhotoven ve </w:t>
      </w:r>
      <w:r w:rsidRPr="00B5564E">
        <w:rPr>
          <w:rFonts w:asciiTheme="minorHAnsi" w:hAnsiTheme="minorHAnsi" w:cstheme="minorHAnsi"/>
          <w:sz w:val="22"/>
          <w:szCs w:val="22"/>
        </w:rPr>
        <w:t>čtyřech (4)</w:t>
      </w:r>
      <w:r>
        <w:rPr>
          <w:rFonts w:asciiTheme="minorHAnsi" w:hAnsiTheme="minorHAnsi" w:cstheme="minorHAnsi"/>
          <w:sz w:val="22"/>
          <w:szCs w:val="22"/>
        </w:rPr>
        <w:t xml:space="preserve"> stejnopisech,</w:t>
      </w:r>
      <w:r w:rsidRPr="00B454F2">
        <w:rPr>
          <w:rFonts w:asciiTheme="minorHAnsi" w:hAnsiTheme="minorHAnsi" w:cstheme="minorHAnsi"/>
          <w:sz w:val="22"/>
          <w:szCs w:val="22"/>
        </w:rPr>
        <w:t xml:space="preserve"> přičemž</w:t>
      </w:r>
      <w:r>
        <w:rPr>
          <w:rFonts w:asciiTheme="minorHAnsi" w:hAnsiTheme="minorHAnsi" w:cstheme="minorHAnsi"/>
          <w:sz w:val="22"/>
          <w:szCs w:val="22"/>
        </w:rPr>
        <w:t xml:space="preserve"> každá ze Stran obdrží po </w:t>
      </w:r>
      <w:r w:rsidRPr="00B5564E">
        <w:rPr>
          <w:rFonts w:asciiTheme="minorHAnsi" w:hAnsiTheme="minorHAnsi" w:cstheme="minorHAnsi"/>
          <w:sz w:val="22"/>
          <w:szCs w:val="22"/>
        </w:rPr>
        <w:t>dvou (2)</w:t>
      </w:r>
      <w:r>
        <w:rPr>
          <w:rFonts w:asciiTheme="minorHAnsi" w:hAnsiTheme="minorHAnsi" w:cstheme="minorHAnsi"/>
          <w:sz w:val="22"/>
          <w:szCs w:val="22"/>
        </w:rPr>
        <w:t xml:space="preserve"> stejnopisech</w:t>
      </w:r>
      <w:r w:rsidRPr="00D32D75">
        <w:rPr>
          <w:rFonts w:asciiTheme="minorHAnsi" w:hAnsiTheme="minorHAnsi" w:cstheme="minorHAnsi"/>
          <w:sz w:val="22"/>
          <w:szCs w:val="22"/>
        </w:rPr>
        <w:t>.</w:t>
      </w:r>
    </w:p>
    <w:p w14:paraId="1F9B8DB6" w14:textId="77777777" w:rsidR="00874117" w:rsidRDefault="00874117" w:rsidP="00874117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2D9833F1" w14:textId="7809F03F" w:rsidR="00874117" w:rsidRDefault="00874117" w:rsidP="00874117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</w:t>
      </w:r>
      <w:r w:rsidRPr="0055645C">
        <w:rPr>
          <w:rFonts w:asciiTheme="minorHAnsi" w:hAnsiTheme="minorHAnsi" w:cstheme="minorHAnsi"/>
          <w:sz w:val="22"/>
          <w:szCs w:val="22"/>
        </w:rPr>
        <w:t xml:space="preserve">odatek nabývá </w:t>
      </w:r>
      <w:r>
        <w:rPr>
          <w:rFonts w:asciiTheme="minorHAnsi" w:hAnsiTheme="minorHAnsi" w:cstheme="minorHAnsi"/>
          <w:sz w:val="22"/>
          <w:szCs w:val="22"/>
        </w:rPr>
        <w:t>účinnosti</w:t>
      </w:r>
      <w:r w:rsidRPr="0055645C">
        <w:rPr>
          <w:rFonts w:asciiTheme="minorHAnsi" w:hAnsiTheme="minorHAnsi" w:cstheme="minorHAnsi"/>
          <w:sz w:val="22"/>
          <w:szCs w:val="22"/>
        </w:rPr>
        <w:t xml:space="preserve"> dnem jeho </w:t>
      </w:r>
      <w:r>
        <w:rPr>
          <w:rFonts w:asciiTheme="minorHAnsi" w:hAnsiTheme="minorHAnsi" w:cstheme="minorHAnsi"/>
          <w:sz w:val="22"/>
          <w:szCs w:val="22"/>
        </w:rPr>
        <w:t xml:space="preserve">zveřejnění v Registru smluv. </w:t>
      </w:r>
    </w:p>
    <w:p w14:paraId="5F58CC1D" w14:textId="77777777" w:rsidR="00874117" w:rsidRPr="001F5554" w:rsidRDefault="00874117" w:rsidP="001F555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BC98B1" w14:textId="3BD2B7F1" w:rsidR="001F5554" w:rsidRDefault="001F5554" w:rsidP="00CD465D">
      <w:pPr>
        <w:pStyle w:val="Odstavecseseznamem"/>
        <w:numPr>
          <w:ilvl w:val="1"/>
          <w:numId w:val="6"/>
        </w:num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tohoto Dodatku jsou následující přílohy:</w:t>
      </w:r>
    </w:p>
    <w:p w14:paraId="536F9440" w14:textId="77777777" w:rsidR="001F5554" w:rsidRDefault="001F5554" w:rsidP="001F5554">
      <w:pPr>
        <w:ind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919AB53" w14:textId="1DE77491" w:rsidR="00D32D75" w:rsidRPr="00B5564E" w:rsidRDefault="00D32D75" w:rsidP="001F5554">
      <w:pPr>
        <w:ind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5564E">
        <w:rPr>
          <w:rFonts w:asciiTheme="minorHAnsi" w:hAnsiTheme="minorHAnsi" w:cstheme="minorHAnsi"/>
          <w:i/>
          <w:iCs/>
          <w:sz w:val="22"/>
          <w:szCs w:val="22"/>
        </w:rPr>
        <w:t xml:space="preserve">Příloha 1 – </w:t>
      </w:r>
      <w:r w:rsidR="002B4FB1">
        <w:rPr>
          <w:rFonts w:asciiTheme="minorHAnsi" w:hAnsiTheme="minorHAnsi" w:cstheme="minorHAnsi"/>
          <w:i/>
          <w:iCs/>
          <w:sz w:val="22"/>
          <w:szCs w:val="22"/>
        </w:rPr>
        <w:t xml:space="preserve">Cenová nabídka na změnovou dokumentaci </w:t>
      </w:r>
    </w:p>
    <w:p w14:paraId="0E93DFAE" w14:textId="40DF389C" w:rsidR="001F5554" w:rsidRPr="001F5554" w:rsidRDefault="001F5554" w:rsidP="001F555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1F5554">
        <w:rPr>
          <w:rFonts w:asciiTheme="minorHAnsi" w:hAnsiTheme="minorHAnsi" w:cstheme="minorHAnsi"/>
          <w:i/>
          <w:iCs/>
          <w:sz w:val="22"/>
          <w:szCs w:val="22"/>
        </w:rPr>
        <w:t xml:space="preserve">Příloha </w:t>
      </w:r>
      <w:r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1F5554">
        <w:rPr>
          <w:rFonts w:asciiTheme="minorHAnsi" w:hAnsiTheme="minorHAnsi" w:cstheme="minorHAnsi"/>
          <w:i/>
          <w:iCs/>
          <w:sz w:val="22"/>
          <w:szCs w:val="22"/>
        </w:rPr>
        <w:t xml:space="preserve"> – Specifikace Ceny Díla a jednotlivých dílčích plnění</w:t>
      </w:r>
    </w:p>
    <w:p w14:paraId="59F8D4C6" w14:textId="5B16220C" w:rsidR="001F5554" w:rsidRPr="001F5554" w:rsidRDefault="001F5554" w:rsidP="001F5554">
      <w:pPr>
        <w:ind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F5554">
        <w:rPr>
          <w:rFonts w:asciiTheme="minorHAnsi" w:hAnsiTheme="minorHAnsi" w:cstheme="minorHAnsi"/>
          <w:i/>
          <w:iCs/>
          <w:sz w:val="22"/>
          <w:szCs w:val="22"/>
        </w:rPr>
        <w:t xml:space="preserve">Příloha </w:t>
      </w:r>
      <w:r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1F5554">
        <w:rPr>
          <w:rFonts w:asciiTheme="minorHAnsi" w:hAnsiTheme="minorHAnsi" w:cstheme="minorHAnsi"/>
          <w:i/>
          <w:iCs/>
          <w:sz w:val="22"/>
          <w:szCs w:val="22"/>
        </w:rPr>
        <w:t xml:space="preserve"> – Harmonogram prací</w:t>
      </w:r>
    </w:p>
    <w:p w14:paraId="22A0DC44" w14:textId="77777777" w:rsidR="0094429E" w:rsidRDefault="0094429E" w:rsidP="00D32D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EB5273D" w14:textId="77777777" w:rsidR="0094429E" w:rsidRDefault="0094429E" w:rsidP="00D32D7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9E458A6" w14:textId="51DCBD40" w:rsidR="00F745EA" w:rsidRDefault="00F745EA" w:rsidP="00F745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5EA">
        <w:rPr>
          <w:rFonts w:asciiTheme="minorHAnsi" w:hAnsiTheme="minorHAnsi" w:cstheme="minorHAnsi"/>
          <w:b/>
          <w:bCs/>
          <w:sz w:val="22"/>
          <w:szCs w:val="22"/>
        </w:rPr>
        <w:t>Strany tímto výslovně prohlašují, že tento Dodatek vyjadřuje jejich pravou a svobodnou vůli, na důkaz čehož připojují níže své podpisy.</w:t>
      </w:r>
    </w:p>
    <w:p w14:paraId="29285470" w14:textId="77777777" w:rsidR="000B4877" w:rsidRDefault="000B4877" w:rsidP="00F745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896AC4" w14:textId="77777777" w:rsidR="001F5554" w:rsidRDefault="001F5554" w:rsidP="00F745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753B0B" w14:textId="77777777" w:rsidR="001F5554" w:rsidRDefault="001F5554" w:rsidP="00F745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0B4877" w:rsidRPr="000B4877" w14:paraId="12C7DA3F" w14:textId="77777777" w:rsidTr="007B2515">
        <w:tc>
          <w:tcPr>
            <w:tcW w:w="4644" w:type="dxa"/>
          </w:tcPr>
          <w:p w14:paraId="6CC305E4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</w:tc>
        <w:tc>
          <w:tcPr>
            <w:tcW w:w="4678" w:type="dxa"/>
          </w:tcPr>
          <w:p w14:paraId="10C5E3FB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</w:p>
        </w:tc>
      </w:tr>
      <w:tr w:rsidR="000B4877" w:rsidRPr="000B4877" w14:paraId="37DEB956" w14:textId="77777777" w:rsidTr="007B2515">
        <w:tc>
          <w:tcPr>
            <w:tcW w:w="4644" w:type="dxa"/>
          </w:tcPr>
          <w:p w14:paraId="180C4FFF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 w:rsidRPr="000B4877">
              <w:rPr>
                <w:rFonts w:asciiTheme="minorHAnsi" w:hAnsiTheme="minorHAnsi" w:cstheme="minorHAnsi"/>
                <w:bCs/>
                <w:sz w:val="22"/>
                <w:szCs w:val="22"/>
              </w:rPr>
              <w:t>V Praze</w:t>
            </w:r>
          </w:p>
          <w:p w14:paraId="2B65AA74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</w:p>
        </w:tc>
        <w:tc>
          <w:tcPr>
            <w:tcW w:w="4678" w:type="dxa"/>
          </w:tcPr>
          <w:p w14:paraId="7648DC2F" w14:textId="1E8FD84A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Místo: </w:t>
            </w:r>
            <w:r w:rsidR="00011438">
              <w:rPr>
                <w:rFonts w:asciiTheme="minorHAnsi" w:hAnsiTheme="minorHAnsi" w:cstheme="minorHAnsi"/>
                <w:sz w:val="22"/>
                <w:szCs w:val="22"/>
              </w:rPr>
              <w:t xml:space="preserve">V Praze </w:t>
            </w:r>
          </w:p>
          <w:p w14:paraId="6433F22E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</w:p>
        </w:tc>
      </w:tr>
      <w:tr w:rsidR="000B4877" w:rsidRPr="000B4877" w14:paraId="3EDC8079" w14:textId="77777777" w:rsidTr="007B2515">
        <w:tc>
          <w:tcPr>
            <w:tcW w:w="4644" w:type="dxa"/>
          </w:tcPr>
          <w:p w14:paraId="7678DDEC" w14:textId="77777777" w:rsid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FE995" w14:textId="77777777" w:rsidR="00874117" w:rsidRDefault="0087411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5CFCD" w14:textId="77777777" w:rsidR="00874117" w:rsidRPr="000B4877" w:rsidRDefault="0087411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E6A418" w14:textId="3AA1C5C1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</w:tc>
        <w:tc>
          <w:tcPr>
            <w:tcW w:w="4678" w:type="dxa"/>
          </w:tcPr>
          <w:p w14:paraId="4C31DBD9" w14:textId="77777777" w:rsid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460C5" w14:textId="77777777" w:rsidR="00874117" w:rsidRDefault="0087411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A200C" w14:textId="77777777" w:rsidR="00874117" w:rsidRPr="000B4877" w:rsidRDefault="0087411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BF757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</w:tr>
      <w:tr w:rsidR="000B4877" w:rsidRPr="000B4877" w14:paraId="17A9D1F8" w14:textId="77777777" w:rsidTr="007B2515">
        <w:tc>
          <w:tcPr>
            <w:tcW w:w="4644" w:type="dxa"/>
          </w:tcPr>
          <w:p w14:paraId="2C3980D1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B4877">
              <w:rPr>
                <w:rFonts w:asciiTheme="minorHAnsi" w:hAnsiTheme="minorHAnsi" w:cstheme="minorHAnsi"/>
                <w:bCs/>
                <w:sz w:val="22"/>
                <w:szCs w:val="22"/>
              </w:rPr>
              <w:t>Petr Urbánek</w:t>
            </w:r>
          </w:p>
          <w:p w14:paraId="350FAA1E" w14:textId="7777777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Pr="000B4877">
              <w:rPr>
                <w:rFonts w:asciiTheme="minorHAnsi" w:hAnsiTheme="minorHAnsi" w:cstheme="minorHAnsi"/>
                <w:bCs/>
                <w:sz w:val="22"/>
                <w:szCs w:val="22"/>
              </w:rPr>
              <w:t>ředitel společnosti</w:t>
            </w:r>
          </w:p>
        </w:tc>
        <w:tc>
          <w:tcPr>
            <w:tcW w:w="4678" w:type="dxa"/>
          </w:tcPr>
          <w:p w14:paraId="34FE12B9" w14:textId="2CA533A7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F1F27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="002B4FB1" w:rsidRPr="006F1F27">
              <w:rPr>
                <w:rFonts w:asciiTheme="minorHAnsi" w:hAnsiTheme="minorHAnsi" w:cstheme="minorHAnsi"/>
                <w:sz w:val="22"/>
                <w:szCs w:val="22"/>
              </w:rPr>
              <w:t>Ing. arch. Michal Šourek</w:t>
            </w:r>
          </w:p>
          <w:p w14:paraId="1221042C" w14:textId="0484ADFF" w:rsidR="000B4877" w:rsidRPr="000B4877" w:rsidRDefault="000B4877" w:rsidP="007B251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4877">
              <w:rPr>
                <w:rFonts w:asciiTheme="minorHAnsi" w:hAnsiTheme="minorHAnsi" w:cstheme="minorHAnsi"/>
                <w:sz w:val="22"/>
                <w:szCs w:val="22"/>
              </w:rPr>
              <w:t xml:space="preserve">Funkce: </w:t>
            </w:r>
            <w:r w:rsidR="002B4FB1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68E8E398" w14:textId="77777777" w:rsidR="000B4877" w:rsidRPr="000B4877" w:rsidRDefault="000B4877" w:rsidP="0094429E">
      <w:pPr>
        <w:widowControl w:val="0"/>
        <w:rPr>
          <w:rFonts w:asciiTheme="minorHAnsi" w:hAnsiTheme="minorHAnsi" w:cstheme="minorHAnsi"/>
          <w:b/>
          <w:caps/>
          <w:sz w:val="22"/>
          <w:szCs w:val="22"/>
        </w:rPr>
      </w:pPr>
    </w:p>
    <w:sectPr w:rsidR="000B4877" w:rsidRPr="000B4877" w:rsidSect="00E5752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75B8" w14:textId="77777777" w:rsidR="00947E92" w:rsidRDefault="00947E92" w:rsidP="000B4877">
      <w:r>
        <w:separator/>
      </w:r>
    </w:p>
  </w:endnote>
  <w:endnote w:type="continuationSeparator" w:id="0">
    <w:p w14:paraId="3AB6B780" w14:textId="77777777" w:rsidR="00947E92" w:rsidRDefault="00947E92" w:rsidP="000B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631496"/>
      <w:docPartObj>
        <w:docPartGallery w:val="Page Numbers (Bottom of Page)"/>
        <w:docPartUnique/>
      </w:docPartObj>
    </w:sdtPr>
    <w:sdtEndPr/>
    <w:sdtContent>
      <w:p w14:paraId="10FDEA06" w14:textId="5DDA2E84" w:rsidR="000B4877" w:rsidRDefault="000B48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F5DF6D" w14:textId="77777777" w:rsidR="000B4877" w:rsidRDefault="000B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8B11" w14:textId="77777777" w:rsidR="00947E92" w:rsidRDefault="00947E92" w:rsidP="000B4877">
      <w:r>
        <w:separator/>
      </w:r>
    </w:p>
  </w:footnote>
  <w:footnote w:type="continuationSeparator" w:id="0">
    <w:p w14:paraId="09B17907" w14:textId="77777777" w:rsidR="00947E92" w:rsidRDefault="00947E92" w:rsidP="000B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1A6"/>
    <w:multiLevelType w:val="hybridMultilevel"/>
    <w:tmpl w:val="79702936"/>
    <w:lvl w:ilvl="0" w:tplc="87E61F8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AE13EB"/>
    <w:multiLevelType w:val="hybridMultilevel"/>
    <w:tmpl w:val="F552E1CC"/>
    <w:lvl w:ilvl="0" w:tplc="171297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4F9"/>
    <w:multiLevelType w:val="multilevel"/>
    <w:tmpl w:val="C47677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b/>
        <w:bCs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5216D1D"/>
    <w:multiLevelType w:val="hybridMultilevel"/>
    <w:tmpl w:val="FB021A30"/>
    <w:lvl w:ilvl="0" w:tplc="04050011"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4720"/>
    <w:multiLevelType w:val="hybridMultilevel"/>
    <w:tmpl w:val="F552E1CC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67110"/>
    <w:multiLevelType w:val="hybridMultilevel"/>
    <w:tmpl w:val="718CA066"/>
    <w:lvl w:ilvl="0" w:tplc="227C563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4B5D6A"/>
    <w:multiLevelType w:val="multilevel"/>
    <w:tmpl w:val="12D4988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2624"/>
        </w:tabs>
        <w:ind w:left="2624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000B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8731527">
    <w:abstractNumId w:val="5"/>
  </w:num>
  <w:num w:numId="2" w16cid:durableId="1741554722">
    <w:abstractNumId w:val="0"/>
  </w:num>
  <w:num w:numId="3" w16cid:durableId="1051735920">
    <w:abstractNumId w:val="1"/>
  </w:num>
  <w:num w:numId="4" w16cid:durableId="1375737700">
    <w:abstractNumId w:val="2"/>
  </w:num>
  <w:num w:numId="5" w16cid:durableId="800809084">
    <w:abstractNumId w:val="6"/>
  </w:num>
  <w:num w:numId="6" w16cid:durableId="3363190">
    <w:abstractNumId w:val="7"/>
  </w:num>
  <w:num w:numId="7" w16cid:durableId="15604819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045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192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487550">
    <w:abstractNumId w:val="3"/>
  </w:num>
  <w:num w:numId="11" w16cid:durableId="163987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4D"/>
    <w:rsid w:val="000054CB"/>
    <w:rsid w:val="0001018A"/>
    <w:rsid w:val="00011438"/>
    <w:rsid w:val="00047B1A"/>
    <w:rsid w:val="000522FD"/>
    <w:rsid w:val="000B4877"/>
    <w:rsid w:val="000C72FE"/>
    <w:rsid w:val="001A7D95"/>
    <w:rsid w:val="001F13DB"/>
    <w:rsid w:val="001F5554"/>
    <w:rsid w:val="00211A20"/>
    <w:rsid w:val="002127D5"/>
    <w:rsid w:val="00230AB5"/>
    <w:rsid w:val="0024539D"/>
    <w:rsid w:val="00245598"/>
    <w:rsid w:val="00290538"/>
    <w:rsid w:val="002B4FB1"/>
    <w:rsid w:val="002C40F3"/>
    <w:rsid w:val="002D0302"/>
    <w:rsid w:val="002D2511"/>
    <w:rsid w:val="002E5B2D"/>
    <w:rsid w:val="00313A40"/>
    <w:rsid w:val="00321046"/>
    <w:rsid w:val="00354CD3"/>
    <w:rsid w:val="00373F7D"/>
    <w:rsid w:val="003838CB"/>
    <w:rsid w:val="003D2E4B"/>
    <w:rsid w:val="003E1CEE"/>
    <w:rsid w:val="00452EEC"/>
    <w:rsid w:val="00454BC2"/>
    <w:rsid w:val="00481532"/>
    <w:rsid w:val="004844AC"/>
    <w:rsid w:val="0049296F"/>
    <w:rsid w:val="004A401B"/>
    <w:rsid w:val="004D7E8D"/>
    <w:rsid w:val="004E53E1"/>
    <w:rsid w:val="00504962"/>
    <w:rsid w:val="005072E8"/>
    <w:rsid w:val="0051151B"/>
    <w:rsid w:val="00522580"/>
    <w:rsid w:val="00543C31"/>
    <w:rsid w:val="0055645C"/>
    <w:rsid w:val="00560E24"/>
    <w:rsid w:val="00561DDF"/>
    <w:rsid w:val="00585ACF"/>
    <w:rsid w:val="00591769"/>
    <w:rsid w:val="0059488F"/>
    <w:rsid w:val="005A283F"/>
    <w:rsid w:val="005D7B45"/>
    <w:rsid w:val="00606207"/>
    <w:rsid w:val="0062492E"/>
    <w:rsid w:val="006422C0"/>
    <w:rsid w:val="006A00CE"/>
    <w:rsid w:val="006B717D"/>
    <w:rsid w:val="006C552E"/>
    <w:rsid w:val="006F1F27"/>
    <w:rsid w:val="006F5D63"/>
    <w:rsid w:val="00721DC8"/>
    <w:rsid w:val="007316A7"/>
    <w:rsid w:val="007F206A"/>
    <w:rsid w:val="008224C8"/>
    <w:rsid w:val="00824702"/>
    <w:rsid w:val="0084563D"/>
    <w:rsid w:val="0085326B"/>
    <w:rsid w:val="00874117"/>
    <w:rsid w:val="008810A5"/>
    <w:rsid w:val="0088257F"/>
    <w:rsid w:val="00882C30"/>
    <w:rsid w:val="008D6974"/>
    <w:rsid w:val="008E6716"/>
    <w:rsid w:val="008F5FA4"/>
    <w:rsid w:val="009306E1"/>
    <w:rsid w:val="009355ED"/>
    <w:rsid w:val="0094429E"/>
    <w:rsid w:val="00947E92"/>
    <w:rsid w:val="00961045"/>
    <w:rsid w:val="00982B21"/>
    <w:rsid w:val="009951AB"/>
    <w:rsid w:val="009B05E7"/>
    <w:rsid w:val="009B28C8"/>
    <w:rsid w:val="009B344D"/>
    <w:rsid w:val="009C0ECE"/>
    <w:rsid w:val="009C2981"/>
    <w:rsid w:val="00A009E4"/>
    <w:rsid w:val="00A033A2"/>
    <w:rsid w:val="00A0386C"/>
    <w:rsid w:val="00A0585C"/>
    <w:rsid w:val="00A34F6B"/>
    <w:rsid w:val="00A35A1D"/>
    <w:rsid w:val="00A473AA"/>
    <w:rsid w:val="00A505B1"/>
    <w:rsid w:val="00A67A20"/>
    <w:rsid w:val="00A67DC1"/>
    <w:rsid w:val="00AA1370"/>
    <w:rsid w:val="00AB506A"/>
    <w:rsid w:val="00AC5D04"/>
    <w:rsid w:val="00AE723E"/>
    <w:rsid w:val="00B454F2"/>
    <w:rsid w:val="00B5564E"/>
    <w:rsid w:val="00B71031"/>
    <w:rsid w:val="00BD33DB"/>
    <w:rsid w:val="00BD639E"/>
    <w:rsid w:val="00BE3966"/>
    <w:rsid w:val="00BF1272"/>
    <w:rsid w:val="00C34B0C"/>
    <w:rsid w:val="00C36F08"/>
    <w:rsid w:val="00C64E4D"/>
    <w:rsid w:val="00C7510E"/>
    <w:rsid w:val="00CA4916"/>
    <w:rsid w:val="00CC1DA6"/>
    <w:rsid w:val="00CD465D"/>
    <w:rsid w:val="00D17DB3"/>
    <w:rsid w:val="00D31630"/>
    <w:rsid w:val="00D32D75"/>
    <w:rsid w:val="00D55F3B"/>
    <w:rsid w:val="00D832CD"/>
    <w:rsid w:val="00DD48BA"/>
    <w:rsid w:val="00E21959"/>
    <w:rsid w:val="00E271F1"/>
    <w:rsid w:val="00E4535A"/>
    <w:rsid w:val="00E57529"/>
    <w:rsid w:val="00E62E16"/>
    <w:rsid w:val="00E62E27"/>
    <w:rsid w:val="00E7747B"/>
    <w:rsid w:val="00EB0A89"/>
    <w:rsid w:val="00ED23FD"/>
    <w:rsid w:val="00EE73E9"/>
    <w:rsid w:val="00EF5EF6"/>
    <w:rsid w:val="00F6247F"/>
    <w:rsid w:val="00F63FBB"/>
    <w:rsid w:val="00F6655C"/>
    <w:rsid w:val="00F745EA"/>
    <w:rsid w:val="00FA1A75"/>
    <w:rsid w:val="00FA5FC9"/>
    <w:rsid w:val="00FB04E3"/>
    <w:rsid w:val="00FB661E"/>
    <w:rsid w:val="00FC458D"/>
    <w:rsid w:val="00FE1F6B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33BF"/>
  <w15:chartTrackingRefBased/>
  <w15:docId w15:val="{F5C77240-C9C4-4414-89D6-BF4E7692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ormln"/>
    <w:next w:val="Clanek11"/>
    <w:link w:val="Nadpis1Char"/>
    <w:uiPriority w:val="1"/>
    <w:qFormat/>
    <w:rsid w:val="002D0302"/>
    <w:pPr>
      <w:keepNext/>
      <w:numPr>
        <w:numId w:val="5"/>
      </w:numPr>
      <w:overflowPunct/>
      <w:autoSpaceDE/>
      <w:autoSpaceDN/>
      <w:adjustRightInd/>
      <w:spacing w:before="240"/>
      <w:jc w:val="both"/>
      <w:textAlignment w:val="auto"/>
      <w:outlineLvl w:val="0"/>
    </w:pPr>
    <w:rPr>
      <w:rFonts w:eastAsia="SimSun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D0302"/>
    <w:pPr>
      <w:keepNext/>
      <w:numPr>
        <w:ilvl w:val="1"/>
        <w:numId w:val="4"/>
      </w:numPr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2D0302"/>
    <w:pPr>
      <w:keepNext/>
      <w:numPr>
        <w:ilvl w:val="2"/>
        <w:numId w:val="4"/>
      </w:numPr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Arial" w:eastAsia="SimSun" w:hAnsi="Arial" w:cs="Arial"/>
      <w:b/>
      <w:bCs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FPNzevsmlouvy">
    <w:name w:val="ČS [FP] Název smlouvy"/>
    <w:basedOn w:val="Normln"/>
    <w:rsid w:val="009B344D"/>
    <w:pPr>
      <w:overflowPunct/>
      <w:autoSpaceDE/>
      <w:autoSpaceDN/>
      <w:adjustRightInd/>
      <w:spacing w:after="360" w:line="360" w:lineRule="auto"/>
      <w:jc w:val="center"/>
      <w:textAlignment w:val="auto"/>
    </w:pPr>
    <w:rPr>
      <w:rFonts w:ascii="Arial" w:hAnsi="Arial"/>
      <w:b/>
      <w:caps/>
      <w:spacing w:val="3"/>
      <w:sz w:val="32"/>
    </w:rPr>
  </w:style>
  <w:style w:type="paragraph" w:styleId="Odstavecseseznamem">
    <w:name w:val="List Paragraph"/>
    <w:basedOn w:val="Normln"/>
    <w:uiPriority w:val="34"/>
    <w:qFormat/>
    <w:rsid w:val="009B344D"/>
    <w:pPr>
      <w:ind w:left="720"/>
      <w:contextualSpacing/>
    </w:pPr>
  </w:style>
  <w:style w:type="paragraph" w:customStyle="1" w:styleId="Text11">
    <w:name w:val="Text 1.1"/>
    <w:basedOn w:val="Normln"/>
    <w:qFormat/>
    <w:rsid w:val="002D0302"/>
    <w:pPr>
      <w:keepNext/>
      <w:overflowPunct/>
      <w:autoSpaceDE/>
      <w:autoSpaceDN/>
      <w:adjustRightInd/>
      <w:spacing w:before="120" w:after="120"/>
      <w:ind w:left="561"/>
      <w:jc w:val="both"/>
      <w:textAlignment w:val="auto"/>
    </w:pPr>
    <w:rPr>
      <w:rFonts w:eastAsia="SimSun"/>
      <w:sz w:val="22"/>
      <w:lang w:eastAsia="en-US"/>
    </w:rPr>
  </w:style>
  <w:style w:type="paragraph" w:customStyle="1" w:styleId="Smluvstranya">
    <w:name w:val="Smluv.strany_&quot;a&quot;"/>
    <w:basedOn w:val="Text11"/>
    <w:semiHidden/>
    <w:rsid w:val="002D0302"/>
    <w:pPr>
      <w:spacing w:before="360" w:after="360"/>
      <w:ind w:left="567"/>
      <w:jc w:val="left"/>
    </w:pPr>
  </w:style>
  <w:style w:type="character" w:customStyle="1" w:styleId="preformatted">
    <w:name w:val="preformatted"/>
    <w:basedOn w:val="Standardnpsmoodstavce"/>
    <w:rsid w:val="002D0302"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2D0302"/>
    <w:rPr>
      <w:rFonts w:ascii="Times New Roman" w:eastAsia="SimSun" w:hAnsi="Times New Roman"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2D0302"/>
    <w:rPr>
      <w:rFonts w:ascii="Arial" w:eastAsia="SimSun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rsid w:val="002D0302"/>
    <w:rPr>
      <w:rFonts w:ascii="Arial" w:eastAsia="SimSun" w:hAnsi="Arial" w:cs="Arial"/>
      <w:b/>
      <w:bCs/>
      <w:kern w:val="0"/>
      <w:sz w:val="26"/>
      <w:szCs w:val="26"/>
      <w14:ligatures w14:val="none"/>
    </w:rPr>
  </w:style>
  <w:style w:type="paragraph" w:customStyle="1" w:styleId="Clanek11">
    <w:name w:val="Clanek 1.1"/>
    <w:basedOn w:val="Nadpis2"/>
    <w:qFormat/>
    <w:rsid w:val="002D0302"/>
    <w:pPr>
      <w:keepNext w:val="0"/>
      <w:widowControl w:val="0"/>
      <w:numPr>
        <w:numId w:val="5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2D0302"/>
    <w:pPr>
      <w:keepLines/>
      <w:widowControl w:val="0"/>
      <w:numPr>
        <w:ilvl w:val="2"/>
        <w:numId w:val="5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SimSun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2D0302"/>
    <w:pPr>
      <w:keepNext/>
      <w:numPr>
        <w:ilvl w:val="3"/>
        <w:numId w:val="5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SimSun"/>
      <w:color w:val="000000"/>
      <w:sz w:val="22"/>
      <w:szCs w:val="24"/>
      <w:lang w:eastAsia="en-US"/>
    </w:rPr>
  </w:style>
  <w:style w:type="table" w:styleId="Mkatabulky">
    <w:name w:val="Table Grid"/>
    <w:basedOn w:val="Normlntabulka"/>
    <w:uiPriority w:val="39"/>
    <w:rsid w:val="0048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1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163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163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63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B487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87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487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87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32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 L E G A L ! 6 0 5 5 5 2 . 1 < / d o c u m e n t i d >  
     < s e n d e r i d > P R I K R Y L O V A < / s e n d e r i d >  
     < s e n d e r e m a i l > P R I K R Y L O V A @ P E T E R K A P A R T N E R S . C Z < / s e n d e r e m a i l >  
     < l a s t m o d i f i e d > 2 0 2 4 - 0 1 - 1 0 T 1 4 : 2 8 : 0 0 . 0 0 0 0 0 0 0 + 0 1 : 0 0 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2C7306C8-1066-4E94-87B4-7133CAABA9F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Křivka</dc:creator>
  <cp:keywords/>
  <dc:description/>
  <cp:lastModifiedBy>Jakub Kováříček</cp:lastModifiedBy>
  <cp:revision>3</cp:revision>
  <cp:lastPrinted>2025-07-23T07:15:00Z</cp:lastPrinted>
  <dcterms:created xsi:type="dcterms:W3CDTF">2025-07-28T08:02:00Z</dcterms:created>
  <dcterms:modified xsi:type="dcterms:W3CDTF">2025-09-24T10:03:00Z</dcterms:modified>
</cp:coreProperties>
</file>