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5BE8A" w14:textId="77777777" w:rsidR="00C276CF" w:rsidRDefault="00000000">
      <w:pPr>
        <w:spacing w:after="0" w:line="259" w:lineRule="auto"/>
        <w:ind w:left="0" w:right="1237" w:firstLine="0"/>
        <w:jc w:val="center"/>
      </w:pPr>
      <w:r>
        <w:rPr>
          <w:sz w:val="48"/>
        </w:rPr>
        <w:t>SMLOUVA</w:t>
      </w:r>
    </w:p>
    <w:p w14:paraId="641B9BE8" w14:textId="3CCA20E5" w:rsidR="00C276CF" w:rsidRDefault="00000000">
      <w:pPr>
        <w:spacing w:after="0" w:line="221" w:lineRule="auto"/>
        <w:ind w:left="2909" w:right="1379" w:hanging="1603"/>
      </w:pPr>
      <w:r>
        <w:rPr>
          <w:sz w:val="28"/>
        </w:rPr>
        <w:t>o poskytování služeb na internetovém portálu produkt</w:t>
      </w:r>
      <w:r w:rsidR="00D82E78">
        <w:rPr>
          <w:sz w:val="28"/>
        </w:rPr>
        <w:t xml:space="preserve">     </w:t>
      </w:r>
      <w:r>
        <w:rPr>
          <w:sz w:val="28"/>
        </w:rPr>
        <w:t xml:space="preserve"> e-Strava</w:t>
      </w:r>
    </w:p>
    <w:p w14:paraId="12390327" w14:textId="77777777" w:rsidR="00C276CF" w:rsidRDefault="00000000">
      <w:pPr>
        <w:spacing w:after="185" w:line="259" w:lineRule="auto"/>
        <w:ind w:left="1301" w:hanging="10"/>
      </w:pPr>
      <w:r>
        <w:rPr>
          <w:sz w:val="20"/>
        </w:rPr>
        <w:t>uzavřená podle § 1746 odst. 2 zákona č.89/2012Sb., (občanský zákoník)</w:t>
      </w:r>
    </w:p>
    <w:p w14:paraId="303AA9EA" w14:textId="77777777" w:rsidR="00C276CF" w:rsidRDefault="00000000">
      <w:pPr>
        <w:spacing w:after="399" w:line="265" w:lineRule="auto"/>
        <w:ind w:left="129" w:hanging="10"/>
      </w:pPr>
      <w:r>
        <w:rPr>
          <w:sz w:val="24"/>
        </w:rPr>
        <w:t>I.  Smluvní strany</w:t>
      </w:r>
    </w:p>
    <w:p w14:paraId="55953911" w14:textId="77777777" w:rsidR="00C276CF" w:rsidRDefault="00000000">
      <w:pPr>
        <w:spacing w:after="318" w:line="265" w:lineRule="auto"/>
        <w:ind w:left="129" w:hanging="10"/>
      </w:pPr>
      <w:r>
        <w:rPr>
          <w:sz w:val="24"/>
        </w:rPr>
        <w:t>Střední škola, Odry, příspěvková organizace</w:t>
      </w:r>
    </w:p>
    <w:p w14:paraId="58BB30D1" w14:textId="77777777" w:rsidR="00C276CF" w:rsidRDefault="00000000">
      <w:pPr>
        <w:spacing w:after="31" w:line="259" w:lineRule="auto"/>
        <w:ind w:left="129" w:hanging="10"/>
      </w:pPr>
      <w:r>
        <w:rPr>
          <w:sz w:val="24"/>
        </w:rPr>
        <w:t>dále jen odběratel</w:t>
      </w:r>
    </w:p>
    <w:p w14:paraId="204CB47E" w14:textId="77777777" w:rsidR="00C276CF" w:rsidRDefault="00000000">
      <w:pPr>
        <w:spacing w:after="28" w:line="259" w:lineRule="auto"/>
        <w:ind w:left="129" w:hanging="10"/>
      </w:pPr>
      <w:r>
        <w:rPr>
          <w:sz w:val="24"/>
        </w:rPr>
        <w:t>Se sídlem: Sokolovská 647/1</w:t>
      </w:r>
    </w:p>
    <w:p w14:paraId="39B51533" w14:textId="4307A18D" w:rsidR="00C276CF" w:rsidRDefault="00000000">
      <w:pPr>
        <w:spacing w:after="31" w:line="259" w:lineRule="auto"/>
        <w:ind w:left="129" w:hanging="10"/>
      </w:pPr>
      <w:r>
        <w:rPr>
          <w:sz w:val="24"/>
        </w:rPr>
        <w:t>PSČ: 742 35 Odry</w:t>
      </w:r>
    </w:p>
    <w:p w14:paraId="72FB0DAE" w14:textId="77777777" w:rsidR="00C276CF" w:rsidRDefault="00000000">
      <w:pPr>
        <w:spacing w:after="36" w:line="259" w:lineRule="auto"/>
        <w:ind w:left="129" w:hanging="10"/>
      </w:pPr>
      <w:r>
        <w:rPr>
          <w:sz w:val="24"/>
        </w:rPr>
        <w:t>IČ: 0000577910</w:t>
      </w:r>
    </w:p>
    <w:p w14:paraId="2448C958" w14:textId="77777777" w:rsidR="00C276CF" w:rsidRDefault="00000000">
      <w:pPr>
        <w:spacing w:after="294" w:line="265" w:lineRule="auto"/>
        <w:ind w:left="129" w:hanging="10"/>
      </w:pPr>
      <w:r>
        <w:rPr>
          <w:sz w:val="24"/>
        </w:rPr>
        <w:t xml:space="preserve">Pro příjemce: Jídelna Vítkov, Odloučené pracoviště SŠ Odry, </w:t>
      </w:r>
      <w:proofErr w:type="spellStart"/>
      <w:r>
        <w:rPr>
          <w:sz w:val="24"/>
        </w:rPr>
        <w:t>p.o</w:t>
      </w:r>
      <w:proofErr w:type="spellEnd"/>
      <w:r>
        <w:rPr>
          <w:sz w:val="24"/>
        </w:rPr>
        <w:t>.</w:t>
      </w:r>
    </w:p>
    <w:p w14:paraId="1760F5A2" w14:textId="5DC53DB9" w:rsidR="00C276CF" w:rsidRDefault="00000000">
      <w:pPr>
        <w:spacing w:after="4" w:line="265" w:lineRule="auto"/>
        <w:ind w:left="129" w:hanging="10"/>
      </w:pPr>
      <w:r>
        <w:rPr>
          <w:sz w:val="24"/>
        </w:rPr>
        <w:t>V zastoupení:</w:t>
      </w:r>
      <w:r w:rsidR="00D82E78">
        <w:rPr>
          <w:sz w:val="24"/>
        </w:rPr>
        <w:t xml:space="preserve"> Mgr. Jana Kellnerová</w:t>
      </w:r>
    </w:p>
    <w:p w14:paraId="7DBC1852" w14:textId="77777777" w:rsidR="00C276CF" w:rsidRDefault="00000000">
      <w:pPr>
        <w:spacing w:after="235" w:line="259" w:lineRule="auto"/>
        <w:ind w:left="1546" w:firstLine="0"/>
      </w:pPr>
      <w:r>
        <w:rPr>
          <w:rFonts w:ascii="Calibri" w:eastAsia="Calibri" w:hAnsi="Calibri" w:cs="Calibri"/>
          <w:noProof/>
        </w:rPr>
        <mc:AlternateContent>
          <mc:Choice Requires="wpg">
            <w:drawing>
              <wp:inline distT="0" distB="0" distL="0" distR="0" wp14:anchorId="6949686C" wp14:editId="4037D5CB">
                <wp:extent cx="3837433" cy="4763"/>
                <wp:effectExtent l="0" t="0" r="0" b="0"/>
                <wp:docPr id="1266" name="Group 1266"/>
                <wp:cNvGraphicFramePr/>
                <a:graphic xmlns:a="http://schemas.openxmlformats.org/drawingml/2006/main">
                  <a:graphicData uri="http://schemas.microsoft.com/office/word/2010/wordprocessingGroup">
                    <wpg:wgp>
                      <wpg:cNvGrpSpPr/>
                      <wpg:grpSpPr>
                        <a:xfrm>
                          <a:off x="0" y="0"/>
                          <a:ext cx="3837433" cy="4763"/>
                          <a:chOff x="0" y="0"/>
                          <a:chExt cx="3837433" cy="4763"/>
                        </a:xfrm>
                      </wpg:grpSpPr>
                      <wps:wsp>
                        <wps:cNvPr id="41" name="Shape 41"/>
                        <wps:cNvSpPr/>
                        <wps:spPr>
                          <a:xfrm>
                            <a:off x="0" y="0"/>
                            <a:ext cx="3837433" cy="0"/>
                          </a:xfrm>
                          <a:custGeom>
                            <a:avLst/>
                            <a:gdLst/>
                            <a:ahLst/>
                            <a:cxnLst/>
                            <a:rect l="0" t="0" r="0" b="0"/>
                            <a:pathLst>
                              <a:path w="3837433">
                                <a:moveTo>
                                  <a:pt x="0" y="0"/>
                                </a:moveTo>
                                <a:lnTo>
                                  <a:pt x="3837433" y="0"/>
                                </a:lnTo>
                              </a:path>
                            </a:pathLst>
                          </a:custGeom>
                          <a:ln w="4763" cap="rnd">
                            <a:custDash>
                              <a:ds d="37500" sp="375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66" style="width:302.16pt;height:0.375pt;mso-position-horizontal-relative:char;mso-position-vertical-relative:line" coordsize="38374,47">
                <v:shape id="Shape 41" style="position:absolute;width:38374;height:0;left:0;top:0;" coordsize="3837433,0" path="m0,0l3837433,0">
                  <v:stroke weight="0.375pt" endcap="round" dashstyle="1 1" joinstyle="round" on="true" color="#000000"/>
                  <v:fill on="false" color="#000000" opacity="0"/>
                </v:shape>
              </v:group>
            </w:pict>
          </mc:Fallback>
        </mc:AlternateContent>
      </w:r>
    </w:p>
    <w:p w14:paraId="33FE0524" w14:textId="77777777" w:rsidR="00C276CF" w:rsidRDefault="00000000">
      <w:pPr>
        <w:spacing w:after="4" w:line="265" w:lineRule="auto"/>
        <w:ind w:left="129" w:hanging="10"/>
      </w:pPr>
      <w:r>
        <w:rPr>
          <w:sz w:val="24"/>
        </w:rPr>
        <w:t>ULRICH SOFTWARE s.r.o., dále jen dodavatel</w:t>
      </w:r>
    </w:p>
    <w:p w14:paraId="3317F997" w14:textId="16CD8627" w:rsidR="00C276CF" w:rsidRDefault="00000000">
      <w:pPr>
        <w:spacing w:after="3" w:line="259" w:lineRule="auto"/>
        <w:ind w:left="129" w:hanging="10"/>
      </w:pPr>
      <w:r>
        <w:rPr>
          <w:sz w:val="24"/>
        </w:rPr>
        <w:t xml:space="preserve">Se sídlem: Pod </w:t>
      </w:r>
      <w:proofErr w:type="spellStart"/>
      <w:r>
        <w:rPr>
          <w:sz w:val="24"/>
        </w:rPr>
        <w:t>Štandlem</w:t>
      </w:r>
      <w:proofErr w:type="spellEnd"/>
      <w:r>
        <w:rPr>
          <w:sz w:val="24"/>
        </w:rPr>
        <w:t xml:space="preserve"> 776  </w:t>
      </w:r>
    </w:p>
    <w:p w14:paraId="39CEE295" w14:textId="77777777" w:rsidR="00C276CF" w:rsidRDefault="00000000">
      <w:pPr>
        <w:spacing w:after="3" w:line="259" w:lineRule="auto"/>
        <w:ind w:left="129" w:hanging="10"/>
      </w:pPr>
      <w:r>
        <w:rPr>
          <w:sz w:val="24"/>
        </w:rPr>
        <w:t xml:space="preserve">738 02 Frýdek-Místek </w:t>
      </w:r>
    </w:p>
    <w:p w14:paraId="50D747F8" w14:textId="77777777" w:rsidR="00C276CF" w:rsidRDefault="00000000">
      <w:pPr>
        <w:spacing w:after="3" w:line="259" w:lineRule="auto"/>
        <w:ind w:left="129" w:hanging="10"/>
      </w:pPr>
      <w:r>
        <w:rPr>
          <w:sz w:val="24"/>
        </w:rPr>
        <w:t xml:space="preserve">IČO: 03857808 </w:t>
      </w:r>
    </w:p>
    <w:p w14:paraId="6DF0C6C3" w14:textId="77777777" w:rsidR="00C276CF" w:rsidRDefault="00000000">
      <w:pPr>
        <w:spacing w:after="3" w:line="259" w:lineRule="auto"/>
        <w:ind w:left="129" w:hanging="10"/>
      </w:pPr>
      <w:r>
        <w:rPr>
          <w:sz w:val="24"/>
        </w:rPr>
        <w:t>DIČ: CZ03857808</w:t>
      </w:r>
    </w:p>
    <w:p w14:paraId="49062698" w14:textId="77777777" w:rsidR="00C276CF" w:rsidRDefault="00000000">
      <w:pPr>
        <w:spacing w:after="3" w:line="259" w:lineRule="auto"/>
        <w:ind w:left="129" w:hanging="10"/>
      </w:pPr>
      <w:r>
        <w:rPr>
          <w:sz w:val="24"/>
        </w:rPr>
        <w:t>Bankovní spojení: Fio banka</w:t>
      </w:r>
    </w:p>
    <w:p w14:paraId="0C036386" w14:textId="72DDD37F" w:rsidR="00C276CF" w:rsidRDefault="00000000">
      <w:pPr>
        <w:spacing w:after="310" w:line="265" w:lineRule="auto"/>
        <w:ind w:left="129" w:right="2853" w:hanging="10"/>
      </w:pPr>
      <w:r>
        <w:rPr>
          <w:sz w:val="24"/>
        </w:rPr>
        <w:t xml:space="preserve">Číslo účtu: 2400758928/2010 zastoupená: panem </w:t>
      </w:r>
      <w:proofErr w:type="spellStart"/>
      <w:r>
        <w:rPr>
          <w:sz w:val="24"/>
        </w:rPr>
        <w:t>Ing.Ivo</w:t>
      </w:r>
      <w:proofErr w:type="spellEnd"/>
      <w:r>
        <w:rPr>
          <w:sz w:val="24"/>
        </w:rPr>
        <w:t xml:space="preserve"> Ulrichem, jednatelem společnosti  </w:t>
      </w:r>
    </w:p>
    <w:p w14:paraId="790DB809" w14:textId="77777777" w:rsidR="00C276CF" w:rsidRDefault="00000000">
      <w:pPr>
        <w:spacing w:after="242" w:line="265" w:lineRule="auto"/>
        <w:ind w:left="129" w:hanging="10"/>
      </w:pPr>
      <w:r>
        <w:rPr>
          <w:sz w:val="24"/>
        </w:rPr>
        <w:t>II.  Předmět plnění</w:t>
      </w:r>
    </w:p>
    <w:p w14:paraId="1E5A1F7E" w14:textId="77777777" w:rsidR="00C276CF" w:rsidRDefault="00000000">
      <w:pPr>
        <w:numPr>
          <w:ilvl w:val="0"/>
          <w:numId w:val="1"/>
        </w:numPr>
        <w:spacing w:after="309"/>
        <w:ind w:right="868" w:hanging="286"/>
      </w:pPr>
      <w:r>
        <w:t xml:space="preserve">Užívání internetového </w:t>
      </w:r>
      <w:proofErr w:type="gramStart"/>
      <w:r>
        <w:t>portálu - produktu</w:t>
      </w:r>
      <w:proofErr w:type="gramEnd"/>
      <w:r>
        <w:t xml:space="preserve"> e-Strava</w:t>
      </w:r>
    </w:p>
    <w:p w14:paraId="0276DFBF" w14:textId="77777777" w:rsidR="00C276CF" w:rsidRDefault="00000000">
      <w:pPr>
        <w:numPr>
          <w:ilvl w:val="0"/>
          <w:numId w:val="1"/>
        </w:numPr>
        <w:spacing w:after="86"/>
        <w:ind w:right="868" w:hanging="286"/>
      </w:pPr>
      <w:r>
        <w:t>Hotline – poskytování telefonické podpory příjemci služby v pracovních dnech od 8.00 do 16.00. Telefonická pomoc se vztahuje na:</w:t>
      </w:r>
    </w:p>
    <w:p w14:paraId="257253FE" w14:textId="77777777" w:rsidR="00C276CF" w:rsidRDefault="00000000">
      <w:pPr>
        <w:ind w:left="1426" w:right="1461" w:hanging="180"/>
      </w:pPr>
      <w:r>
        <w:t xml:space="preserve">* Řešení problémů uživatelů programové aplikace, které brání uživateli ve vykonání zamýšlené činnosti v rámci popsaných funkcí programu. </w:t>
      </w:r>
    </w:p>
    <w:p w14:paraId="2E0CF432" w14:textId="6F37FA08" w:rsidR="00C276CF" w:rsidRDefault="00000000">
      <w:pPr>
        <w:numPr>
          <w:ilvl w:val="0"/>
          <w:numId w:val="1"/>
        </w:numPr>
        <w:spacing w:after="386"/>
        <w:ind w:right="868" w:hanging="286"/>
      </w:pPr>
      <w:r>
        <w:t>Řešení požadavků – a) on-line podpora aplikace pomocí vzdáleného připojení k počítači příjemce služby. b) z</w:t>
      </w:r>
      <w:r w:rsidR="00D82E78">
        <w:t>a</w:t>
      </w:r>
      <w:r>
        <w:t>slání dat ke kontrole formou emailu (info@ulrichsw.cz)</w:t>
      </w:r>
    </w:p>
    <w:p w14:paraId="4200E021" w14:textId="517FED21" w:rsidR="00C276CF" w:rsidRDefault="00000000">
      <w:pPr>
        <w:numPr>
          <w:ilvl w:val="0"/>
          <w:numId w:val="1"/>
        </w:numPr>
        <w:ind w:right="868" w:hanging="286"/>
      </w:pPr>
      <w:r>
        <w:t>Servisní zásah – v případě, že je nutný servisní zásah na místě (např. instalace programu, obnova dat, nastavení PC, atd.), bude tento proveden nejpozději do pěti pracovních dnů, dle naléhavosti řešení. Servisní zásahy budou účtovány zvlášť podle platných smluvních cen.</w:t>
      </w:r>
    </w:p>
    <w:p w14:paraId="36A33425" w14:textId="77777777" w:rsidR="00C276CF" w:rsidRDefault="00000000">
      <w:pPr>
        <w:numPr>
          <w:ilvl w:val="0"/>
          <w:numId w:val="1"/>
        </w:numPr>
        <w:spacing w:after="417"/>
        <w:ind w:right="868" w:hanging="286"/>
      </w:pPr>
      <w:r>
        <w:t>Upgrade programové aplikace – služba zajišťuje vykonávání změn v programu vyplývajících ze změn legislativních předpisů. Cena za tuto službu je v rámci paušálního poplatku.</w:t>
      </w:r>
    </w:p>
    <w:p w14:paraId="2E144755" w14:textId="77777777" w:rsidR="00C276CF" w:rsidRDefault="00000000">
      <w:pPr>
        <w:numPr>
          <w:ilvl w:val="0"/>
          <w:numId w:val="1"/>
        </w:numPr>
        <w:ind w:right="868" w:hanging="286"/>
      </w:pPr>
      <w:r>
        <w:lastRenderedPageBreak/>
        <w:t>Školení programové aplikace – tato služba je poskytnuta na základě písemné objednávky a cena je stanovena podle platných smluvních cen.</w:t>
      </w:r>
    </w:p>
    <w:p w14:paraId="5B016430" w14:textId="77777777" w:rsidR="00C276CF" w:rsidRDefault="00000000">
      <w:pPr>
        <w:spacing w:after="222" w:line="265" w:lineRule="auto"/>
        <w:ind w:left="10" w:hanging="10"/>
      </w:pPr>
      <w:r>
        <w:rPr>
          <w:sz w:val="24"/>
        </w:rPr>
        <w:t>III.  Cena a platební podmínky</w:t>
      </w:r>
    </w:p>
    <w:p w14:paraId="5F6D7D3F" w14:textId="37A5D8AF" w:rsidR="00C276CF" w:rsidRDefault="00000000">
      <w:pPr>
        <w:numPr>
          <w:ilvl w:val="0"/>
          <w:numId w:val="2"/>
        </w:numPr>
        <w:spacing w:after="21"/>
        <w:ind w:right="1195" w:firstLine="0"/>
      </w:pPr>
      <w:r>
        <w:t>Cena za měsíční užívání internetového portálu a servisní podporu činí 515.83 Kč + DPH.</w:t>
      </w:r>
    </w:p>
    <w:p w14:paraId="066AC4BD" w14:textId="33B8FE4E" w:rsidR="00C276CF" w:rsidRDefault="00000000">
      <w:pPr>
        <w:spacing w:after="59"/>
        <w:ind w:left="286" w:firstLine="0"/>
      </w:pPr>
      <w:r>
        <w:t>Roční poplatek 6190,- Kč + DPH bude pravidelně fakturován k 1.1. daného kalendářního roku.</w:t>
      </w:r>
    </w:p>
    <w:p w14:paraId="490A3AE3" w14:textId="46A15E27" w:rsidR="00C276CF" w:rsidRDefault="00000000">
      <w:pPr>
        <w:spacing w:after="43"/>
        <w:ind w:left="300" w:right="868" w:firstLine="0"/>
      </w:pPr>
      <w:r>
        <w:t>Datum plnění předmětu smlouvy je 01.</w:t>
      </w:r>
      <w:r w:rsidR="00D82E78">
        <w:t xml:space="preserve"> </w:t>
      </w:r>
      <w:r>
        <w:t>01.2026</w:t>
      </w:r>
    </w:p>
    <w:p w14:paraId="2881E118" w14:textId="77777777" w:rsidR="00C276CF" w:rsidRDefault="00000000">
      <w:pPr>
        <w:numPr>
          <w:ilvl w:val="0"/>
          <w:numId w:val="2"/>
        </w:numPr>
        <w:spacing w:after="26"/>
        <w:ind w:right="1195" w:firstLine="0"/>
      </w:pPr>
      <w:r>
        <w:t>Aktuální ceník bude vždy na internetových stránkách dodavatele - www.ulrichsw.cz. 3) Faktury se platí bankovním převodem na účet druhé smluvní strany. Splatnost faktur je 14 dní.</w:t>
      </w:r>
    </w:p>
    <w:p w14:paraId="19A52C43" w14:textId="77777777" w:rsidR="00C276CF" w:rsidRDefault="00000000">
      <w:pPr>
        <w:numPr>
          <w:ilvl w:val="0"/>
          <w:numId w:val="3"/>
        </w:numPr>
        <w:spacing w:after="95"/>
        <w:ind w:right="864"/>
      </w:pPr>
      <w:r>
        <w:t>Pokud dojde k navýšení ceny o více než 30% poslední účtované částky, bude tato změna dokladována formou dodatku k původní smlouvě.</w:t>
      </w:r>
    </w:p>
    <w:p w14:paraId="709FD84F" w14:textId="77777777" w:rsidR="00C276CF" w:rsidRDefault="00000000">
      <w:pPr>
        <w:numPr>
          <w:ilvl w:val="0"/>
          <w:numId w:val="3"/>
        </w:numPr>
        <w:spacing w:line="308" w:lineRule="auto"/>
        <w:ind w:right="864"/>
      </w:pPr>
      <w:r>
        <w:t>Dopočtena částka za období 11/2025 až 12/2025 bude fakturována jednorázově ve výši    938.66 Kč + DPH.</w:t>
      </w:r>
    </w:p>
    <w:p w14:paraId="3F3A43F6" w14:textId="77777777" w:rsidR="00C276CF" w:rsidRDefault="00000000">
      <w:pPr>
        <w:spacing w:after="166" w:line="265" w:lineRule="auto"/>
        <w:ind w:left="24" w:hanging="10"/>
      </w:pPr>
      <w:r>
        <w:rPr>
          <w:sz w:val="24"/>
        </w:rPr>
        <w:t>IV.  Sankce</w:t>
      </w:r>
    </w:p>
    <w:p w14:paraId="394E188C" w14:textId="77777777" w:rsidR="00C276CF" w:rsidRDefault="00000000">
      <w:pPr>
        <w:spacing w:after="1341"/>
        <w:ind w:left="-1" w:right="483" w:firstLine="0"/>
      </w:pPr>
      <w:r>
        <w:t>1) Smluvní strana má v případě opoždění plnění peněžního závazku z druhé smluvní strany, které je více než 30 dnů ode dne splatnosti faktury, právo přerušit poskytování všech plnění, ke kterým se jako smluvní strana zavázala.</w:t>
      </w:r>
    </w:p>
    <w:p w14:paraId="04108715" w14:textId="77777777" w:rsidR="00C276CF" w:rsidRDefault="00000000">
      <w:pPr>
        <w:spacing w:after="181" w:line="265" w:lineRule="auto"/>
        <w:ind w:left="10" w:hanging="10"/>
      </w:pPr>
      <w:r>
        <w:rPr>
          <w:sz w:val="24"/>
        </w:rPr>
        <w:t>V. Závěrečné ustanovení</w:t>
      </w:r>
    </w:p>
    <w:p w14:paraId="091AEA67" w14:textId="77777777" w:rsidR="00C276CF" w:rsidRDefault="00000000">
      <w:pPr>
        <w:numPr>
          <w:ilvl w:val="0"/>
          <w:numId w:val="4"/>
        </w:numPr>
        <w:spacing w:after="10"/>
        <w:ind w:right="335"/>
      </w:pPr>
      <w:r>
        <w:t>Smlouva nabývá platnosti a účinnosti dnem jejího podpisu obou smluvních stran, přičemž rozhodující je datum pozdějšího podpisu.</w:t>
      </w:r>
    </w:p>
    <w:p w14:paraId="689F269D" w14:textId="77777777" w:rsidR="00C276CF" w:rsidRDefault="00000000">
      <w:pPr>
        <w:numPr>
          <w:ilvl w:val="0"/>
          <w:numId w:val="4"/>
        </w:numPr>
        <w:spacing w:after="136"/>
        <w:ind w:right="335"/>
      </w:pPr>
      <w:r>
        <w:t xml:space="preserve">Tato smlouva je uzavřena na dobu neurčitou. Obě smluvní strany mohou tuto smlouvu vypovědět i bez udání důvodů </w:t>
      </w:r>
      <w:proofErr w:type="gramStart"/>
      <w:r>
        <w:t>v</w:t>
      </w:r>
      <w:proofErr w:type="gramEnd"/>
      <w:r>
        <w:t xml:space="preserve"> dvou měsíční výpovědní lhůtě, která začne běžet prvním dnem měsíce následujícího po doručení písemné výpovědi druhé straně. Smlouvu je možné též ukončit dohodou smluvních stran.</w:t>
      </w:r>
    </w:p>
    <w:p w14:paraId="3C9953E4" w14:textId="77777777" w:rsidR="00C276CF" w:rsidRDefault="00000000">
      <w:pPr>
        <w:numPr>
          <w:ilvl w:val="0"/>
          <w:numId w:val="4"/>
        </w:numPr>
        <w:spacing w:after="113"/>
        <w:ind w:right="335"/>
      </w:pPr>
      <w:r>
        <w:t>Smlouva může být změněna jen formou písemného „Dodatku ke smlouvě“, podepsaného oběma stranami.</w:t>
      </w:r>
    </w:p>
    <w:p w14:paraId="61341928" w14:textId="77777777" w:rsidR="00C276CF" w:rsidRDefault="00000000">
      <w:pPr>
        <w:numPr>
          <w:ilvl w:val="0"/>
          <w:numId w:val="4"/>
        </w:numPr>
        <w:spacing w:after="44"/>
        <w:ind w:right="335"/>
      </w:pPr>
      <w:r>
        <w:t>Tato smlouva je vyhotovena ve 2 stejnopisech, z nichž každý je na úrovni originálu. Dodavatel i odběratel obdrží po jednom stejnopise.</w:t>
      </w:r>
    </w:p>
    <w:p w14:paraId="26B610BD" w14:textId="77777777" w:rsidR="00C276CF" w:rsidRDefault="00000000">
      <w:pPr>
        <w:numPr>
          <w:ilvl w:val="0"/>
          <w:numId w:val="4"/>
        </w:numPr>
        <w:spacing w:after="882" w:line="307" w:lineRule="auto"/>
        <w:ind w:right="335"/>
      </w:pPr>
      <w:r>
        <w:t>Právní vztahy touto smlouvou neupravené se řídí zákonem č. 89/2012 Sb., občanským zákoníkem, ve znění pozdějších předpisů. Ve Frýdku-Místku dne 29.10.2025</w:t>
      </w:r>
    </w:p>
    <w:p w14:paraId="0B7C5977" w14:textId="517029B3" w:rsidR="00D82E78" w:rsidRDefault="00D82E78" w:rsidP="00D82E78">
      <w:pPr>
        <w:spacing w:after="882" w:line="307" w:lineRule="auto"/>
        <w:ind w:left="296" w:right="335" w:firstLine="0"/>
      </w:pPr>
      <w:r>
        <w:t>Ing. Ivo Ulrich                                                               Mgr. Jana Kellnerová</w:t>
      </w:r>
    </w:p>
    <w:p w14:paraId="31ACEA25" w14:textId="77777777" w:rsidR="00C276CF" w:rsidRDefault="00000000">
      <w:pPr>
        <w:spacing w:after="124" w:line="259" w:lineRule="auto"/>
        <w:ind w:left="60" w:firstLine="0"/>
      </w:pPr>
      <w:r>
        <w:rPr>
          <w:rFonts w:ascii="Calibri" w:eastAsia="Calibri" w:hAnsi="Calibri" w:cs="Calibri"/>
          <w:noProof/>
        </w:rPr>
        <mc:AlternateContent>
          <mc:Choice Requires="wpg">
            <w:drawing>
              <wp:inline distT="0" distB="0" distL="0" distR="0" wp14:anchorId="3911AF6D" wp14:editId="7683CAE7">
                <wp:extent cx="5580889" cy="4763"/>
                <wp:effectExtent l="0" t="0" r="0" b="0"/>
                <wp:docPr id="1639" name="Group 1639"/>
                <wp:cNvGraphicFramePr/>
                <a:graphic xmlns:a="http://schemas.openxmlformats.org/drawingml/2006/main">
                  <a:graphicData uri="http://schemas.microsoft.com/office/word/2010/wordprocessingGroup">
                    <wpg:wgp>
                      <wpg:cNvGrpSpPr/>
                      <wpg:grpSpPr>
                        <a:xfrm>
                          <a:off x="0" y="0"/>
                          <a:ext cx="5580889" cy="4763"/>
                          <a:chOff x="0" y="0"/>
                          <a:chExt cx="5580889" cy="4763"/>
                        </a:xfrm>
                      </wpg:grpSpPr>
                      <wps:wsp>
                        <wps:cNvPr id="88" name="Shape 88"/>
                        <wps:cNvSpPr/>
                        <wps:spPr>
                          <a:xfrm>
                            <a:off x="0" y="0"/>
                            <a:ext cx="2485644" cy="0"/>
                          </a:xfrm>
                          <a:custGeom>
                            <a:avLst/>
                            <a:gdLst/>
                            <a:ahLst/>
                            <a:cxnLst/>
                            <a:rect l="0" t="0" r="0" b="0"/>
                            <a:pathLst>
                              <a:path w="2485644">
                                <a:moveTo>
                                  <a:pt x="0" y="0"/>
                                </a:moveTo>
                                <a:lnTo>
                                  <a:pt x="2485644" y="0"/>
                                </a:lnTo>
                              </a:path>
                            </a:pathLst>
                          </a:custGeom>
                          <a:ln w="4763" cap="rnd">
                            <a:custDash>
                              <a:ds d="37500" sp="37500"/>
                            </a:custDash>
                            <a:round/>
                          </a:ln>
                        </wps:spPr>
                        <wps:style>
                          <a:lnRef idx="1">
                            <a:srgbClr val="000000"/>
                          </a:lnRef>
                          <a:fillRef idx="0">
                            <a:srgbClr val="000000">
                              <a:alpha val="0"/>
                            </a:srgbClr>
                          </a:fillRef>
                          <a:effectRef idx="0">
                            <a:scrgbClr r="0" g="0" b="0"/>
                          </a:effectRef>
                          <a:fontRef idx="none"/>
                        </wps:style>
                        <wps:bodyPr/>
                      </wps:wsp>
                      <wps:wsp>
                        <wps:cNvPr id="91" name="Shape 91"/>
                        <wps:cNvSpPr/>
                        <wps:spPr>
                          <a:xfrm>
                            <a:off x="3095244" y="0"/>
                            <a:ext cx="2485645" cy="0"/>
                          </a:xfrm>
                          <a:custGeom>
                            <a:avLst/>
                            <a:gdLst/>
                            <a:ahLst/>
                            <a:cxnLst/>
                            <a:rect l="0" t="0" r="0" b="0"/>
                            <a:pathLst>
                              <a:path w="2485645">
                                <a:moveTo>
                                  <a:pt x="0" y="0"/>
                                </a:moveTo>
                                <a:lnTo>
                                  <a:pt x="2485645" y="0"/>
                                </a:lnTo>
                              </a:path>
                            </a:pathLst>
                          </a:custGeom>
                          <a:ln w="4763" cap="rnd">
                            <a:custDash>
                              <a:ds d="37500" sp="375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39" style="width:439.44pt;height:0.375pt;mso-position-horizontal-relative:char;mso-position-vertical-relative:line" coordsize="55808,47">
                <v:shape id="Shape 88" style="position:absolute;width:24856;height:0;left:0;top:0;" coordsize="2485644,0" path="m0,0l2485644,0">
                  <v:stroke weight="0.375pt" endcap="round" dashstyle="1 1" joinstyle="round" on="true" color="#000000"/>
                  <v:fill on="false" color="#000000" opacity="0"/>
                </v:shape>
                <v:shape id="Shape 91" style="position:absolute;width:24856;height:0;left:30952;top:0;" coordsize="2485645,0" path="m0,0l2485645,0">
                  <v:stroke weight="0.375pt" endcap="round" dashstyle="1 1" joinstyle="round" on="true" color="#000000"/>
                  <v:fill on="false" color="#000000" opacity="0"/>
                </v:shape>
              </v:group>
            </w:pict>
          </mc:Fallback>
        </mc:AlternateContent>
      </w:r>
    </w:p>
    <w:p w14:paraId="519F4BDB" w14:textId="77777777" w:rsidR="00C276CF" w:rsidRDefault="00000000">
      <w:pPr>
        <w:tabs>
          <w:tab w:val="center" w:pos="1935"/>
          <w:tab w:val="center" w:pos="6749"/>
        </w:tabs>
        <w:spacing w:line="259" w:lineRule="auto"/>
        <w:ind w:left="0" w:firstLine="0"/>
      </w:pPr>
      <w:r>
        <w:rPr>
          <w:rFonts w:ascii="Calibri" w:eastAsia="Calibri" w:hAnsi="Calibri" w:cs="Calibri"/>
        </w:rPr>
        <w:tab/>
      </w:r>
      <w:r>
        <w:rPr>
          <w:sz w:val="16"/>
        </w:rPr>
        <w:t>razítko, podpis</w:t>
      </w:r>
      <w:r>
        <w:rPr>
          <w:sz w:val="16"/>
        </w:rPr>
        <w:tab/>
        <w:t>razítko, podpis</w:t>
      </w:r>
    </w:p>
    <w:p w14:paraId="672DF629" w14:textId="77777777" w:rsidR="00C276CF" w:rsidRDefault="00000000">
      <w:pPr>
        <w:tabs>
          <w:tab w:val="center" w:pos="1939"/>
          <w:tab w:val="center" w:pos="6801"/>
        </w:tabs>
        <w:spacing w:after="185" w:line="259" w:lineRule="auto"/>
        <w:ind w:left="0" w:firstLine="0"/>
      </w:pPr>
      <w:r>
        <w:rPr>
          <w:rFonts w:ascii="Calibri" w:eastAsia="Calibri" w:hAnsi="Calibri" w:cs="Calibri"/>
        </w:rPr>
        <w:tab/>
      </w:r>
      <w:r>
        <w:rPr>
          <w:sz w:val="20"/>
        </w:rPr>
        <w:t>Dodavatel</w:t>
      </w:r>
      <w:r>
        <w:rPr>
          <w:sz w:val="20"/>
        </w:rPr>
        <w:tab/>
        <w:t>Odběratel</w:t>
      </w:r>
    </w:p>
    <w:sectPr w:rsidR="00C276CF" w:rsidSect="00D82E78">
      <w:pgSz w:w="11906" w:h="16838"/>
      <w:pgMar w:top="459" w:right="1298" w:bottom="1701" w:left="130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12773"/>
    <w:multiLevelType w:val="hybridMultilevel"/>
    <w:tmpl w:val="4274F2C6"/>
    <w:lvl w:ilvl="0" w:tplc="49EA0640">
      <w:start w:val="4"/>
      <w:numFmt w:val="decimal"/>
      <w:lvlText w:val="%1)"/>
      <w:lvlJc w:val="left"/>
      <w:pPr>
        <w:ind w:left="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00193A">
      <w:start w:val="1"/>
      <w:numFmt w:val="lowerLetter"/>
      <w:lvlText w:val="%2"/>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56A61C">
      <w:start w:val="1"/>
      <w:numFmt w:val="lowerRoman"/>
      <w:lvlText w:val="%3"/>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F487F2">
      <w:start w:val="1"/>
      <w:numFmt w:val="decimal"/>
      <w:lvlText w:val="%4"/>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1ED534">
      <w:start w:val="1"/>
      <w:numFmt w:val="lowerLetter"/>
      <w:lvlText w:val="%5"/>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5E89AE">
      <w:start w:val="1"/>
      <w:numFmt w:val="lowerRoman"/>
      <w:lvlText w:val="%6"/>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6E6D46">
      <w:start w:val="1"/>
      <w:numFmt w:val="decimal"/>
      <w:lvlText w:val="%7"/>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1203D6">
      <w:start w:val="1"/>
      <w:numFmt w:val="lowerLetter"/>
      <w:lvlText w:val="%8"/>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86F30C">
      <w:start w:val="1"/>
      <w:numFmt w:val="lowerRoman"/>
      <w:lvlText w:val="%9"/>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80829D7"/>
    <w:multiLevelType w:val="hybridMultilevel"/>
    <w:tmpl w:val="ADA2945E"/>
    <w:lvl w:ilvl="0" w:tplc="4986EA7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C233B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A88B9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D2819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ACA68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5C650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A2133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B44ED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02017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E15353B"/>
    <w:multiLevelType w:val="hybridMultilevel"/>
    <w:tmpl w:val="95F8E4A0"/>
    <w:lvl w:ilvl="0" w:tplc="5D761688">
      <w:start w:val="1"/>
      <w:numFmt w:val="decimal"/>
      <w:lvlText w:val="%1)"/>
      <w:lvlJc w:val="left"/>
      <w:pPr>
        <w:ind w:left="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6A541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32A4E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CAFDF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74EC0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DE391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C0FAE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80A9A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2406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8811DBA"/>
    <w:multiLevelType w:val="hybridMultilevel"/>
    <w:tmpl w:val="631478BA"/>
    <w:lvl w:ilvl="0" w:tplc="FB9057F4">
      <w:start w:val="1"/>
      <w:numFmt w:val="decimal"/>
      <w:lvlText w:val="%1)"/>
      <w:lvlJc w:val="left"/>
      <w:pPr>
        <w:ind w:left="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DCDD4A">
      <w:start w:val="1"/>
      <w:numFmt w:val="lowerLetter"/>
      <w:lvlText w:val="%2"/>
      <w:lvlJc w:val="left"/>
      <w:pPr>
        <w:ind w:left="1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748D8C">
      <w:start w:val="1"/>
      <w:numFmt w:val="lowerRoman"/>
      <w:lvlText w:val="%3"/>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522284">
      <w:start w:val="1"/>
      <w:numFmt w:val="decimal"/>
      <w:lvlText w:val="%4"/>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C686C2">
      <w:start w:val="1"/>
      <w:numFmt w:val="lowerLetter"/>
      <w:lvlText w:val="%5"/>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5EB7E0">
      <w:start w:val="1"/>
      <w:numFmt w:val="lowerRoman"/>
      <w:lvlText w:val="%6"/>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3C42C8">
      <w:start w:val="1"/>
      <w:numFmt w:val="decimal"/>
      <w:lvlText w:val="%7"/>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2A39DC">
      <w:start w:val="1"/>
      <w:numFmt w:val="lowerLetter"/>
      <w:lvlText w:val="%8"/>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C424F2">
      <w:start w:val="1"/>
      <w:numFmt w:val="lowerRoman"/>
      <w:lvlText w:val="%9"/>
      <w:lvlJc w:val="left"/>
      <w:pPr>
        <w:ind w:left="6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620455350">
    <w:abstractNumId w:val="3"/>
  </w:num>
  <w:num w:numId="2" w16cid:durableId="1464495436">
    <w:abstractNumId w:val="1"/>
  </w:num>
  <w:num w:numId="3" w16cid:durableId="2097549560">
    <w:abstractNumId w:val="0"/>
  </w:num>
  <w:num w:numId="4" w16cid:durableId="14235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6CF"/>
    <w:rsid w:val="008D26E1"/>
    <w:rsid w:val="00C276CF"/>
    <w:rsid w:val="00D82E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696B9"/>
  <w15:docId w15:val="{C5D9533E-73D0-48C4-9AF9-4DD6BBE6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21" w:line="252" w:lineRule="auto"/>
      <w:ind w:left="430" w:hanging="296"/>
    </w:pPr>
    <w:rPr>
      <w:rFonts w:ascii="Times New Roman" w:eastAsia="Times New Roman" w:hAnsi="Times New Roman" w:cs="Times New Roman"/>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521</Words>
  <Characters>3080</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Z:\Support\reports2\smlouva2_estrava_cz.frx</dc:title>
  <dc:subject/>
  <dc:creator>Hrusecka Anna</dc:creator>
  <cp:keywords/>
  <cp:lastModifiedBy>Daniela Beňová</cp:lastModifiedBy>
  <cp:revision>2</cp:revision>
  <dcterms:created xsi:type="dcterms:W3CDTF">2025-11-06T11:00:00Z</dcterms:created>
  <dcterms:modified xsi:type="dcterms:W3CDTF">2025-11-06T11:00:00Z</dcterms:modified>
</cp:coreProperties>
</file>