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7D9DBF82"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244AFA">
        <w:rPr>
          <w:rFonts w:ascii="Calibri" w:hAnsi="Calibri"/>
          <w:b/>
          <w:caps/>
          <w:sz w:val="32"/>
        </w:rPr>
        <w:t xml:space="preserve"> č. TSML 2</w:t>
      </w:r>
      <w:r w:rsidR="009D1DDC">
        <w:rPr>
          <w:rFonts w:ascii="Calibri" w:hAnsi="Calibri"/>
          <w:b/>
          <w:caps/>
          <w:sz w:val="32"/>
        </w:rPr>
        <w:t>5</w:t>
      </w:r>
      <w:r w:rsidR="00244AFA">
        <w:rPr>
          <w:rFonts w:ascii="Calibri" w:hAnsi="Calibri"/>
          <w:b/>
          <w:caps/>
          <w:sz w:val="32"/>
        </w:rPr>
        <w:t>/0</w:t>
      </w:r>
      <w:r w:rsidR="00135A33">
        <w:rPr>
          <w:rFonts w:ascii="Calibri" w:hAnsi="Calibri"/>
          <w:b/>
          <w:caps/>
          <w:sz w:val="32"/>
        </w:rPr>
        <w:t>0</w:t>
      </w:r>
      <w:r w:rsidR="003C33D3">
        <w:rPr>
          <w:rFonts w:ascii="Calibri" w:hAnsi="Calibri"/>
          <w:b/>
          <w:caps/>
          <w:sz w:val="32"/>
        </w:rPr>
        <w:t>59</w:t>
      </w:r>
      <w:bookmarkStart w:id="0" w:name="_GoBack"/>
      <w:bookmarkEnd w:id="0"/>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1" w:name="_Hlk34302498"/>
            <w:r w:rsidRPr="00B3643B">
              <w:rPr>
                <w:rFonts w:asciiTheme="minorHAnsi" w:hAnsiTheme="minorHAnsi" w:cstheme="minorHAnsi"/>
                <w:b/>
                <w:sz w:val="22"/>
                <w:szCs w:val="22"/>
              </w:rPr>
              <w:t>Technické služby města Liberec, p.o.</w:t>
            </w:r>
            <w:bookmarkEnd w:id="1"/>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6172DA98" w:rsidR="00374E76" w:rsidRPr="00B3643B" w:rsidRDefault="00374E76" w:rsidP="00D8219E">
            <w:pPr>
              <w:rPr>
                <w:rFonts w:ascii="Calibri" w:hAnsi="Calibri"/>
                <w:sz w:val="22"/>
                <w:szCs w:val="22"/>
              </w:rPr>
            </w:pPr>
            <w:r w:rsidRPr="00B3643B">
              <w:rPr>
                <w:rFonts w:ascii="Calibri" w:hAnsi="Calibri"/>
                <w:sz w:val="22"/>
                <w:szCs w:val="22"/>
              </w:rPr>
              <w:t xml:space="preserve">Ing. </w:t>
            </w:r>
            <w:r w:rsidR="00D8219E">
              <w:rPr>
                <w:rFonts w:ascii="Calibri" w:hAnsi="Calibri"/>
                <w:sz w:val="22"/>
                <w:szCs w:val="22"/>
              </w:rPr>
              <w:t>Janem Ullmannem</w:t>
            </w:r>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6CB55B4A" w:rsidR="00374E76" w:rsidRPr="00B3643B" w:rsidRDefault="001611D0" w:rsidP="00374E7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xxxxxxxxxxxxxxxx</w:t>
            </w:r>
            <w:r w:rsidR="00374E76"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3F3A4C5" w:rsidR="00374E76" w:rsidRPr="00B3643B" w:rsidRDefault="001611D0" w:rsidP="00374E76">
            <w:pPr>
              <w:rPr>
                <w:rFonts w:ascii="Calibri" w:hAnsi="Calibri"/>
                <w:sz w:val="22"/>
                <w:szCs w:val="22"/>
              </w:rPr>
            </w:pPr>
            <w:r>
              <w:rPr>
                <w:rFonts w:ascii="Calibri" w:hAnsi="Calibri"/>
                <w:color w:val="000000" w:themeColor="text1"/>
                <w:sz w:val="22"/>
                <w:szCs w:val="22"/>
              </w:rPr>
              <w:t>xxxxxxxxxxxxx</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20ABABB6" w:rsidR="00374E76" w:rsidRPr="00564A1C" w:rsidRDefault="002A3A20" w:rsidP="00564A1C">
            <w:pPr>
              <w:rPr>
                <w:rFonts w:ascii="Calibri" w:hAnsi="Calibri"/>
                <w:b/>
                <w:sz w:val="22"/>
              </w:rPr>
            </w:pPr>
            <w:r>
              <w:rPr>
                <w:rFonts w:ascii="Calibri" w:hAnsi="Calibri"/>
                <w:b/>
                <w:sz w:val="22"/>
              </w:rPr>
              <w:t xml:space="preserve">EKOFLÓRA LIBEREC s. </w:t>
            </w:r>
            <w:r w:rsidR="00135A33">
              <w:rPr>
                <w:rFonts w:ascii="Calibri" w:hAnsi="Calibri"/>
                <w:b/>
                <w:sz w:val="22"/>
              </w:rPr>
              <w:t>r.o.</w:t>
            </w:r>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4D681823" w:rsidR="00374E76" w:rsidRDefault="00135A33" w:rsidP="00564A1C">
            <w:pPr>
              <w:rPr>
                <w:rFonts w:ascii="Calibri" w:hAnsi="Calibri"/>
                <w:sz w:val="22"/>
              </w:rPr>
            </w:pPr>
            <w:r>
              <w:rPr>
                <w:rFonts w:ascii="Calibri" w:hAnsi="Calibri"/>
                <w:sz w:val="22"/>
              </w:rPr>
              <w:t xml:space="preserve">U Slunečních Lázní 690, Liberec XIV – Ruprechtice , 46 14 Liberec </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7356CDFB" w:rsidR="00374E76" w:rsidRDefault="00135A33" w:rsidP="00097FCA">
            <w:pPr>
              <w:rPr>
                <w:rFonts w:ascii="Calibri" w:hAnsi="Calibri"/>
                <w:sz w:val="22"/>
              </w:rPr>
            </w:pPr>
            <w:r>
              <w:rPr>
                <w:rFonts w:ascii="Calibri" w:hAnsi="Calibri"/>
                <w:sz w:val="22"/>
              </w:rPr>
              <w:t xml:space="preserve">Ing. Ivo </w:t>
            </w:r>
            <w:r w:rsidR="00097FCA">
              <w:rPr>
                <w:rFonts w:ascii="Calibri" w:hAnsi="Calibri"/>
                <w:sz w:val="22"/>
              </w:rPr>
              <w:t>B</w:t>
            </w:r>
            <w:r>
              <w:rPr>
                <w:rFonts w:ascii="Calibri" w:hAnsi="Calibri"/>
                <w:sz w:val="22"/>
              </w:rPr>
              <w:t>arek</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4449B520" w:rsidR="00374E76" w:rsidRPr="003E2BAE" w:rsidRDefault="00135A33" w:rsidP="00564A1C">
            <w:pPr>
              <w:rPr>
                <w:rFonts w:asciiTheme="minorHAnsi" w:hAnsiTheme="minorHAnsi" w:cstheme="minorHAnsi"/>
                <w:color w:val="000000" w:themeColor="text1"/>
              </w:rPr>
            </w:pPr>
            <w:r>
              <w:rPr>
                <w:rFonts w:ascii="Calibri" w:hAnsi="Calibri"/>
                <w:sz w:val="22"/>
              </w:rPr>
              <w:t>Ing. Ivo Barek</w:t>
            </w:r>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18A4CC35" w:rsidR="00374E76" w:rsidRDefault="00135A33" w:rsidP="00564A1C">
            <w:pPr>
              <w:rPr>
                <w:rFonts w:ascii="Calibri" w:hAnsi="Calibri"/>
                <w:sz w:val="22"/>
              </w:rPr>
            </w:pPr>
            <w:r>
              <w:rPr>
                <w:rFonts w:ascii="Calibri" w:hAnsi="Calibri"/>
                <w:sz w:val="22"/>
              </w:rPr>
              <w:t>40229220</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379B2502" w:rsidR="00374E76" w:rsidRDefault="00135A33" w:rsidP="00564A1C">
            <w:pPr>
              <w:rPr>
                <w:rFonts w:ascii="Calibri" w:hAnsi="Calibri"/>
                <w:sz w:val="22"/>
              </w:rPr>
            </w:pPr>
            <w:r>
              <w:rPr>
                <w:rFonts w:ascii="Calibri" w:hAnsi="Calibri"/>
                <w:sz w:val="22"/>
              </w:rPr>
              <w:t>CZ40229220</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23DECFA9" w:rsidR="00374E76" w:rsidRDefault="00B94F5B"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r>
              <w:rPr>
                <w:rFonts w:ascii="Calibri" w:hAnsi="Calibri"/>
                <w:sz w:val="22"/>
              </w:rPr>
              <w:t>z</w:t>
            </w:r>
            <w:r w:rsidR="00374E76">
              <w:rPr>
                <w:rFonts w:ascii="Calibri" w:hAnsi="Calibri"/>
                <w:sz w:val="22"/>
              </w:rPr>
              <w:t>n.</w:t>
            </w:r>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06C132EF" w:rsidR="00374E76" w:rsidRPr="00103C1C" w:rsidRDefault="00374E76" w:rsidP="00C20D12">
            <w:pPr>
              <w:rPr>
                <w:rFonts w:ascii="Calibri" w:hAnsi="Calibri"/>
                <w:sz w:val="22"/>
                <w:highlight w:val="lightGray"/>
              </w:rPr>
            </w:pP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4CFE1DD2" w14:textId="7F5A6AAE" w:rsidR="004F6555" w:rsidRDefault="00B94F5B" w:rsidP="00B80A6F">
      <w:pPr>
        <w:ind w:left="284" w:firstLine="567"/>
        <w:rPr>
          <w:rFonts w:ascii="Calibri" w:hAnsi="Calibri"/>
          <w:sz w:val="22"/>
        </w:rPr>
      </w:pPr>
      <w:r>
        <w:rPr>
          <w:rFonts w:ascii="Calibri" w:hAnsi="Calibri"/>
          <w:sz w:val="22"/>
        </w:rPr>
        <w:t>Dle zadání : ruční údržba přechodů, autobusových zastávek</w:t>
      </w:r>
    </w:p>
    <w:p w14:paraId="65EB7DEC" w14:textId="6D90CED7"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w:t>
      </w:r>
      <w:r w:rsidR="009D1DDC">
        <w:rPr>
          <w:rFonts w:asciiTheme="minorHAnsi" w:eastAsia="Calibri" w:hAnsiTheme="minorHAnsi" w:cstheme="minorHAnsi"/>
          <w:b w:val="0"/>
          <w:sz w:val="22"/>
          <w:u w:val="none"/>
        </w:rPr>
        <w:t>5</w:t>
      </w:r>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469B6E0E"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w:t>
      </w:r>
      <w:r w:rsidR="009D1DDC">
        <w:rPr>
          <w:rFonts w:asciiTheme="minorHAnsi" w:eastAsia="Calibri" w:hAnsiTheme="minorHAnsi" w:cstheme="minorHAnsi"/>
          <w:b w:val="0"/>
          <w:sz w:val="22"/>
          <w:u w:val="none"/>
        </w:rPr>
        <w:t>5</w:t>
      </w:r>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.2 této smlouvy v období od 1.11. do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08D19266"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1.11. </w:t>
      </w:r>
      <w:r w:rsidR="007E08A8" w:rsidRPr="00207E12">
        <w:rPr>
          <w:rFonts w:asciiTheme="minorHAnsi" w:eastAsia="Calibri" w:hAnsiTheme="minorHAnsi" w:cstheme="minorHAnsi"/>
          <w:b w:val="0"/>
          <w:sz w:val="22"/>
          <w:u w:val="none"/>
        </w:rPr>
        <w:t>202</w:t>
      </w:r>
      <w:r w:rsidR="009D1DDC">
        <w:rPr>
          <w:rFonts w:asciiTheme="minorHAnsi" w:eastAsia="Calibri" w:hAnsiTheme="minorHAnsi" w:cstheme="minorHAnsi"/>
          <w:b w:val="0"/>
          <w:sz w:val="22"/>
          <w:u w:val="none"/>
        </w:rPr>
        <w:t>5</w:t>
      </w:r>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4434A7C8"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B94F5B">
        <w:rPr>
          <w:rFonts w:asciiTheme="minorHAnsi" w:eastAsia="Calibri" w:hAnsiTheme="minorHAnsi" w:cstheme="minorHAnsi"/>
          <w:b w:val="0"/>
          <w:sz w:val="22"/>
          <w:u w:val="none"/>
        </w:rPr>
        <w:t>ručního dělníka</w:t>
      </w:r>
      <w:r>
        <w:rPr>
          <w:rFonts w:asciiTheme="minorHAnsi" w:eastAsia="Calibri" w:hAnsiTheme="minorHAnsi" w:cstheme="minorHAnsi"/>
          <w:b w:val="0"/>
          <w:sz w:val="22"/>
          <w:u w:val="none"/>
        </w:rPr>
        <w:t xml:space="preserve"> </w:t>
      </w:r>
      <w:r w:rsidR="00D8219E">
        <w:rPr>
          <w:rFonts w:asciiTheme="minorHAnsi" w:eastAsia="Calibri" w:hAnsiTheme="minorHAnsi" w:cstheme="minorHAnsi"/>
          <w:b w:val="0"/>
          <w:sz w:val="22"/>
          <w:u w:val="none"/>
        </w:rPr>
        <w:t>2</w:t>
      </w:r>
      <w:r w:rsidR="009D1DDC">
        <w:rPr>
          <w:rFonts w:asciiTheme="minorHAnsi" w:eastAsia="Calibri" w:hAnsiTheme="minorHAnsi" w:cstheme="minorHAnsi"/>
          <w:b w:val="0"/>
          <w:sz w:val="22"/>
          <w:u w:val="none"/>
        </w:rPr>
        <w:t>19</w:t>
      </w:r>
      <w:r w:rsidR="00D416BD">
        <w:rPr>
          <w:rFonts w:asciiTheme="minorHAnsi" w:eastAsia="Calibri" w:hAnsiTheme="minorHAnsi" w:cstheme="minorHAnsi"/>
          <w:b w:val="0"/>
          <w:sz w:val="22"/>
          <w:u w:val="none"/>
        </w:rPr>
        <w:t xml:space="preserve">,- Kč / hodina </w:t>
      </w:r>
      <w:r>
        <w:rPr>
          <w:rFonts w:asciiTheme="minorHAnsi" w:eastAsia="Calibri" w:hAnsiTheme="minorHAnsi" w:cstheme="minorHAnsi"/>
          <w:b w:val="0"/>
          <w:sz w:val="22"/>
          <w:u w:val="none"/>
        </w:rPr>
        <w:t>.</w:t>
      </w:r>
    </w:p>
    <w:p w14:paraId="17BCE435" w14:textId="2EDEF1B0" w:rsidR="00B330E1" w:rsidRDefault="00135A33"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traktor CASE                     990,-Kč/hodina</w:t>
      </w:r>
    </w:p>
    <w:p w14:paraId="39EAA955" w14:textId="1D628926" w:rsidR="00135A33" w:rsidRPr="00135A33" w:rsidRDefault="00135A33" w:rsidP="00135A33">
      <w:pPr>
        <w:pStyle w:val="Odstavecseseznamem"/>
        <w:numPr>
          <w:ilvl w:val="0"/>
          <w:numId w:val="5"/>
        </w:numPr>
      </w:pPr>
      <w:r>
        <w:t>teleskopický nakladač  9</w:t>
      </w:r>
      <w:r w:rsidR="009D1DDC">
        <w:t>90</w:t>
      </w:r>
      <w:r>
        <w:t>,- Kč/hodina</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w:t>
      </w:r>
      <w:r w:rsidRPr="00DE198A">
        <w:rPr>
          <w:rFonts w:asciiTheme="minorHAnsi" w:eastAsia="Calibri" w:hAnsiTheme="minorHAnsi" w:cstheme="minorHAnsi"/>
          <w:b w:val="0"/>
          <w:sz w:val="22"/>
          <w:u w:val="none"/>
        </w:rPr>
        <w:lastRenderedPageBreak/>
        <w:t xml:space="preserve">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a to od 01.01. kalendářního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a souhlasí, že plně odpovídá za veškeré škody způsobené třetím osobám jeho mechanizací v důsledku provádění Zimní údržby dle této smlouvy. V případě, kdy by vznikla </w:t>
      </w:r>
      <w:r w:rsidRPr="00004E35">
        <w:rPr>
          <w:rFonts w:asciiTheme="minorHAnsi" w:eastAsia="Calibri" w:hAnsiTheme="minorHAnsi" w:cstheme="minorHAnsi"/>
          <w:b w:val="0"/>
          <w:sz w:val="22"/>
          <w:u w:val="none"/>
        </w:rPr>
        <w:lastRenderedPageBreak/>
        <w:t>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50331478"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9D1DDC">
        <w:rPr>
          <w:rFonts w:asciiTheme="minorHAnsi" w:eastAsia="Calibri" w:hAnsiTheme="minorHAnsi" w:cstheme="minorHAnsi"/>
          <w:b w:val="0"/>
          <w:sz w:val="22"/>
          <w:u w:val="none"/>
        </w:rPr>
        <w:t>5</w:t>
      </w:r>
      <w:r w:rsidR="00D416BD">
        <w:rPr>
          <w:rFonts w:asciiTheme="minorHAnsi" w:eastAsia="Calibri" w:hAnsiTheme="minorHAnsi" w:cstheme="minorHAnsi"/>
          <w:b w:val="0"/>
          <w:sz w:val="22"/>
          <w:u w:val="none"/>
        </w:rPr>
        <w:t xml:space="preserve"> do </w:t>
      </w:r>
      <w:r w:rsidR="009D1DDC">
        <w:rPr>
          <w:rFonts w:asciiTheme="minorHAnsi" w:eastAsia="Calibri" w:hAnsiTheme="minorHAnsi" w:cstheme="minorHAnsi"/>
          <w:b w:val="0"/>
          <w:sz w:val="22"/>
          <w:u w:val="none"/>
        </w:rPr>
        <w:t>15</w:t>
      </w:r>
      <w:r w:rsidR="00D416BD">
        <w:rPr>
          <w:rFonts w:asciiTheme="minorHAnsi" w:eastAsia="Calibri" w:hAnsiTheme="minorHAnsi" w:cstheme="minorHAnsi"/>
          <w:b w:val="0"/>
          <w:sz w:val="22"/>
          <w:u w:val="none"/>
        </w:rPr>
        <w:t>.0</w:t>
      </w:r>
      <w:r w:rsidR="009D1DDC">
        <w:rPr>
          <w:rFonts w:asciiTheme="minorHAnsi" w:eastAsia="Calibri" w:hAnsiTheme="minorHAnsi" w:cstheme="minorHAnsi"/>
          <w:b w:val="0"/>
          <w:sz w:val="22"/>
          <w:u w:val="none"/>
        </w:rPr>
        <w:t>4</w:t>
      </w:r>
      <w:r w:rsidR="00D416BD">
        <w:rPr>
          <w:rFonts w:asciiTheme="minorHAnsi" w:eastAsia="Calibri" w:hAnsiTheme="minorHAnsi" w:cstheme="minorHAnsi"/>
          <w:b w:val="0"/>
          <w:sz w:val="22"/>
          <w:u w:val="none"/>
        </w:rPr>
        <w:t>.202</w:t>
      </w:r>
      <w:r w:rsidR="009D1DDC">
        <w:rPr>
          <w:rFonts w:asciiTheme="minorHAnsi" w:eastAsia="Calibri" w:hAnsiTheme="minorHAnsi" w:cstheme="minorHAnsi"/>
          <w:b w:val="0"/>
          <w:sz w:val="22"/>
          <w:u w:val="none"/>
        </w:rPr>
        <w:t>6</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r w:rsidR="00FD64D2" w:rsidRPr="001571F8">
        <w:rPr>
          <w:rFonts w:ascii="Calibri" w:hAnsi="Calibri" w:cs="Calibri"/>
          <w:color w:val="000000" w:themeColor="text1"/>
          <w:sz w:val="22"/>
          <w:szCs w:val="22"/>
        </w:rPr>
        <w:t>odstoupením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w:t>
      </w:r>
      <w:r w:rsidRPr="00B6595B">
        <w:rPr>
          <w:rFonts w:asciiTheme="minorHAnsi" w:eastAsia="Calibri" w:hAnsiTheme="minorHAnsi" w:cstheme="minorHAnsi"/>
          <w:b w:val="0"/>
          <w:sz w:val="22"/>
          <w:u w:val="none"/>
        </w:rPr>
        <w:lastRenderedPageBreak/>
        <w:t>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67708CA2"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r w:rsidR="001611D0">
        <w:rPr>
          <w:rFonts w:asciiTheme="minorHAnsi" w:hAnsiTheme="minorHAnsi" w:cstheme="minorHAnsi"/>
        </w:rPr>
        <w:t>xxxxxxxxxxxxxxxxxxxxxxxxxx</w:t>
      </w:r>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449230FF"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097FCA">
        <w:rPr>
          <w:rFonts w:asciiTheme="minorHAnsi" w:hAnsiTheme="minorHAnsi" w:cstheme="minorHAnsi"/>
        </w:rPr>
        <w:t>ing. Barek</w:t>
      </w:r>
    </w:p>
    <w:p w14:paraId="7CCDD68E" w14:textId="426FFEF5"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r w:rsidR="001611D0">
        <w:rPr>
          <w:rFonts w:asciiTheme="minorHAnsi" w:hAnsiTheme="minorHAnsi" w:cstheme="minorHAnsi"/>
        </w:rPr>
        <w:t>xxxxxxxxxxxxxxxxxxxx</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23C89ACC" w:rsidR="00D3739F" w:rsidRDefault="00D3739F" w:rsidP="00D3739F"/>
    <w:p w14:paraId="61E7461F" w14:textId="77777777" w:rsidR="00097FCA" w:rsidRDefault="00097FCA"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w:t>
      </w:r>
      <w:r w:rsidRPr="00D3739F">
        <w:rPr>
          <w:rFonts w:asciiTheme="minorHAnsi" w:eastAsia="Calibri" w:hAnsiTheme="minorHAnsi" w:cstheme="minorHAnsi"/>
          <w:b w:val="0"/>
          <w:sz w:val="22"/>
          <w:u w:val="none"/>
        </w:rPr>
        <w:lastRenderedPageBreak/>
        <w:t xml:space="preserve">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r w:rsidR="005E2630" w:rsidRPr="00D3739F">
        <w:rPr>
          <w:rFonts w:asciiTheme="minorHAnsi" w:eastAsia="Calibri" w:hAnsiTheme="minorHAnsi" w:cstheme="minorHAnsi"/>
          <w:b w:val="0"/>
          <w:sz w:val="22"/>
          <w:u w:val="none"/>
        </w:rPr>
        <w:t>p.o.</w:t>
      </w:r>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694B365E"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0571AA2A" w14:textId="779956FB" w:rsidR="004F6555" w:rsidRDefault="004F6555" w:rsidP="004F6555">
      <w:pPr>
        <w:pStyle w:val="Odstavecseseznamem"/>
        <w:numPr>
          <w:ilvl w:val="1"/>
          <w:numId w:val="14"/>
        </w:numPr>
      </w:pPr>
      <w:r>
        <w:t>Zhotovitel je povinen účtovat každý program zvlášť a vystavovat zvlášť daňové doklady s vyúčtovanou příslušnou minimální tržbou.</w:t>
      </w:r>
    </w:p>
    <w:p w14:paraId="50AADBFC" w14:textId="77777777" w:rsidR="00097FCA" w:rsidRPr="004F6555" w:rsidRDefault="00097FCA" w:rsidP="004F6555">
      <w:pPr>
        <w:pStyle w:val="Odstavecseseznamem"/>
        <w:numPr>
          <w:ilvl w:val="1"/>
          <w:numId w:val="14"/>
        </w:numPr>
      </w:pP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4C01B4D3" w:rsidR="00DC0C06" w:rsidRDefault="00DC0C06" w:rsidP="00DC0C06">
      <w:pPr>
        <w:jc w:val="both"/>
        <w:rPr>
          <w:rFonts w:ascii="Calibri" w:hAnsi="Calibri"/>
          <w:sz w:val="22"/>
          <w:szCs w:val="22"/>
        </w:rPr>
      </w:pPr>
    </w:p>
    <w:p w14:paraId="7882E302" w14:textId="071A1152" w:rsidR="00097FCA" w:rsidRDefault="00097FCA" w:rsidP="00DC0C06">
      <w:pPr>
        <w:jc w:val="both"/>
        <w:rPr>
          <w:rFonts w:ascii="Calibri" w:hAnsi="Calibri"/>
          <w:sz w:val="22"/>
          <w:szCs w:val="22"/>
        </w:rPr>
      </w:pPr>
    </w:p>
    <w:p w14:paraId="0E173056" w14:textId="77777777" w:rsidR="00097FCA" w:rsidRDefault="00097FCA"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lastRenderedPageBreak/>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52B661C" w:rsidR="00DC0C06" w:rsidRDefault="00DC0C06" w:rsidP="00C20D12">
            <w:pPr>
              <w:jc w:val="both"/>
              <w:rPr>
                <w:rFonts w:ascii="Calibri" w:hAnsi="Calibri"/>
                <w:sz w:val="22"/>
                <w:szCs w:val="22"/>
              </w:rPr>
            </w:pPr>
            <w:r>
              <w:rPr>
                <w:rFonts w:ascii="Calibri" w:hAnsi="Calibri"/>
                <w:sz w:val="22"/>
                <w:szCs w:val="22"/>
              </w:rPr>
              <w:t xml:space="preserve">Ing. </w:t>
            </w:r>
            <w:r w:rsidR="00D8219E">
              <w:rPr>
                <w:rFonts w:ascii="Calibri" w:hAnsi="Calibri"/>
                <w:sz w:val="22"/>
                <w:szCs w:val="22"/>
              </w:rPr>
              <w:t>Jan Ullmann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701C23CB" w:rsidR="00DC0C06" w:rsidRDefault="00135A33" w:rsidP="00C20D12">
            <w:pPr>
              <w:jc w:val="both"/>
              <w:rPr>
                <w:rFonts w:ascii="Calibri" w:hAnsi="Calibri"/>
                <w:sz w:val="22"/>
                <w:szCs w:val="22"/>
              </w:rPr>
            </w:pPr>
            <w:r>
              <w:rPr>
                <w:rFonts w:ascii="Calibri" w:hAnsi="Calibri"/>
                <w:sz w:val="22"/>
                <w:szCs w:val="22"/>
              </w:rPr>
              <w:t>Ing. Ivo Barek - jednatel</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9A335" w14:textId="77777777" w:rsidR="00230B2B" w:rsidRDefault="00230B2B">
      <w:r>
        <w:separator/>
      </w:r>
    </w:p>
  </w:endnote>
  <w:endnote w:type="continuationSeparator" w:id="0">
    <w:p w14:paraId="0FD213C9" w14:textId="77777777" w:rsidR="00230B2B" w:rsidRDefault="002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1495133D"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3C33D3">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3C33D3">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3D12C16E"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3C33D3">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3C33D3">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9BC5A" w14:textId="77777777" w:rsidR="00230B2B" w:rsidRDefault="00230B2B">
      <w:r>
        <w:separator/>
      </w:r>
    </w:p>
  </w:footnote>
  <w:footnote w:type="continuationSeparator" w:id="0">
    <w:p w14:paraId="58CFCECD" w14:textId="77777777" w:rsidR="00230B2B" w:rsidRDefault="0023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97FCA"/>
    <w:rsid w:val="000B6234"/>
    <w:rsid w:val="000C072A"/>
    <w:rsid w:val="000C3CBF"/>
    <w:rsid w:val="000C5FD5"/>
    <w:rsid w:val="000D6EA4"/>
    <w:rsid w:val="000D7BC6"/>
    <w:rsid w:val="000E0F50"/>
    <w:rsid w:val="000E6874"/>
    <w:rsid w:val="00100640"/>
    <w:rsid w:val="00100FFE"/>
    <w:rsid w:val="0011224E"/>
    <w:rsid w:val="00112313"/>
    <w:rsid w:val="00124D0F"/>
    <w:rsid w:val="00131824"/>
    <w:rsid w:val="00135A33"/>
    <w:rsid w:val="001459D9"/>
    <w:rsid w:val="001474D5"/>
    <w:rsid w:val="0015724E"/>
    <w:rsid w:val="001578F0"/>
    <w:rsid w:val="001611D0"/>
    <w:rsid w:val="001643AD"/>
    <w:rsid w:val="00164D61"/>
    <w:rsid w:val="00166E2C"/>
    <w:rsid w:val="00171BED"/>
    <w:rsid w:val="001778FA"/>
    <w:rsid w:val="00185E38"/>
    <w:rsid w:val="0018679C"/>
    <w:rsid w:val="001A077B"/>
    <w:rsid w:val="001B4822"/>
    <w:rsid w:val="001C299B"/>
    <w:rsid w:val="001D562D"/>
    <w:rsid w:val="001E369B"/>
    <w:rsid w:val="001E4141"/>
    <w:rsid w:val="00207E12"/>
    <w:rsid w:val="00213667"/>
    <w:rsid w:val="00216036"/>
    <w:rsid w:val="002257BC"/>
    <w:rsid w:val="00227EC6"/>
    <w:rsid w:val="00230232"/>
    <w:rsid w:val="00230B2B"/>
    <w:rsid w:val="002334D2"/>
    <w:rsid w:val="00235EDE"/>
    <w:rsid w:val="00244AFA"/>
    <w:rsid w:val="00246AE0"/>
    <w:rsid w:val="00260802"/>
    <w:rsid w:val="00264797"/>
    <w:rsid w:val="00265F5A"/>
    <w:rsid w:val="00272830"/>
    <w:rsid w:val="002753CB"/>
    <w:rsid w:val="00276B65"/>
    <w:rsid w:val="00281338"/>
    <w:rsid w:val="00294E4E"/>
    <w:rsid w:val="002969AD"/>
    <w:rsid w:val="002A2C81"/>
    <w:rsid w:val="002A3A20"/>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5123F"/>
    <w:rsid w:val="00355F11"/>
    <w:rsid w:val="00363C4D"/>
    <w:rsid w:val="00367819"/>
    <w:rsid w:val="00374E76"/>
    <w:rsid w:val="00386D4F"/>
    <w:rsid w:val="00394FCC"/>
    <w:rsid w:val="003A35C2"/>
    <w:rsid w:val="003B2BDA"/>
    <w:rsid w:val="003B3367"/>
    <w:rsid w:val="003B35C0"/>
    <w:rsid w:val="003C33D3"/>
    <w:rsid w:val="003D7113"/>
    <w:rsid w:val="003F46B6"/>
    <w:rsid w:val="003F47AA"/>
    <w:rsid w:val="003F6838"/>
    <w:rsid w:val="00421711"/>
    <w:rsid w:val="00424217"/>
    <w:rsid w:val="00426A1C"/>
    <w:rsid w:val="004303A0"/>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4F1F2E"/>
    <w:rsid w:val="004F6555"/>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B0C4A"/>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B050D"/>
    <w:rsid w:val="006B7BFE"/>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81499"/>
    <w:rsid w:val="00784210"/>
    <w:rsid w:val="007855D1"/>
    <w:rsid w:val="007967A0"/>
    <w:rsid w:val="00797662"/>
    <w:rsid w:val="007A010A"/>
    <w:rsid w:val="007A0E1D"/>
    <w:rsid w:val="007A2822"/>
    <w:rsid w:val="007B2E57"/>
    <w:rsid w:val="007B67A8"/>
    <w:rsid w:val="007C0BF8"/>
    <w:rsid w:val="007C0E12"/>
    <w:rsid w:val="007C1716"/>
    <w:rsid w:val="007C49F4"/>
    <w:rsid w:val="007C5514"/>
    <w:rsid w:val="007E08A8"/>
    <w:rsid w:val="007E0A54"/>
    <w:rsid w:val="007F3590"/>
    <w:rsid w:val="007F4B35"/>
    <w:rsid w:val="007F6B50"/>
    <w:rsid w:val="00801271"/>
    <w:rsid w:val="008045D9"/>
    <w:rsid w:val="0081117F"/>
    <w:rsid w:val="00815A32"/>
    <w:rsid w:val="00815EB9"/>
    <w:rsid w:val="0081605D"/>
    <w:rsid w:val="008241FC"/>
    <w:rsid w:val="00825F86"/>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0D2B"/>
    <w:rsid w:val="008F1AF7"/>
    <w:rsid w:val="008F1D67"/>
    <w:rsid w:val="008F431F"/>
    <w:rsid w:val="008F613E"/>
    <w:rsid w:val="008F6F92"/>
    <w:rsid w:val="008F79A6"/>
    <w:rsid w:val="0091506E"/>
    <w:rsid w:val="00916618"/>
    <w:rsid w:val="00924FEB"/>
    <w:rsid w:val="00941301"/>
    <w:rsid w:val="00941A8E"/>
    <w:rsid w:val="0094245B"/>
    <w:rsid w:val="0094460D"/>
    <w:rsid w:val="00960FB6"/>
    <w:rsid w:val="009751BD"/>
    <w:rsid w:val="00982416"/>
    <w:rsid w:val="00984A76"/>
    <w:rsid w:val="00984DB8"/>
    <w:rsid w:val="00985CDA"/>
    <w:rsid w:val="00987916"/>
    <w:rsid w:val="009A006A"/>
    <w:rsid w:val="009A5A2F"/>
    <w:rsid w:val="009B2A8B"/>
    <w:rsid w:val="009D07F3"/>
    <w:rsid w:val="009D1DDC"/>
    <w:rsid w:val="009E6774"/>
    <w:rsid w:val="009F3915"/>
    <w:rsid w:val="009F4648"/>
    <w:rsid w:val="00A040B5"/>
    <w:rsid w:val="00A1194E"/>
    <w:rsid w:val="00A16351"/>
    <w:rsid w:val="00A1701B"/>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E57F8"/>
    <w:rsid w:val="00AE7407"/>
    <w:rsid w:val="00AF38BB"/>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94F5B"/>
    <w:rsid w:val="00BA5116"/>
    <w:rsid w:val="00BA6884"/>
    <w:rsid w:val="00BC0DE9"/>
    <w:rsid w:val="00BD3A6F"/>
    <w:rsid w:val="00BD58C9"/>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9011D"/>
    <w:rsid w:val="00CA050A"/>
    <w:rsid w:val="00CA14C0"/>
    <w:rsid w:val="00CC356A"/>
    <w:rsid w:val="00CD2BF2"/>
    <w:rsid w:val="00CD4EE2"/>
    <w:rsid w:val="00CD55DE"/>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8219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59E3"/>
    <w:rsid w:val="00E361C3"/>
    <w:rsid w:val="00E52758"/>
    <w:rsid w:val="00E668CD"/>
    <w:rsid w:val="00E72EC0"/>
    <w:rsid w:val="00E73BDF"/>
    <w:rsid w:val="00E8424B"/>
    <w:rsid w:val="00E91E3B"/>
    <w:rsid w:val="00E947F2"/>
    <w:rsid w:val="00EA560C"/>
    <w:rsid w:val="00EB56E0"/>
    <w:rsid w:val="00EC2BE6"/>
    <w:rsid w:val="00ED195D"/>
    <w:rsid w:val="00EE3F27"/>
    <w:rsid w:val="00EE6EF8"/>
    <w:rsid w:val="00EF2EE4"/>
    <w:rsid w:val="00F02025"/>
    <w:rsid w:val="00F17231"/>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111D"/>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56E6F-59CF-4752-A68E-AF24BD8A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3486</Words>
  <Characters>20573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Jiří Házl</cp:lastModifiedBy>
  <cp:revision>4</cp:revision>
  <cp:lastPrinted>2023-10-31T10:58:00Z</cp:lastPrinted>
  <dcterms:created xsi:type="dcterms:W3CDTF">2025-10-21T11:24:00Z</dcterms:created>
  <dcterms:modified xsi:type="dcterms:W3CDTF">2025-10-21T11:27:00Z</dcterms:modified>
</cp:coreProperties>
</file>