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000B" w14:textId="77777777" w:rsidR="006C61F0" w:rsidRDefault="006C61F0">
      <w:pPr>
        <w:pStyle w:val="Standard"/>
      </w:pPr>
    </w:p>
    <w:p w14:paraId="72696336" w14:textId="77777777" w:rsidR="006C61F0" w:rsidRDefault="002D717C">
      <w:pPr>
        <w:pStyle w:val="Standard"/>
      </w:pPr>
      <w:r>
        <w:rPr>
          <w:b/>
          <w:bCs/>
          <w:sz w:val="30"/>
          <w:szCs w:val="30"/>
        </w:rPr>
        <w:t>Plán prací – návrh</w:t>
      </w:r>
    </w:p>
    <w:p w14:paraId="500FF7D1" w14:textId="77777777" w:rsidR="006C61F0" w:rsidRDefault="002D717C">
      <w:pPr>
        <w:pStyle w:val="Textbody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si s Objednatelem odsouhlasí plán prací na jednotlivých výtazích tak, aby došlo k minimálnímu omezení provozu.</w:t>
      </w:r>
    </w:p>
    <w:p w14:paraId="0FA2E7AB" w14:textId="77777777" w:rsidR="006C61F0" w:rsidRDefault="006C61F0">
      <w:pPr>
        <w:pStyle w:val="Standard"/>
        <w:rPr>
          <w:b/>
          <w:bCs/>
          <w:sz w:val="30"/>
          <w:szCs w:val="30"/>
        </w:rPr>
      </w:pPr>
    </w:p>
    <w:p w14:paraId="779E3D52" w14:textId="77777777" w:rsidR="006C61F0" w:rsidRDefault="002D717C">
      <w:pPr>
        <w:pStyle w:val="Textbody"/>
        <w:numPr>
          <w:ilvl w:val="0"/>
          <w:numId w:val="1"/>
        </w:numPr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Etapa</w:t>
      </w:r>
    </w:p>
    <w:p w14:paraId="0CA36775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provede odborné posouzení stavu šachet a navrhne způsob jejich opravy včetně provedení hydroizolace prohlubně a stěn. Provedení hydroizolace je nutné konzultovat s NPU. Způsob opravy šachet odsouhlasí Objednatel.</w:t>
      </w:r>
    </w:p>
    <w:p w14:paraId="73C49FEF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navrhne vhodné výtahy. Vybrané výtahy odsouhlasí Objednatel.</w:t>
      </w:r>
    </w:p>
    <w:p w14:paraId="59388903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</w:pPr>
      <w:r>
        <w:rPr>
          <w:color w:val="000000"/>
          <w:sz w:val="22"/>
          <w:szCs w:val="22"/>
        </w:rPr>
        <w:t>Zhotovitel zpracuje koncept PD na opravu šachet (dle bodu 1.1.) a na vestavbu zvolených výtahů (dle bodu 1.2.) do</w:t>
      </w:r>
      <w:r>
        <w:rPr>
          <w:b/>
          <w:bCs/>
          <w:color w:val="000000"/>
          <w:sz w:val="22"/>
          <w:szCs w:val="22"/>
        </w:rPr>
        <w:t xml:space="preserve"> 25 kalendářních dní</w:t>
      </w:r>
      <w:r>
        <w:rPr>
          <w:color w:val="000000"/>
          <w:sz w:val="22"/>
          <w:szCs w:val="22"/>
        </w:rPr>
        <w:t xml:space="preserve"> od odsouhlasení bodů 1 a 2.</w:t>
      </w:r>
    </w:p>
    <w:p w14:paraId="68ED1539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</w:pPr>
      <w:r>
        <w:rPr>
          <w:color w:val="000000"/>
          <w:sz w:val="22"/>
          <w:szCs w:val="22"/>
        </w:rPr>
        <w:t xml:space="preserve">Objednatel provede kontrolu PD do </w:t>
      </w:r>
      <w:r>
        <w:rPr>
          <w:b/>
          <w:bCs/>
          <w:color w:val="000000"/>
          <w:sz w:val="22"/>
          <w:szCs w:val="22"/>
        </w:rPr>
        <w:t>5 kalendářních dnů</w:t>
      </w:r>
      <w:r>
        <w:rPr>
          <w:color w:val="000000"/>
          <w:sz w:val="22"/>
          <w:szCs w:val="22"/>
        </w:rPr>
        <w:t xml:space="preserve"> od jejího předložení Zhotovitelem.</w:t>
      </w:r>
    </w:p>
    <w:p w14:paraId="6A542371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</w:pPr>
      <w:r>
        <w:rPr>
          <w:color w:val="000000"/>
          <w:sz w:val="22"/>
          <w:szCs w:val="22"/>
        </w:rPr>
        <w:t xml:space="preserve">Případné připomínky Zhotovitel zapracuje do </w:t>
      </w:r>
      <w:r>
        <w:rPr>
          <w:b/>
          <w:bCs/>
          <w:color w:val="000000"/>
          <w:sz w:val="22"/>
          <w:szCs w:val="22"/>
        </w:rPr>
        <w:t>10 kalendářních dnů</w:t>
      </w:r>
      <w:r>
        <w:rPr>
          <w:color w:val="000000"/>
          <w:sz w:val="22"/>
          <w:szCs w:val="22"/>
        </w:rPr>
        <w:t xml:space="preserve"> od jejich obdržení od Objednatele.</w:t>
      </w:r>
    </w:p>
    <w:p w14:paraId="38E089EE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</w:pPr>
      <w:r>
        <w:rPr>
          <w:color w:val="000000"/>
          <w:sz w:val="22"/>
          <w:szCs w:val="22"/>
        </w:rPr>
        <w:t>Zhotovitel vypracuje dokumentaci DSP pro společné povolení včetně podání žádosti o stanoviska DOSS, mezi dotčenými orgány jsou TIČR i NPU do</w:t>
      </w:r>
      <w:r>
        <w:rPr>
          <w:b/>
          <w:bCs/>
          <w:color w:val="000000"/>
          <w:sz w:val="22"/>
          <w:szCs w:val="22"/>
        </w:rPr>
        <w:t xml:space="preserve"> 25 kalendářních dnů</w:t>
      </w:r>
      <w:r>
        <w:rPr>
          <w:color w:val="000000"/>
          <w:sz w:val="22"/>
          <w:szCs w:val="22"/>
        </w:rPr>
        <w:t>.</w:t>
      </w:r>
    </w:p>
    <w:p w14:paraId="19184E2C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</w:pPr>
      <w:r>
        <w:rPr>
          <w:color w:val="000000"/>
          <w:sz w:val="22"/>
          <w:szCs w:val="22"/>
        </w:rPr>
        <w:t xml:space="preserve">Zhotovitel zapracuje připomínky DOSS do dokumentace DSP do </w:t>
      </w:r>
      <w:r>
        <w:rPr>
          <w:b/>
          <w:bCs/>
          <w:color w:val="000000"/>
          <w:sz w:val="22"/>
          <w:szCs w:val="22"/>
        </w:rPr>
        <w:t>15 kalendářních dní.</w:t>
      </w:r>
    </w:p>
    <w:p w14:paraId="547BB83D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zažádá o vydání stavebního povolení. Doba stavebního řízení se nezapočítává do celkové doby realizace.</w:t>
      </w:r>
    </w:p>
    <w:p w14:paraId="2957D63A" w14:textId="77777777" w:rsidR="006C61F0" w:rsidRDefault="002D717C">
      <w:pPr>
        <w:pStyle w:val="Textbody"/>
        <w:numPr>
          <w:ilvl w:val="1"/>
          <w:numId w:val="1"/>
        </w:numPr>
        <w:spacing w:after="0"/>
        <w:ind w:left="1077" w:hanging="397"/>
      </w:pPr>
      <w:r>
        <w:rPr>
          <w:color w:val="000000"/>
          <w:sz w:val="22"/>
          <w:szCs w:val="22"/>
        </w:rPr>
        <w:t>Vypracování DPS a rozpočtu včetně výkazu výměr do</w:t>
      </w:r>
      <w:r>
        <w:rPr>
          <w:b/>
          <w:bCs/>
          <w:color w:val="000000"/>
          <w:sz w:val="22"/>
          <w:szCs w:val="22"/>
        </w:rPr>
        <w:t xml:space="preserve"> 30 kalendářních dní.</w:t>
      </w:r>
    </w:p>
    <w:p w14:paraId="29C22F49" w14:textId="77777777" w:rsidR="006C61F0" w:rsidRDefault="006C61F0">
      <w:pPr>
        <w:pStyle w:val="Textbody"/>
        <w:spacing w:after="0"/>
        <w:jc w:val="right"/>
        <w:rPr>
          <w:color w:val="000000"/>
          <w:sz w:val="22"/>
          <w:szCs w:val="22"/>
        </w:rPr>
      </w:pPr>
    </w:p>
    <w:p w14:paraId="199CD08C" w14:textId="77777777" w:rsidR="006C61F0" w:rsidRDefault="002D717C">
      <w:pPr>
        <w:pStyle w:val="Textbody"/>
        <w:spacing w:after="0"/>
        <w:jc w:val="right"/>
      </w:pPr>
      <w:r>
        <w:rPr>
          <w:color w:val="000000"/>
          <w:sz w:val="22"/>
          <w:szCs w:val="22"/>
        </w:rPr>
        <w:t xml:space="preserve">Celkem … … … … … </w:t>
      </w:r>
      <w:r>
        <w:rPr>
          <w:b/>
          <w:bCs/>
          <w:color w:val="000000"/>
          <w:sz w:val="22"/>
          <w:szCs w:val="22"/>
        </w:rPr>
        <w:t>110</w:t>
      </w:r>
      <w:r>
        <w:rPr>
          <w:color w:val="000000"/>
          <w:sz w:val="22"/>
          <w:szCs w:val="22"/>
        </w:rPr>
        <w:t xml:space="preserve"> kalendářních dní</w:t>
      </w:r>
    </w:p>
    <w:p w14:paraId="2FF95A36" w14:textId="77777777" w:rsidR="006C61F0" w:rsidRDefault="006C61F0">
      <w:pPr>
        <w:pStyle w:val="Textbody"/>
        <w:spacing w:after="0"/>
        <w:jc w:val="right"/>
      </w:pPr>
    </w:p>
    <w:p w14:paraId="0C068ACF" w14:textId="77777777" w:rsidR="006C61F0" w:rsidRDefault="002D717C">
      <w:pPr>
        <w:pStyle w:val="Textbody"/>
        <w:numPr>
          <w:ilvl w:val="0"/>
          <w:numId w:val="1"/>
        </w:numPr>
        <w:spacing w:after="113"/>
      </w:pPr>
      <w:r>
        <w:rPr>
          <w:b/>
          <w:bCs/>
          <w:color w:val="000000"/>
          <w:sz w:val="26"/>
          <w:szCs w:val="26"/>
        </w:rPr>
        <w:t>Etapa</w:t>
      </w:r>
      <w:r>
        <w:rPr>
          <w:color w:val="000000"/>
          <w:sz w:val="22"/>
          <w:szCs w:val="22"/>
        </w:rPr>
        <w:t xml:space="preserve">, </w:t>
      </w:r>
      <w:bookmarkStart w:id="0" w:name="_Hlk192654472"/>
      <w:r>
        <w:rPr>
          <w:color w:val="000000"/>
          <w:sz w:val="22"/>
          <w:szCs w:val="22"/>
        </w:rPr>
        <w:t xml:space="preserve">výroba výtahů, přípravné práce, zahájení oprav </w:t>
      </w:r>
      <w:proofErr w:type="gramStart"/>
      <w:r>
        <w:rPr>
          <w:color w:val="000000"/>
          <w:sz w:val="22"/>
          <w:szCs w:val="22"/>
        </w:rPr>
        <w:t>šachet</w:t>
      </w:r>
      <w:bookmarkEnd w:id="0"/>
      <w:r>
        <w:rPr>
          <w:color w:val="000000"/>
          <w:sz w:val="22"/>
          <w:szCs w:val="22"/>
        </w:rPr>
        <w:t>,…</w:t>
      </w:r>
      <w:proofErr w:type="gramEnd"/>
    </w:p>
    <w:p w14:paraId="7207DBB9" w14:textId="77777777" w:rsidR="006C61F0" w:rsidRDefault="002D717C">
      <w:pPr>
        <w:pStyle w:val="Textbody"/>
        <w:spacing w:after="113"/>
        <w:jc w:val="right"/>
      </w:pPr>
      <w:r>
        <w:rPr>
          <w:color w:val="000000"/>
          <w:sz w:val="22"/>
          <w:szCs w:val="22"/>
        </w:rPr>
        <w:t xml:space="preserve">Celkem … … … … … </w:t>
      </w:r>
      <w:r>
        <w:rPr>
          <w:b/>
          <w:bCs/>
          <w:color w:val="000000"/>
          <w:sz w:val="22"/>
          <w:szCs w:val="22"/>
        </w:rPr>
        <w:t>130</w:t>
      </w:r>
      <w:r>
        <w:rPr>
          <w:color w:val="000000"/>
          <w:sz w:val="22"/>
          <w:szCs w:val="22"/>
        </w:rPr>
        <w:t xml:space="preserve"> kalendářních dní</w:t>
      </w:r>
    </w:p>
    <w:p w14:paraId="32852EB6" w14:textId="77777777" w:rsidR="006C61F0" w:rsidRDefault="002D717C">
      <w:pPr>
        <w:pStyle w:val="Textbody"/>
        <w:numPr>
          <w:ilvl w:val="0"/>
          <w:numId w:val="1"/>
        </w:numPr>
        <w:spacing w:after="113"/>
      </w:pPr>
      <w:r>
        <w:rPr>
          <w:b/>
          <w:bCs/>
          <w:color w:val="000000"/>
          <w:sz w:val="26"/>
          <w:szCs w:val="26"/>
        </w:rPr>
        <w:t>Etapa</w:t>
      </w:r>
      <w:r>
        <w:rPr>
          <w:color w:val="000000"/>
          <w:sz w:val="22"/>
          <w:szCs w:val="22"/>
        </w:rPr>
        <w:t>, výtahy na stravovacím provozu</w:t>
      </w:r>
    </w:p>
    <w:p w14:paraId="3A5DC22D" w14:textId="77777777" w:rsidR="006C61F0" w:rsidRDefault="002D717C">
      <w:pPr>
        <w:pStyle w:val="Textbody"/>
        <w:numPr>
          <w:ilvl w:val="1"/>
          <w:numId w:val="1"/>
        </w:numPr>
        <w:spacing w:after="0"/>
      </w:pPr>
      <w:r>
        <w:rPr>
          <w:color w:val="000000"/>
          <w:sz w:val="22"/>
          <w:szCs w:val="22"/>
        </w:rPr>
        <w:t xml:space="preserve">Zahájení prací na prvním výtahu,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cs-CZ" w:bidi="ar-SA"/>
        </w:rPr>
        <w:t>K0339 zelenina (rampa)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,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sz w:val="20"/>
          <w:lang w:eastAsia="cs-CZ" w:bidi="ar-SA"/>
        </w:rPr>
        <w:t>Suroviny do sklepa budou zav</w:t>
      </w:r>
      <w:r>
        <w:rPr>
          <w:sz w:val="20"/>
        </w:rPr>
        <w:t>áženy přes výtah ve dvoře, do I. NP přes rampu ve dvoře nebo druhou rampu vpředu. Vše bude muset být na paletách pro snadnější manipulaci.</w:t>
      </w:r>
      <w:r>
        <w:rPr>
          <w:sz w:val="20"/>
        </w:rPr>
        <w:br/>
        <w:t>Materiál pro opravu výtahu bude možné do sklepa dopravit stávajícím výtahem před jeho odstavením a demontáží. Nosnost stávajícího výtahu v Příloze č. 2 – Technická specifikace.</w:t>
      </w:r>
    </w:p>
    <w:p w14:paraId="39EF0BD2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Demontáž starého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ab/>
        <w:t xml:space="preserve">  1</w:t>
      </w:r>
      <w:proofErr w:type="gramEnd"/>
      <w:r>
        <w:rPr>
          <w:color w:val="000000"/>
          <w:sz w:val="22"/>
          <w:szCs w:val="22"/>
        </w:rPr>
        <w:t xml:space="preserve"> dny</w:t>
      </w:r>
    </w:p>
    <w:p w14:paraId="22A5381B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Oprava šachty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  <w:sz w:val="22"/>
          <w:szCs w:val="22"/>
        </w:rPr>
        <w:tab/>
        <w:t>25 dní</w:t>
      </w:r>
    </w:p>
    <w:p w14:paraId="6347754D" w14:textId="55878BB2" w:rsidR="006C61F0" w:rsidRDefault="002D717C" w:rsidP="002B30A9">
      <w:pPr>
        <w:pStyle w:val="Textbody"/>
        <w:numPr>
          <w:ilvl w:val="0"/>
          <w:numId w:val="2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zbourání a výstavba nové</w:t>
      </w:r>
    </w:p>
    <w:p w14:paraId="476BF585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Instalace nového výtahu.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17 dní</w:t>
      </w:r>
    </w:p>
    <w:p w14:paraId="13B6D466" w14:textId="77777777" w:rsidR="006C61F0" w:rsidRDefault="002D717C">
      <w:pPr>
        <w:pStyle w:val="Textbody"/>
        <w:numPr>
          <w:ilvl w:val="2"/>
          <w:numId w:val="1"/>
        </w:numPr>
        <w:spacing w:after="113"/>
      </w:pPr>
      <w:r>
        <w:rPr>
          <w:color w:val="000000"/>
          <w:sz w:val="22"/>
          <w:szCs w:val="22"/>
        </w:rPr>
        <w:t>Předání výtahu k užívání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ab/>
        <w:t xml:space="preserve">  1</w:t>
      </w:r>
      <w:proofErr w:type="gramEnd"/>
      <w:r>
        <w:rPr>
          <w:color w:val="000000"/>
          <w:sz w:val="22"/>
          <w:szCs w:val="22"/>
        </w:rPr>
        <w:t xml:space="preserve"> den</w:t>
      </w:r>
      <w:r>
        <w:rPr>
          <w:color w:val="000000"/>
          <w:sz w:val="22"/>
          <w:szCs w:val="22"/>
        </w:rPr>
        <w:br/>
        <w:t>Celkem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44</w:t>
      </w:r>
      <w:r>
        <w:rPr>
          <w:color w:val="000000"/>
          <w:sz w:val="22"/>
          <w:szCs w:val="22"/>
        </w:rPr>
        <w:t xml:space="preserve"> dní</w:t>
      </w:r>
    </w:p>
    <w:p w14:paraId="67FF01CD" w14:textId="77777777" w:rsidR="006C61F0" w:rsidRDefault="002D717C">
      <w:pPr>
        <w:pStyle w:val="Textbody"/>
        <w:numPr>
          <w:ilvl w:val="1"/>
          <w:numId w:val="1"/>
        </w:numPr>
        <w:spacing w:after="0"/>
      </w:pPr>
      <w:r>
        <w:rPr>
          <w:color w:val="000000"/>
          <w:sz w:val="22"/>
          <w:szCs w:val="22"/>
        </w:rPr>
        <w:t xml:space="preserve">Zahájení prací na druhém výtahu,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cs-CZ" w:bidi="ar-SA"/>
        </w:rPr>
        <w:t>K0337 dvůr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>,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sz w:val="20"/>
          <w:lang w:eastAsia="cs-CZ" w:bidi="ar-SA"/>
        </w:rPr>
        <w:t xml:space="preserve">Suroviny do I.NP budou </w:t>
      </w:r>
      <w:r>
        <w:rPr>
          <w:sz w:val="20"/>
        </w:rPr>
        <w:t>zaváženy přes hotovou rampu a do sklepa budou zaváženy novým výtahem v rampě</w:t>
      </w:r>
      <w:r>
        <w:rPr>
          <w:rFonts w:eastAsia="Times New Roman" w:cs="Times New Roman"/>
          <w:color w:val="000000"/>
          <w:kern w:val="0"/>
          <w:sz w:val="22"/>
          <w:szCs w:val="22"/>
          <w:lang w:eastAsia="cs-CZ" w:bidi="ar-SA"/>
        </w:rPr>
        <w:t xml:space="preserve">. </w:t>
      </w:r>
      <w:r>
        <w:rPr>
          <w:rFonts w:eastAsia="Times New Roman" w:cs="Times New Roman"/>
          <w:sz w:val="20"/>
          <w:szCs w:val="22"/>
          <w:lang w:eastAsia="cs-CZ" w:bidi="ar-SA"/>
        </w:rPr>
        <w:t>Materiál pro opravu výtahu bude možné do sklepa dopravit stávajícím výtahem před jeho odstavením a demontáží. Nosnost stávajícího výtahu v Příloze č. 2 – Technická specifikace.</w:t>
      </w:r>
    </w:p>
    <w:p w14:paraId="3CF510E1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Demontáž starého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1 dny</w:t>
      </w:r>
    </w:p>
    <w:p w14:paraId="209567CC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Oprava šachty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ab/>
        <w:t>25 dní</w:t>
      </w:r>
    </w:p>
    <w:p w14:paraId="2668C301" w14:textId="0DD6A3A7" w:rsidR="006C61F0" w:rsidRDefault="002D717C" w:rsidP="002B30A9">
      <w:pPr>
        <w:pStyle w:val="Textbody"/>
        <w:numPr>
          <w:ilvl w:val="0"/>
          <w:numId w:val="2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zbourání a výstavba nové</w:t>
      </w:r>
    </w:p>
    <w:p w14:paraId="1C0DC453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Instalace nového výtahu.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17 dní</w:t>
      </w:r>
    </w:p>
    <w:p w14:paraId="57315827" w14:textId="77777777" w:rsidR="006C61F0" w:rsidRDefault="002D717C">
      <w:pPr>
        <w:pStyle w:val="Textbody"/>
        <w:numPr>
          <w:ilvl w:val="2"/>
          <w:numId w:val="1"/>
        </w:numPr>
        <w:spacing w:after="113"/>
      </w:pPr>
      <w:r>
        <w:rPr>
          <w:color w:val="000000"/>
          <w:sz w:val="22"/>
          <w:szCs w:val="22"/>
        </w:rPr>
        <w:lastRenderedPageBreak/>
        <w:t>Předání výtahu k užívání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1 den</w:t>
      </w:r>
      <w:r>
        <w:rPr>
          <w:color w:val="000000"/>
          <w:sz w:val="22"/>
          <w:szCs w:val="22"/>
        </w:rPr>
        <w:br/>
        <w:t>Celkem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44</w:t>
      </w:r>
      <w:r>
        <w:rPr>
          <w:color w:val="000000"/>
          <w:sz w:val="22"/>
          <w:szCs w:val="22"/>
        </w:rPr>
        <w:t xml:space="preserve"> dní</w:t>
      </w:r>
    </w:p>
    <w:p w14:paraId="1B0FAC42" w14:textId="77777777" w:rsidR="006C61F0" w:rsidRDefault="002D717C">
      <w:pPr>
        <w:pStyle w:val="Textbody"/>
        <w:numPr>
          <w:ilvl w:val="1"/>
          <w:numId w:val="1"/>
        </w:numPr>
        <w:spacing w:after="0"/>
      </w:pPr>
      <w:r>
        <w:rPr>
          <w:color w:val="000000"/>
          <w:sz w:val="22"/>
          <w:szCs w:val="22"/>
        </w:rPr>
        <w:t xml:space="preserve">Zahájení prací na třetím výtahu,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K0338 škrabka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,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sz w:val="20"/>
          <w:lang w:eastAsia="cs-CZ" w:bidi="ar-SA"/>
        </w:rPr>
        <w:t xml:space="preserve">Pro dopravu surovin ze </w:t>
      </w:r>
      <w:r>
        <w:rPr>
          <w:sz w:val="20"/>
        </w:rPr>
        <w:t>škrabky do varny bude nutné využít nový výtah v rampě.</w:t>
      </w:r>
      <w:r>
        <w:rPr>
          <w:sz w:val="20"/>
        </w:rPr>
        <w:br/>
        <w:t>Pro odvoz a navezení materiálu pro rekonstrukci výtahu škrabky bude nutné v maximální míře využít nového výtahu ze dvora.</w:t>
      </w:r>
      <w:r>
        <w:rPr>
          <w:sz w:val="20"/>
        </w:rPr>
        <w:br/>
        <w:t xml:space="preserve">Dobu práce v I. NP v dopoledních hodinách (příprava obědů) bude nutné omezit na minimum, aby nedošlo k narušení provozu kuchyně. Práce v I. NP provádět nejlépe v odpoledních hodinách. </w:t>
      </w:r>
      <w:proofErr w:type="gramStart"/>
      <w:r>
        <w:rPr>
          <w:sz w:val="20"/>
        </w:rPr>
        <w:t>Rovněž  bude</w:t>
      </w:r>
      <w:proofErr w:type="gramEnd"/>
      <w:r>
        <w:rPr>
          <w:sz w:val="20"/>
        </w:rPr>
        <w:t xml:space="preserve"> nutno provádět pečlivý úklid</w:t>
      </w:r>
    </w:p>
    <w:p w14:paraId="43501C85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Demontáž starého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1 dny</w:t>
      </w:r>
    </w:p>
    <w:p w14:paraId="7362EB29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Oprava šachty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ab/>
        <w:t xml:space="preserve"> 25 dní</w:t>
      </w:r>
    </w:p>
    <w:p w14:paraId="3D9E258D" w14:textId="52C3271F" w:rsidR="006C61F0" w:rsidRDefault="002D717C" w:rsidP="002B30A9">
      <w:pPr>
        <w:pStyle w:val="Textbody"/>
        <w:numPr>
          <w:ilvl w:val="0"/>
          <w:numId w:val="2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zbourání a výstavba nové</w:t>
      </w:r>
    </w:p>
    <w:p w14:paraId="771367CA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Instalace nového výtahu.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17 dní</w:t>
      </w:r>
    </w:p>
    <w:p w14:paraId="3E819ADB" w14:textId="77777777" w:rsidR="006C61F0" w:rsidRDefault="002D717C">
      <w:pPr>
        <w:pStyle w:val="Textbody"/>
        <w:numPr>
          <w:ilvl w:val="2"/>
          <w:numId w:val="1"/>
        </w:numPr>
        <w:spacing w:after="0"/>
      </w:pPr>
      <w:r>
        <w:rPr>
          <w:color w:val="000000"/>
          <w:sz w:val="22"/>
          <w:szCs w:val="22"/>
        </w:rPr>
        <w:t>Předání výtahu k užívání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ab/>
        <w:t xml:space="preserve">  1</w:t>
      </w:r>
      <w:proofErr w:type="gramEnd"/>
      <w:r>
        <w:rPr>
          <w:color w:val="000000"/>
          <w:sz w:val="22"/>
          <w:szCs w:val="22"/>
        </w:rPr>
        <w:t xml:space="preserve"> den</w:t>
      </w:r>
      <w:r>
        <w:rPr>
          <w:color w:val="000000"/>
          <w:sz w:val="22"/>
          <w:szCs w:val="22"/>
        </w:rPr>
        <w:br/>
        <w:t>Celkem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44</w:t>
      </w:r>
      <w:r>
        <w:rPr>
          <w:color w:val="000000"/>
          <w:sz w:val="22"/>
          <w:szCs w:val="22"/>
        </w:rPr>
        <w:t xml:space="preserve"> dní</w:t>
      </w:r>
      <w:r>
        <w:rPr>
          <w:color w:val="000000"/>
          <w:sz w:val="22"/>
          <w:szCs w:val="22"/>
        </w:rPr>
        <w:br/>
      </w:r>
    </w:p>
    <w:p w14:paraId="0D1EA1BF" w14:textId="77777777" w:rsidR="006C61F0" w:rsidRDefault="002D717C">
      <w:pPr>
        <w:pStyle w:val="Textbody"/>
        <w:numPr>
          <w:ilvl w:val="1"/>
          <w:numId w:val="1"/>
        </w:numPr>
        <w:spacing w:after="113"/>
      </w:pPr>
      <w:r>
        <w:rPr>
          <w:color w:val="000000"/>
          <w:sz w:val="22"/>
          <w:szCs w:val="22"/>
        </w:rPr>
        <w:t xml:space="preserve">Zahájení prací na čtvrtém výtahu,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K0342 výdej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t>,</w:t>
      </w:r>
      <w:r>
        <w:rPr>
          <w:rFonts w:eastAsia="Times New Roman" w:cs="Times New Roman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cs-CZ" w:bidi="ar-SA"/>
        </w:rPr>
        <w:t xml:space="preserve">Tento výtah dělat souběžně s některým výše zmíněným výtahem –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  <w:t>velmi žádoucí</w:t>
      </w: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iCs/>
          <w:sz w:val="20"/>
          <w:szCs w:val="22"/>
          <w:lang w:eastAsia="cs-CZ" w:bidi="ar-SA"/>
        </w:rPr>
        <w:t>Při práci na tomto výtahu dojde k nejzávažnějšímu narušení provozu. Doprava hotové stravy do výdejny bude možná jen po schodech.</w:t>
      </w: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iCs/>
          <w:sz w:val="20"/>
          <w:lang w:eastAsia="cs-CZ" w:bidi="ar-SA"/>
        </w:rPr>
        <w:t>Odvoz a dovoz materi</w:t>
      </w:r>
      <w:r>
        <w:rPr>
          <w:sz w:val="20"/>
        </w:rPr>
        <w:t>álu k výměně výtahu přes rampu ve dvoře.</w:t>
      </w:r>
    </w:p>
    <w:p w14:paraId="6B2FDC39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Demontáž starého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2 dní</w:t>
      </w:r>
    </w:p>
    <w:p w14:paraId="26206D9F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Oprava šachty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ab/>
        <w:t xml:space="preserve"> 24 dní</w:t>
      </w:r>
    </w:p>
    <w:p w14:paraId="451A2A6D" w14:textId="77777777" w:rsidR="006C61F0" w:rsidRDefault="002D717C">
      <w:pPr>
        <w:pStyle w:val="Textbody"/>
        <w:numPr>
          <w:ilvl w:val="3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7DA843F" w14:textId="77777777" w:rsidR="006C61F0" w:rsidRDefault="002D717C">
      <w:pPr>
        <w:pStyle w:val="Textbody"/>
        <w:numPr>
          <w:ilvl w:val="3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zbourání a výstavba nové</w:t>
      </w:r>
    </w:p>
    <w:p w14:paraId="351026E6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Instalace nového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20 dní</w:t>
      </w:r>
    </w:p>
    <w:p w14:paraId="47B1205E" w14:textId="77777777" w:rsidR="006C61F0" w:rsidRDefault="002D717C">
      <w:pPr>
        <w:pStyle w:val="Textbody"/>
        <w:numPr>
          <w:ilvl w:val="2"/>
          <w:numId w:val="1"/>
        </w:numPr>
        <w:spacing w:after="0"/>
      </w:pPr>
      <w:r>
        <w:rPr>
          <w:color w:val="000000"/>
          <w:sz w:val="22"/>
          <w:szCs w:val="22"/>
        </w:rPr>
        <w:t>Předání výtahu k užívání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ab/>
        <w:t xml:space="preserve">  1</w:t>
      </w:r>
      <w:proofErr w:type="gramEnd"/>
      <w:r>
        <w:rPr>
          <w:color w:val="000000"/>
          <w:sz w:val="22"/>
          <w:szCs w:val="22"/>
        </w:rPr>
        <w:t xml:space="preserve"> dny</w:t>
      </w:r>
      <w:r>
        <w:rPr>
          <w:color w:val="000000"/>
          <w:sz w:val="22"/>
          <w:szCs w:val="22"/>
        </w:rPr>
        <w:br/>
        <w:t>Celkem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47</w:t>
      </w:r>
      <w:r>
        <w:rPr>
          <w:color w:val="000000"/>
          <w:sz w:val="22"/>
          <w:szCs w:val="22"/>
        </w:rPr>
        <w:t xml:space="preserve"> dní</w:t>
      </w:r>
      <w:r>
        <w:rPr>
          <w:color w:val="000000"/>
          <w:sz w:val="22"/>
          <w:szCs w:val="22"/>
        </w:rPr>
        <w:br/>
      </w:r>
    </w:p>
    <w:p w14:paraId="713395AE" w14:textId="77777777" w:rsidR="006C61F0" w:rsidRDefault="002D717C">
      <w:pPr>
        <w:pStyle w:val="Textbody"/>
        <w:numPr>
          <w:ilvl w:val="0"/>
          <w:numId w:val="1"/>
        </w:numPr>
        <w:spacing w:after="113"/>
      </w:pPr>
      <w:r>
        <w:rPr>
          <w:b/>
          <w:bCs/>
          <w:color w:val="000000"/>
          <w:sz w:val="26"/>
          <w:szCs w:val="26"/>
        </w:rPr>
        <w:t>Etapa</w:t>
      </w:r>
      <w:r>
        <w:rPr>
          <w:color w:val="000000"/>
          <w:sz w:val="22"/>
          <w:szCs w:val="22"/>
        </w:rPr>
        <w:t xml:space="preserve">, výtah 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t>K1623 pavilon 4,</w:t>
      </w:r>
      <w:r>
        <w:rPr>
          <w:rFonts w:eastAsia="Times New Roman" w:cs="Times New Roman"/>
          <w:b/>
          <w:bCs/>
          <w:kern w:val="0"/>
          <w:sz w:val="22"/>
          <w:szCs w:val="22"/>
          <w:lang w:eastAsia="cs-CZ" w:bidi="ar-SA"/>
        </w:rPr>
        <w:br/>
      </w:r>
      <w:r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cs-CZ" w:bidi="ar-SA"/>
        </w:rPr>
        <w:t xml:space="preserve"> Tento výtah dělat souběžně s některým výše zmíněným výtahem – 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2"/>
          <w:szCs w:val="22"/>
          <w:lang w:eastAsia="cs-CZ" w:bidi="ar-SA"/>
        </w:rPr>
        <w:t>velmi žádoucí</w:t>
      </w:r>
    </w:p>
    <w:p w14:paraId="630224C0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Demontáž starého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4 dní</w:t>
      </w:r>
    </w:p>
    <w:p w14:paraId="6448D35B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Oprava / úprava šachty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17 dní</w:t>
      </w:r>
    </w:p>
    <w:p w14:paraId="58E142B1" w14:textId="77777777" w:rsidR="006C61F0" w:rsidRDefault="002D717C">
      <w:pPr>
        <w:pStyle w:val="Textbody"/>
        <w:numPr>
          <w:ilvl w:val="2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Instalace nového výtahu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21 dní</w:t>
      </w:r>
    </w:p>
    <w:p w14:paraId="54C86B13" w14:textId="77777777" w:rsidR="006C61F0" w:rsidRDefault="002D717C">
      <w:pPr>
        <w:pStyle w:val="Textbody"/>
        <w:numPr>
          <w:ilvl w:val="2"/>
          <w:numId w:val="1"/>
        </w:numPr>
        <w:spacing w:after="0"/>
      </w:pPr>
      <w:r>
        <w:rPr>
          <w:color w:val="000000"/>
          <w:sz w:val="22"/>
          <w:szCs w:val="22"/>
        </w:rPr>
        <w:t>Předání výtahu k užívání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ab/>
        <w:t xml:space="preserve">  1</w:t>
      </w:r>
      <w:proofErr w:type="gramEnd"/>
      <w:r>
        <w:rPr>
          <w:color w:val="000000"/>
          <w:sz w:val="22"/>
          <w:szCs w:val="22"/>
        </w:rPr>
        <w:t xml:space="preserve"> dny</w:t>
      </w:r>
      <w:r>
        <w:rPr>
          <w:color w:val="000000"/>
          <w:sz w:val="22"/>
          <w:szCs w:val="22"/>
        </w:rPr>
        <w:br/>
        <w:t>Celkem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43</w:t>
      </w:r>
      <w:r>
        <w:rPr>
          <w:color w:val="000000"/>
          <w:sz w:val="22"/>
          <w:szCs w:val="22"/>
        </w:rPr>
        <w:t xml:space="preserve"> dní</w:t>
      </w:r>
      <w:r>
        <w:rPr>
          <w:color w:val="000000"/>
          <w:sz w:val="22"/>
          <w:szCs w:val="22"/>
        </w:rPr>
        <w:br/>
      </w:r>
    </w:p>
    <w:p w14:paraId="27C08B86" w14:textId="77777777" w:rsidR="006C61F0" w:rsidRDefault="002D717C">
      <w:pPr>
        <w:pStyle w:val="Textbody"/>
        <w:numPr>
          <w:ilvl w:val="0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Rezerva na neočekávané vícepráce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>20 dní</w:t>
      </w:r>
    </w:p>
    <w:p w14:paraId="20B5626E" w14:textId="77777777" w:rsidR="006C61F0" w:rsidRDefault="002D717C">
      <w:pPr>
        <w:pStyle w:val="Textbody"/>
        <w:numPr>
          <w:ilvl w:val="0"/>
          <w:numId w:val="1"/>
        </w:num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Provedení všech předepsaných zkoušek a revizí</w:t>
      </w:r>
    </w:p>
    <w:p w14:paraId="698DEC20" w14:textId="77777777" w:rsidR="006C61F0" w:rsidRDefault="002D717C">
      <w:pPr>
        <w:pStyle w:val="Textbody"/>
        <w:numPr>
          <w:ilvl w:val="0"/>
          <w:numId w:val="1"/>
        </w:numPr>
        <w:spacing w:after="0"/>
      </w:pPr>
      <w:r>
        <w:rPr>
          <w:color w:val="000000"/>
          <w:sz w:val="22"/>
          <w:szCs w:val="22"/>
        </w:rPr>
        <w:t>Kolaudace a předání díla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>
        <w:rPr>
          <w:b/>
          <w:bCs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dní</w:t>
      </w:r>
    </w:p>
    <w:p w14:paraId="04A8837C" w14:textId="77777777" w:rsidR="006C61F0" w:rsidRDefault="006C61F0">
      <w:pPr>
        <w:pStyle w:val="Textbody"/>
        <w:spacing w:after="0"/>
        <w:rPr>
          <w:color w:val="000000"/>
          <w:sz w:val="22"/>
          <w:szCs w:val="22"/>
        </w:rPr>
      </w:pPr>
    </w:p>
    <w:p w14:paraId="4FC8E930" w14:textId="77777777" w:rsidR="006C61F0" w:rsidRDefault="006C61F0">
      <w:pPr>
        <w:pStyle w:val="Textbody"/>
        <w:spacing w:after="0"/>
        <w:rPr>
          <w:b/>
          <w:bCs/>
          <w:color w:val="000000"/>
          <w:sz w:val="22"/>
          <w:szCs w:val="22"/>
        </w:rPr>
      </w:pPr>
    </w:p>
    <w:p w14:paraId="69A6B8AB" w14:textId="77777777" w:rsidR="006C61F0" w:rsidRDefault="002D717C">
      <w:pPr>
        <w:pStyle w:val="Textbody"/>
        <w:spacing w:after="0"/>
      </w:pPr>
      <w:r>
        <w:rPr>
          <w:b/>
          <w:bCs/>
          <w:color w:val="000000"/>
          <w:sz w:val="22"/>
          <w:szCs w:val="22"/>
        </w:rPr>
        <w:t>Celkem (Etapa 3 + Etapa 4) při souběžných pracích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153 dní</w:t>
      </w:r>
    </w:p>
    <w:sectPr w:rsidR="006C61F0">
      <w:headerReference w:type="default" r:id="rId7"/>
      <w:footerReference w:type="default" r:id="rId8"/>
      <w:pgSz w:w="11906" w:h="16838"/>
      <w:pgMar w:top="1305" w:right="1061" w:bottom="1013" w:left="1155" w:header="630" w:footer="3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3CA0" w14:textId="77777777" w:rsidR="002D717C" w:rsidRDefault="002D717C">
      <w:r>
        <w:separator/>
      </w:r>
    </w:p>
  </w:endnote>
  <w:endnote w:type="continuationSeparator" w:id="0">
    <w:p w14:paraId="49312998" w14:textId="77777777" w:rsidR="002D717C" w:rsidRDefault="002D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417C" w14:textId="77777777" w:rsidR="002D717C" w:rsidRDefault="002D717C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/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B361" w14:textId="77777777" w:rsidR="002D717C" w:rsidRDefault="002D717C">
      <w:r>
        <w:rPr>
          <w:color w:val="000000"/>
        </w:rPr>
        <w:separator/>
      </w:r>
    </w:p>
  </w:footnote>
  <w:footnote w:type="continuationSeparator" w:id="0">
    <w:p w14:paraId="2D1502FE" w14:textId="77777777" w:rsidR="002D717C" w:rsidRDefault="002D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209A" w14:textId="27E81244" w:rsidR="002D717C" w:rsidRDefault="002D717C">
    <w:pPr>
      <w:pStyle w:val="Standard"/>
    </w:pPr>
    <w:r>
      <w:t>Příloha č. 2 zadávací dokumentace/ příloha č. 1 smlouvy o dílo</w:t>
    </w:r>
    <w:r>
      <w:tab/>
    </w:r>
    <w:r>
      <w:tab/>
    </w:r>
    <w:r>
      <w:tab/>
    </w:r>
    <w:r w:rsidR="00161EED" w:rsidRPr="00161EED">
      <w:t>VZ0218563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231"/>
    <w:multiLevelType w:val="hybridMultilevel"/>
    <w:tmpl w:val="04907958"/>
    <w:lvl w:ilvl="0" w:tplc="9BB296C8">
      <w:start w:val="1"/>
      <w:numFmt w:val="bullet"/>
      <w:lvlText w:val="-"/>
      <w:lvlJc w:val="left"/>
      <w:pPr>
        <w:ind w:left="216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059681C"/>
    <w:multiLevelType w:val="multilevel"/>
    <w:tmpl w:val="99B436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  <w:sz w:val="24"/>
        <w:szCs w:val="24"/>
      </w:rPr>
    </w:lvl>
  </w:abstractNum>
  <w:num w:numId="1" w16cid:durableId="2082294292">
    <w:abstractNumId w:val="1"/>
  </w:num>
  <w:num w:numId="2" w16cid:durableId="22264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F0"/>
    <w:rsid w:val="00161EED"/>
    <w:rsid w:val="001D2891"/>
    <w:rsid w:val="002B30A9"/>
    <w:rsid w:val="002D717C"/>
    <w:rsid w:val="006C61F0"/>
    <w:rsid w:val="00F75784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BD4E"/>
  <w15:docId w15:val="{4D32F63C-683F-4684-BBD2-BC3214B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eastAsia="Times New Roman"/>
    </w:rPr>
  </w:style>
  <w:style w:type="paragraph" w:styleId="Titulek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paragraph" w:customStyle="1" w:styleId="HeaderandFooter">
    <w:name w:val="Header and Footer"/>
    <w:basedOn w:val="Standard"/>
    <w:pPr>
      <w:suppressLineNumbers/>
      <w:tabs>
        <w:tab w:val="center" w:pos="4669"/>
        <w:tab w:val="right" w:pos="9339"/>
      </w:tabs>
    </w:pPr>
  </w:style>
  <w:style w:type="paragraph" w:styleId="Zpat">
    <w:name w:val="footer"/>
    <w:basedOn w:val="HeaderandFooter"/>
  </w:style>
  <w:style w:type="paragraph" w:styleId="Zhlav">
    <w:name w:val="header"/>
    <w:basedOn w:val="HeaderandFooter"/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customStyle="1" w:styleId="NumberingSymbols">
    <w:name w:val="Numbering Symbols"/>
    <w:rPr>
      <w:b w:val="0"/>
      <w:bCs w:val="0"/>
      <w:i w:val="0"/>
      <w:iCs w:val="0"/>
      <w:sz w:val="24"/>
      <w:szCs w:val="24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Květoslav Borek</dc:creator>
  <cp:lastModifiedBy>Kopečková Nikola</cp:lastModifiedBy>
  <cp:revision>2</cp:revision>
  <cp:lastPrinted>2025-01-13T15:08:00Z</cp:lastPrinted>
  <dcterms:created xsi:type="dcterms:W3CDTF">2025-05-29T06:17:00Z</dcterms:created>
  <dcterms:modified xsi:type="dcterms:W3CDTF">2025-05-29T06:17:00Z</dcterms:modified>
</cp:coreProperties>
</file>