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043030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501B3A23" w:rsidR="006D47FA" w:rsidRDefault="006D47FA" w:rsidP="00516AE9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E4FD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16AE9">
        <w:rPr>
          <w:rFonts w:ascii="Arial" w:hAnsi="Arial" w:cs="Arial"/>
          <w:snapToGrid w:val="0"/>
          <w:sz w:val="22"/>
          <w:szCs w:val="22"/>
        </w:rPr>
        <w:t>Vladimírem Bláhou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67339">
        <w:rPr>
          <w:rFonts w:ascii="Arial" w:hAnsi="Arial" w:cs="Arial"/>
          <w:iCs/>
          <w:sz w:val="22"/>
          <w:szCs w:val="22"/>
        </w:rPr>
        <w:t>odborný rada, Pobočka České Budějovice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2EDE0A9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7339">
        <w:rPr>
          <w:rFonts w:ascii="Arial" w:hAnsi="Arial" w:cs="Arial"/>
          <w:sz w:val="22"/>
          <w:szCs w:val="22"/>
        </w:rPr>
        <w:t>+420 727 966 731</w:t>
      </w:r>
    </w:p>
    <w:p w14:paraId="2525B9A1" w14:textId="584ED2F6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FD03E7" w:rsidRPr="00FD03E7">
        <w:rPr>
          <w:rFonts w:ascii="Arial" w:hAnsi="Arial" w:cs="Arial"/>
          <w:snapToGrid w:val="0"/>
          <w:sz w:val="22"/>
          <w:szCs w:val="22"/>
        </w:rPr>
        <w:t>cbudejovice.pk@spucr.cz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6E54C80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516215">
        <w:rPr>
          <w:rFonts w:ascii="Arial" w:hAnsi="Arial" w:cs="Arial"/>
          <w:sz w:val="22"/>
          <w:szCs w:val="22"/>
        </w:rPr>
        <w:tab/>
      </w:r>
      <w:r w:rsidR="00516215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63702280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516215">
        <w:rPr>
          <w:rFonts w:ascii="Arial" w:hAnsi="Arial" w:cs="Arial"/>
          <w:sz w:val="22"/>
          <w:szCs w:val="22"/>
        </w:rPr>
        <w:tab/>
      </w:r>
      <w:r w:rsidR="00516215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7569E33A" w:rsidR="00797092" w:rsidRPr="003C0D30" w:rsidRDefault="00797092" w:rsidP="00516215">
      <w:pPr>
        <w:spacing w:before="0" w:after="120"/>
        <w:ind w:left="4536" w:right="991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516215">
        <w:rPr>
          <w:rFonts w:ascii="Arial" w:hAnsi="Arial" w:cs="Arial"/>
          <w:sz w:val="22"/>
          <w:szCs w:val="22"/>
        </w:rPr>
        <w:tab/>
      </w:r>
      <w:r w:rsidR="00516215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3F19E263" w:rsidR="00A93E2B" w:rsidRPr="00851083" w:rsidRDefault="00125D3F" w:rsidP="00D479C6">
      <w:pPr>
        <w:numPr>
          <w:ilvl w:val="0"/>
          <w:numId w:val="8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851083">
        <w:rPr>
          <w:rFonts w:ascii="Arial" w:hAnsi="Arial" w:cs="Arial"/>
          <w:b/>
          <w:sz w:val="22"/>
          <w:szCs w:val="22"/>
        </w:rPr>
        <w:t xml:space="preserve">TKP </w:t>
      </w:r>
      <w:proofErr w:type="spellStart"/>
      <w:r w:rsidRPr="00851083">
        <w:rPr>
          <w:rFonts w:ascii="Arial" w:hAnsi="Arial" w:cs="Arial"/>
          <w:b/>
          <w:sz w:val="22"/>
          <w:szCs w:val="22"/>
        </w:rPr>
        <w:t>geo</w:t>
      </w:r>
      <w:proofErr w:type="spellEnd"/>
      <w:r w:rsidRPr="00851083">
        <w:rPr>
          <w:rFonts w:ascii="Arial" w:hAnsi="Arial" w:cs="Arial"/>
          <w:b/>
          <w:sz w:val="22"/>
          <w:szCs w:val="22"/>
        </w:rPr>
        <w:t xml:space="preserve"> s.r.o.</w:t>
      </w:r>
    </w:p>
    <w:p w14:paraId="0342339F" w14:textId="57C08379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125D3F">
        <w:rPr>
          <w:rFonts w:ascii="Arial" w:hAnsi="Arial" w:cs="Arial"/>
          <w:snapToGrid w:val="0"/>
          <w:sz w:val="22"/>
          <w:szCs w:val="22"/>
        </w:rPr>
        <w:t>Plánská 1</w:t>
      </w:r>
      <w:r w:rsidR="007807D0">
        <w:rPr>
          <w:rFonts w:ascii="Arial" w:hAnsi="Arial" w:cs="Arial"/>
          <w:snapToGrid w:val="0"/>
          <w:sz w:val="22"/>
          <w:szCs w:val="22"/>
        </w:rPr>
        <w:t>854/6</w:t>
      </w:r>
      <w:r w:rsidR="005702BE">
        <w:rPr>
          <w:rFonts w:ascii="Arial" w:hAnsi="Arial" w:cs="Arial"/>
          <w:snapToGrid w:val="0"/>
          <w:sz w:val="22"/>
          <w:szCs w:val="22"/>
        </w:rPr>
        <w:t>,</w:t>
      </w:r>
      <w:r w:rsidR="007807D0">
        <w:rPr>
          <w:rFonts w:ascii="Arial" w:hAnsi="Arial" w:cs="Arial"/>
          <w:snapToGrid w:val="0"/>
          <w:sz w:val="22"/>
          <w:szCs w:val="22"/>
        </w:rPr>
        <w:t xml:space="preserve"> 370 07 České Budějovice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807D0">
        <w:rPr>
          <w:rFonts w:ascii="Arial" w:hAnsi="Arial" w:cs="Arial"/>
          <w:snapToGrid w:val="0"/>
          <w:sz w:val="22"/>
          <w:szCs w:val="22"/>
        </w:rPr>
        <w:t>24134295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807D0">
        <w:rPr>
          <w:rFonts w:ascii="Arial" w:hAnsi="Arial" w:cs="Arial"/>
          <w:snapToGrid w:val="0"/>
          <w:sz w:val="22"/>
          <w:szCs w:val="22"/>
        </w:rPr>
        <w:t>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r w:rsidR="007807D0">
        <w:rPr>
          <w:rFonts w:ascii="Arial" w:hAnsi="Arial" w:cs="Arial"/>
          <w:snapToGrid w:val="0"/>
          <w:sz w:val="22"/>
          <w:szCs w:val="22"/>
        </w:rPr>
        <w:t> Českých Budějovicích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807D0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807D0">
        <w:rPr>
          <w:rFonts w:ascii="Arial" w:hAnsi="Arial" w:cs="Arial"/>
          <w:snapToGrid w:val="0"/>
          <w:sz w:val="22"/>
          <w:szCs w:val="22"/>
        </w:rPr>
        <w:t>25734</w:t>
      </w:r>
    </w:p>
    <w:p w14:paraId="294A8DA9" w14:textId="77777777" w:rsidR="00B04BD8" w:rsidRDefault="00B04BD8" w:rsidP="00B04BD8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</w:p>
    <w:p w14:paraId="1DC30181" w14:textId="4EA19E81" w:rsidR="00A93E2B" w:rsidRDefault="00A93E2B" w:rsidP="00B04BD8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</w:r>
      <w:r w:rsidR="00851083">
        <w:rPr>
          <w:rFonts w:ascii="Arial" w:hAnsi="Arial" w:cs="Arial"/>
          <w:snapToGrid w:val="0"/>
          <w:sz w:val="22"/>
          <w:szCs w:val="22"/>
        </w:rPr>
        <w:tab/>
        <w:t xml:space="preserve">Ing. Robertem </w:t>
      </w:r>
      <w:proofErr w:type="spellStart"/>
      <w:r w:rsidR="00851083">
        <w:rPr>
          <w:rFonts w:ascii="Arial" w:hAnsi="Arial" w:cs="Arial"/>
          <w:snapToGrid w:val="0"/>
          <w:sz w:val="22"/>
          <w:szCs w:val="22"/>
        </w:rPr>
        <w:t>Šinknere</w:t>
      </w:r>
      <w:r w:rsidR="00B04BD8">
        <w:rPr>
          <w:rFonts w:ascii="Arial" w:hAnsi="Arial" w:cs="Arial"/>
          <w:snapToGrid w:val="0"/>
          <w:sz w:val="22"/>
          <w:szCs w:val="22"/>
        </w:rPr>
        <w:t>m</w:t>
      </w:r>
      <w:proofErr w:type="spellEnd"/>
      <w:r w:rsidR="00B04BD8">
        <w:rPr>
          <w:rFonts w:ascii="Arial" w:hAnsi="Arial" w:cs="Arial"/>
          <w:snapToGrid w:val="0"/>
          <w:sz w:val="22"/>
          <w:szCs w:val="22"/>
        </w:rPr>
        <w:t>, MBA</w:t>
      </w:r>
    </w:p>
    <w:p w14:paraId="7A4DE14B" w14:textId="4B1629F6" w:rsidR="008D343C" w:rsidRDefault="00B04BD8" w:rsidP="00D479C6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jednatelem</w:t>
      </w:r>
    </w:p>
    <w:p w14:paraId="08AA0EB3" w14:textId="5C050F65" w:rsidR="008D343C" w:rsidRDefault="00A93E2B" w:rsidP="008D343C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B04BD8">
        <w:rPr>
          <w:rFonts w:ascii="Arial" w:hAnsi="Arial" w:cs="Arial"/>
          <w:bCs/>
          <w:sz w:val="22"/>
          <w:szCs w:val="22"/>
        </w:rPr>
        <w:tab/>
      </w:r>
      <w:proofErr w:type="spellStart"/>
      <w:r w:rsidR="00B8382A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D479C6">
        <w:rPr>
          <w:rFonts w:ascii="Arial" w:hAnsi="Arial" w:cs="Arial"/>
          <w:bCs/>
          <w:sz w:val="22"/>
          <w:szCs w:val="22"/>
        </w:rPr>
        <w:t>, ředitelem</w:t>
      </w:r>
    </w:p>
    <w:p w14:paraId="26ECF9D4" w14:textId="08C1420A" w:rsidR="00D67483" w:rsidRPr="008D343C" w:rsidRDefault="008D343C" w:rsidP="00D479C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479C6">
        <w:rPr>
          <w:rFonts w:ascii="Arial" w:hAnsi="Arial" w:cs="Arial"/>
          <w:bCs/>
          <w:sz w:val="22"/>
          <w:szCs w:val="22"/>
        </w:rPr>
        <w:t>na základě plné moci</w:t>
      </w:r>
    </w:p>
    <w:p w14:paraId="13F10AA8" w14:textId="52309411" w:rsidR="00D67483" w:rsidRDefault="00A93E2B" w:rsidP="00D67483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8D343C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 w:rsidR="00D67483">
        <w:rPr>
          <w:rFonts w:ascii="Arial" w:hAnsi="Arial" w:cs="Arial"/>
          <w:snapToGrid w:val="0"/>
          <w:sz w:val="22"/>
          <w:szCs w:val="22"/>
        </w:rPr>
        <w:t>,</w:t>
      </w:r>
    </w:p>
    <w:p w14:paraId="42B0B2AE" w14:textId="19818CC8" w:rsidR="00D67483" w:rsidRPr="00D67483" w:rsidRDefault="00D67483" w:rsidP="00D67483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BB79F7">
        <w:rPr>
          <w:rFonts w:ascii="Arial" w:hAnsi="Arial" w:cs="Arial"/>
          <w:snapToGrid w:val="0"/>
          <w:sz w:val="22"/>
          <w:szCs w:val="22"/>
        </w:rPr>
        <w:t>vedoucím</w:t>
      </w:r>
      <w:r>
        <w:rPr>
          <w:rFonts w:ascii="Arial" w:hAnsi="Arial" w:cs="Arial"/>
          <w:snapToGrid w:val="0"/>
          <w:sz w:val="22"/>
          <w:szCs w:val="22"/>
        </w:rPr>
        <w:t xml:space="preserve"> střediska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 GP</w:t>
      </w:r>
    </w:p>
    <w:p w14:paraId="47AE9B4B" w14:textId="77777777" w:rsidR="00D67483" w:rsidRDefault="00D67483" w:rsidP="00A93E2B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3928609E" w14:textId="535D91C9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2C06FF5E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D67483">
        <w:rPr>
          <w:rFonts w:ascii="Arial" w:hAnsi="Arial" w:cs="Arial"/>
          <w:snapToGrid w:val="0"/>
          <w:sz w:val="22"/>
          <w:szCs w:val="22"/>
        </w:rPr>
        <w:tab/>
      </w:r>
      <w:r w:rsidR="00D67483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476AFA2" w14:textId="47FF0AA4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8382A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1377D682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16215">
        <w:rPr>
          <w:rFonts w:ascii="Arial" w:hAnsi="Arial" w:cs="Arial"/>
          <w:snapToGrid w:val="0"/>
          <w:sz w:val="22"/>
          <w:szCs w:val="22"/>
        </w:rPr>
        <w:tab/>
      </w:r>
      <w:r w:rsidR="005837B1" w:rsidRPr="005837B1">
        <w:rPr>
          <w:rFonts w:ascii="Arial" w:hAnsi="Arial" w:cs="Arial"/>
          <w:snapToGrid w:val="0"/>
          <w:sz w:val="22"/>
          <w:szCs w:val="22"/>
        </w:rPr>
        <w:t>u7n38kc</w:t>
      </w:r>
    </w:p>
    <w:p w14:paraId="5A0E92C2" w14:textId="3E3DDCBC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 w:rsidRPr="005837B1">
        <w:rPr>
          <w:rFonts w:ascii="Arial" w:hAnsi="Arial" w:cs="Arial"/>
          <w:snapToGrid w:val="0"/>
          <w:sz w:val="22"/>
          <w:szCs w:val="22"/>
        </w:rPr>
        <w:t>ČSOB a.s.</w:t>
      </w:r>
    </w:p>
    <w:p w14:paraId="7C210692" w14:textId="66AFAA1A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</w:t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>
        <w:rPr>
          <w:rFonts w:ascii="Arial" w:hAnsi="Arial" w:cs="Arial"/>
          <w:snapToGrid w:val="0"/>
          <w:sz w:val="22"/>
          <w:szCs w:val="22"/>
        </w:rPr>
        <w:tab/>
      </w:r>
      <w:r w:rsidR="005837B1" w:rsidRPr="005837B1">
        <w:rPr>
          <w:rFonts w:ascii="Arial" w:hAnsi="Arial" w:cs="Arial"/>
          <w:snapToGrid w:val="0"/>
          <w:sz w:val="22"/>
          <w:szCs w:val="22"/>
        </w:rPr>
        <w:t>244858097/0300</w:t>
      </w:r>
    </w:p>
    <w:p w14:paraId="1A061709" w14:textId="1A4D55C3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AF0794">
        <w:rPr>
          <w:rFonts w:ascii="Arial" w:hAnsi="Arial" w:cs="Arial"/>
          <w:sz w:val="22"/>
          <w:szCs w:val="22"/>
        </w:rPr>
        <w:tab/>
      </w:r>
      <w:r w:rsidR="00AF0794">
        <w:rPr>
          <w:rFonts w:ascii="Arial" w:hAnsi="Arial" w:cs="Arial"/>
          <w:sz w:val="22"/>
          <w:szCs w:val="22"/>
        </w:rPr>
        <w:tab/>
      </w:r>
      <w:r w:rsidR="00AF0794" w:rsidRPr="00AF0794">
        <w:rPr>
          <w:rFonts w:ascii="Arial" w:hAnsi="Arial" w:cs="Arial"/>
          <w:snapToGrid w:val="0"/>
          <w:sz w:val="22"/>
          <w:szCs w:val="22"/>
        </w:rPr>
        <w:t>CZ24134295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A8B948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960EB5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960EB5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960EB5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960EB5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960EB5">
        <w:rPr>
          <w:rFonts w:ascii="Arial" w:hAnsi="Arial" w:cs="Arial"/>
          <w:b/>
          <w:bCs/>
          <w:sz w:val="22"/>
          <w:szCs w:val="22"/>
        </w:rPr>
        <w:t> </w:t>
      </w:r>
      <w:r w:rsidR="00D204A9" w:rsidRPr="00960EB5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960EB5">
        <w:rPr>
          <w:rFonts w:ascii="Arial" w:hAnsi="Arial" w:cs="Arial"/>
          <w:b/>
          <w:bCs/>
          <w:sz w:val="22"/>
          <w:szCs w:val="22"/>
        </w:rPr>
        <w:t xml:space="preserve"> </w:t>
      </w:r>
      <w:r w:rsidR="00F31C28" w:rsidRPr="00960EB5">
        <w:rPr>
          <w:rFonts w:ascii="Arial" w:hAnsi="Arial" w:cs="Arial"/>
          <w:b/>
          <w:bCs/>
          <w:sz w:val="22"/>
          <w:szCs w:val="22"/>
        </w:rPr>
        <w:t>České Budějovice 2025 II.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04303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04303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043030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09590F0" w:rsidR="00653491" w:rsidRPr="00014665" w:rsidRDefault="00C05583" w:rsidP="00043030">
      <w:pPr>
        <w:pStyle w:val="Odstavecseseznamem"/>
        <w:numPr>
          <w:ilvl w:val="1"/>
          <w:numId w:val="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5A0818">
        <w:rPr>
          <w:rFonts w:ascii="Arial" w:hAnsi="Arial" w:cs="Arial"/>
          <w:sz w:val="22"/>
          <w:szCs w:val="22"/>
        </w:rPr>
        <w:t>04.09.2025</w:t>
      </w:r>
    </w:p>
    <w:p w14:paraId="085E7CB4" w14:textId="71A82CB4" w:rsidR="00C05583" w:rsidRPr="00014665" w:rsidRDefault="00C05583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F31C28">
        <w:rPr>
          <w:rFonts w:ascii="Arial" w:hAnsi="Arial" w:cs="Arial"/>
          <w:sz w:val="22"/>
          <w:szCs w:val="22"/>
        </w:rPr>
        <w:t>České Budějovice.</w:t>
      </w:r>
    </w:p>
    <w:p w14:paraId="2BE2B186" w14:textId="6CB1B683" w:rsidR="00812748" w:rsidRPr="00014665" w:rsidRDefault="00C05583" w:rsidP="00043030">
      <w:pPr>
        <w:pStyle w:val="Odstavecseseznamem"/>
        <w:numPr>
          <w:ilvl w:val="1"/>
          <w:numId w:val="5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043030">
      <w:pPr>
        <w:pStyle w:val="Zkladntext2"/>
        <w:numPr>
          <w:ilvl w:val="1"/>
          <w:numId w:val="5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7A9F833" w:rsidR="00C05583" w:rsidRPr="00014665" w:rsidRDefault="004A2C5E" w:rsidP="00043030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4D571D" w:rsidRPr="00296DEE">
        <w:rPr>
          <w:rFonts w:ascii="Arial" w:hAnsi="Arial" w:cs="Arial"/>
          <w:sz w:val="22"/>
          <w:szCs w:val="22"/>
        </w:rPr>
        <w:t>katastrálních územích</w:t>
      </w:r>
      <w:r w:rsidR="00AA4335" w:rsidRPr="00296DEE">
        <w:rPr>
          <w:rFonts w:ascii="Arial" w:hAnsi="Arial" w:cs="Arial"/>
          <w:sz w:val="22"/>
          <w:szCs w:val="22"/>
        </w:rPr>
        <w:t>:</w:t>
      </w:r>
      <w:r w:rsidR="003238D6" w:rsidRPr="00296DEE">
        <w:rPr>
          <w:rFonts w:ascii="Arial" w:hAnsi="Arial" w:cs="Arial"/>
          <w:sz w:val="22"/>
          <w:szCs w:val="22"/>
        </w:rPr>
        <w:t xml:space="preserve"> Bedřichov u Horní Stropnice, Kamenná u Trhových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Svinů</w:t>
      </w:r>
      <w:proofErr w:type="spellEnd"/>
      <w:r w:rsidR="003238D6" w:rsidRPr="00296D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Kondrač</w:t>
      </w:r>
      <w:proofErr w:type="spellEnd"/>
      <w:r w:rsidR="003238D6" w:rsidRPr="00296DEE">
        <w:rPr>
          <w:rFonts w:ascii="Arial" w:hAnsi="Arial" w:cs="Arial"/>
          <w:sz w:val="22"/>
          <w:szCs w:val="22"/>
        </w:rPr>
        <w:t xml:space="preserve">, Meziluží, Římov, </w:t>
      </w:r>
      <w:proofErr w:type="spellStart"/>
      <w:r w:rsidR="003238D6" w:rsidRPr="00296DEE">
        <w:rPr>
          <w:rFonts w:ascii="Arial" w:hAnsi="Arial" w:cs="Arial"/>
          <w:sz w:val="22"/>
          <w:szCs w:val="22"/>
        </w:rPr>
        <w:t>Svébohy</w:t>
      </w:r>
      <w:proofErr w:type="spellEnd"/>
      <w:r w:rsidR="00296DEE">
        <w:rPr>
          <w:rFonts w:ascii="Arial" w:hAnsi="Arial" w:cs="Arial"/>
          <w:sz w:val="22"/>
          <w:szCs w:val="22"/>
        </w:rPr>
        <w:t>, Žumber</w:t>
      </w:r>
      <w:r w:rsidR="00D47781">
        <w:rPr>
          <w:rFonts w:ascii="Arial" w:hAnsi="Arial" w:cs="Arial"/>
          <w:sz w:val="22"/>
          <w:szCs w:val="22"/>
        </w:rPr>
        <w:t>k</w:t>
      </w:r>
      <w:r w:rsidR="00296DEE">
        <w:rPr>
          <w:rFonts w:ascii="Arial" w:hAnsi="Arial" w:cs="Arial"/>
          <w:sz w:val="22"/>
          <w:szCs w:val="22"/>
        </w:rPr>
        <w:t xml:space="preserve"> u Nových Hradů,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296DEE">
        <w:rPr>
          <w:rFonts w:ascii="Arial" w:hAnsi="Arial" w:cs="Arial"/>
          <w:sz w:val="22"/>
          <w:szCs w:val="22"/>
        </w:rPr>
        <w:t xml:space="preserve"> České Budějovice, v</w:t>
      </w:r>
      <w:r w:rsidR="003E5EEC" w:rsidRPr="00014665">
        <w:rPr>
          <w:rFonts w:ascii="Arial" w:hAnsi="Arial" w:cs="Arial"/>
          <w:sz w:val="22"/>
          <w:szCs w:val="22"/>
        </w:rPr>
        <w:t xml:space="preserve">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043030">
      <w:pPr>
        <w:pStyle w:val="Odstavecseseznamem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043030">
      <w:pPr>
        <w:pStyle w:val="Zkladntext"/>
        <w:numPr>
          <w:ilvl w:val="1"/>
          <w:numId w:val="19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043030">
      <w:pPr>
        <w:pStyle w:val="Zkladntextodsazen2"/>
        <w:numPr>
          <w:ilvl w:val="1"/>
          <w:numId w:val="19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600D20" w:rsidR="00643337" w:rsidRPr="00014665" w:rsidRDefault="00FD4817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6C430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61E202B" w:rsidR="002B5853" w:rsidRPr="001758A7" w:rsidRDefault="00A87320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6C430C">
        <w:rPr>
          <w:rFonts w:ascii="Arial" w:hAnsi="Arial" w:cs="Arial"/>
          <w:sz w:val="22"/>
          <w:szCs w:val="22"/>
        </w:rPr>
        <w:t>České Budějovice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C430C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043030">
      <w:pPr>
        <w:pStyle w:val="Zhlav"/>
        <w:numPr>
          <w:ilvl w:val="1"/>
          <w:numId w:val="19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B904A89" w:rsidR="00FD4817" w:rsidRPr="0042773E" w:rsidRDefault="003C444A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5A0818">
        <w:rPr>
          <w:rFonts w:ascii="Arial" w:hAnsi="Arial" w:cs="Arial"/>
          <w:b/>
          <w:bCs/>
          <w:sz w:val="22"/>
          <w:szCs w:val="22"/>
        </w:rPr>
        <w:t>70 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12345274" w:rsidR="00FD4817" w:rsidRPr="000F2FB9" w:rsidRDefault="00FD4817" w:rsidP="00043030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0F37D7">
        <w:rPr>
          <w:rFonts w:ascii="Arial" w:hAnsi="Arial" w:cs="Arial"/>
          <w:sz w:val="22"/>
          <w:szCs w:val="22"/>
        </w:rPr>
        <w:t>:</w:t>
      </w:r>
      <w:r w:rsidR="000F37D7" w:rsidRPr="000F37D7">
        <w:rPr>
          <w:rFonts w:ascii="Arial" w:hAnsi="Arial" w:cs="Arial"/>
          <w:sz w:val="22"/>
          <w:szCs w:val="22"/>
        </w:rPr>
        <w:t xml:space="preserve"> </w:t>
      </w:r>
      <w:r w:rsidR="000F37D7" w:rsidRPr="00296DEE">
        <w:rPr>
          <w:rFonts w:ascii="Arial" w:hAnsi="Arial" w:cs="Arial"/>
          <w:sz w:val="22"/>
          <w:szCs w:val="22"/>
        </w:rPr>
        <w:t xml:space="preserve">Bedřichov u Horní Stropnice, Kamenná u Trhových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Svinů</w:t>
      </w:r>
      <w:proofErr w:type="spellEnd"/>
      <w:r w:rsidR="000F37D7" w:rsidRPr="00296D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Kondrač</w:t>
      </w:r>
      <w:proofErr w:type="spellEnd"/>
      <w:r w:rsidR="000F37D7" w:rsidRPr="00296DEE">
        <w:rPr>
          <w:rFonts w:ascii="Arial" w:hAnsi="Arial" w:cs="Arial"/>
          <w:sz w:val="22"/>
          <w:szCs w:val="22"/>
        </w:rPr>
        <w:t xml:space="preserve">, Meziluží, Římov, </w:t>
      </w:r>
      <w:proofErr w:type="spellStart"/>
      <w:r w:rsidR="000F37D7" w:rsidRPr="00296DEE">
        <w:rPr>
          <w:rFonts w:ascii="Arial" w:hAnsi="Arial" w:cs="Arial"/>
          <w:sz w:val="22"/>
          <w:szCs w:val="22"/>
        </w:rPr>
        <w:t>Svébohy</w:t>
      </w:r>
      <w:proofErr w:type="spellEnd"/>
      <w:r w:rsidR="000F37D7">
        <w:rPr>
          <w:rFonts w:ascii="Arial" w:hAnsi="Arial" w:cs="Arial"/>
          <w:sz w:val="22"/>
          <w:szCs w:val="22"/>
        </w:rPr>
        <w:t>, Žumberk u Nových Hradů,</w:t>
      </w:r>
      <w:r w:rsidR="000F37D7" w:rsidRPr="0042773E">
        <w:rPr>
          <w:rFonts w:ascii="Arial" w:hAnsi="Arial" w:cs="Arial"/>
          <w:sz w:val="22"/>
          <w:szCs w:val="22"/>
        </w:rPr>
        <w:t xml:space="preserve"> okres:</w:t>
      </w:r>
      <w:r w:rsidR="000F37D7">
        <w:rPr>
          <w:rFonts w:ascii="Arial" w:hAnsi="Arial" w:cs="Arial"/>
          <w:sz w:val="22"/>
          <w:szCs w:val="22"/>
        </w:rPr>
        <w:t xml:space="preserve"> České Budějovice</w:t>
      </w:r>
    </w:p>
    <w:p w14:paraId="3769B996" w14:textId="77777777" w:rsidR="00621499" w:rsidRPr="006952E0" w:rsidRDefault="00FD4817" w:rsidP="00043030">
      <w:pPr>
        <w:pStyle w:val="Zhlav"/>
        <w:numPr>
          <w:ilvl w:val="1"/>
          <w:numId w:val="20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</w:t>
      </w:r>
      <w:r w:rsidR="00F522E2" w:rsidRPr="00621499">
        <w:rPr>
          <w:rFonts w:ascii="Arial" w:hAnsi="Arial" w:cs="Arial"/>
          <w:sz w:val="22"/>
          <w:szCs w:val="22"/>
        </w:rPr>
        <w:t xml:space="preserve">pro Jihočeský kraj, Pobočka </w:t>
      </w:r>
      <w:r w:rsidR="000F37D7" w:rsidRPr="00621499">
        <w:rPr>
          <w:rFonts w:ascii="Arial" w:hAnsi="Arial" w:cs="Arial"/>
          <w:sz w:val="22"/>
          <w:szCs w:val="22"/>
        </w:rPr>
        <w:t>České Budějovice</w:t>
      </w:r>
      <w:r w:rsidR="00F522E2" w:rsidRPr="00621499">
        <w:rPr>
          <w:rFonts w:ascii="Arial" w:hAnsi="Arial" w:cs="Arial"/>
          <w:sz w:val="22"/>
          <w:szCs w:val="22"/>
        </w:rPr>
        <w:t xml:space="preserve">, </w:t>
      </w:r>
      <w:r w:rsidR="00621499" w:rsidRPr="00621499">
        <w:rPr>
          <w:rFonts w:ascii="Arial" w:hAnsi="Arial" w:cs="Arial"/>
          <w:sz w:val="22"/>
          <w:szCs w:val="22"/>
        </w:rPr>
        <w:t>Rudolfovská 493/80, 370 01 České Budějovice.</w:t>
      </w:r>
    </w:p>
    <w:p w14:paraId="2D78EFEF" w14:textId="6E017A31" w:rsidR="00FD4817" w:rsidRPr="00014665" w:rsidRDefault="00FD4817" w:rsidP="00621499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043030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B3E156D" w:rsidR="000A1146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F1F32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043030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043030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64498F77" w14:textId="77777777" w:rsidR="00EF1F32" w:rsidRDefault="00EF1F32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01563C07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043030">
      <w:pPr>
        <w:pStyle w:val="Zkladntextodsazen2"/>
        <w:numPr>
          <w:ilvl w:val="1"/>
          <w:numId w:val="9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043030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043030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327A6434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296DEE">
        <w:rPr>
          <w:rFonts w:ascii="Arial" w:hAnsi="Arial" w:cs="Arial"/>
          <w:b/>
          <w:bCs/>
          <w:sz w:val="22"/>
          <w:szCs w:val="22"/>
        </w:rPr>
        <w:t>358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296DEE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Bedřichov u Horní Stropnice, Kamenná u Trhových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Svinů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Kondrač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, Meziluží, Římov, </w:t>
      </w:r>
      <w:proofErr w:type="spellStart"/>
      <w:r w:rsidR="00296DEE" w:rsidRPr="00296DEE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  <w:r w:rsidR="00296DEE" w:rsidRPr="00296DEE">
        <w:rPr>
          <w:rFonts w:ascii="Arial" w:hAnsi="Arial" w:cs="Arial"/>
          <w:b/>
          <w:bCs/>
          <w:sz w:val="22"/>
          <w:szCs w:val="22"/>
        </w:rPr>
        <w:t>, Žumber</w:t>
      </w:r>
      <w:r w:rsidR="00641634">
        <w:rPr>
          <w:rFonts w:ascii="Arial" w:hAnsi="Arial" w:cs="Arial"/>
          <w:b/>
          <w:bCs/>
          <w:sz w:val="22"/>
          <w:szCs w:val="22"/>
        </w:rPr>
        <w:t>k</w:t>
      </w:r>
      <w:r w:rsidR="00296DEE" w:rsidRPr="00296DEE">
        <w:rPr>
          <w:rFonts w:ascii="Arial" w:hAnsi="Arial" w:cs="Arial"/>
          <w:b/>
          <w:bCs/>
          <w:sz w:val="22"/>
          <w:szCs w:val="22"/>
        </w:rPr>
        <w:t xml:space="preserve"> u Nových Hradů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0D135F99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6F70B2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6F70B2" w14:paraId="5405E42B" w14:textId="77777777" w:rsidTr="005A452C">
        <w:tc>
          <w:tcPr>
            <w:tcW w:w="2694" w:type="dxa"/>
            <w:vAlign w:val="bottom"/>
          </w:tcPr>
          <w:p w14:paraId="006098BC" w14:textId="05128498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Bedřichov u Horní Stropnice</w:t>
            </w:r>
          </w:p>
        </w:tc>
        <w:tc>
          <w:tcPr>
            <w:tcW w:w="1276" w:type="dxa"/>
            <w:vAlign w:val="bottom"/>
          </w:tcPr>
          <w:p w14:paraId="14D01C92" w14:textId="32757A62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E807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14:paraId="0EE4D054" w14:textId="104F23DC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7B18ECB4" w14:textId="19931A4A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4 600,00 Kč</w:t>
            </w:r>
          </w:p>
        </w:tc>
        <w:tc>
          <w:tcPr>
            <w:tcW w:w="1559" w:type="dxa"/>
            <w:vAlign w:val="bottom"/>
          </w:tcPr>
          <w:p w14:paraId="063D9EA6" w14:textId="12EA5EE0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966,00 Kč</w:t>
            </w:r>
          </w:p>
        </w:tc>
        <w:tc>
          <w:tcPr>
            <w:tcW w:w="1701" w:type="dxa"/>
            <w:vAlign w:val="bottom"/>
          </w:tcPr>
          <w:p w14:paraId="04FC0985" w14:textId="5FD3B875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5 566,00 Kč</w:t>
            </w:r>
          </w:p>
        </w:tc>
      </w:tr>
      <w:tr w:rsidR="006F70B2" w14:paraId="2E9C0BC6" w14:textId="77777777" w:rsidTr="005A452C">
        <w:tc>
          <w:tcPr>
            <w:tcW w:w="2694" w:type="dxa"/>
            <w:vAlign w:val="bottom"/>
          </w:tcPr>
          <w:p w14:paraId="010F2FF3" w14:textId="5FE4E029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 xml:space="preserve">Kamenná u Trhových </w:t>
            </w:r>
            <w:proofErr w:type="spellStart"/>
            <w:r w:rsidRPr="00E80736">
              <w:rPr>
                <w:rFonts w:ascii="Arial" w:hAnsi="Arial" w:cs="Arial"/>
                <w:color w:val="000000"/>
              </w:rPr>
              <w:t>Svinů</w:t>
            </w:r>
            <w:proofErr w:type="spellEnd"/>
          </w:p>
        </w:tc>
        <w:tc>
          <w:tcPr>
            <w:tcW w:w="1276" w:type="dxa"/>
            <w:vAlign w:val="bottom"/>
          </w:tcPr>
          <w:p w14:paraId="3EAF2716" w14:textId="6A786793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59" w:type="dxa"/>
            <w:vAlign w:val="bottom"/>
          </w:tcPr>
          <w:p w14:paraId="607B5E78" w14:textId="4C3EAE14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77E400F9" w14:textId="41D4980A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24 840,00 Kč</w:t>
            </w:r>
          </w:p>
        </w:tc>
        <w:tc>
          <w:tcPr>
            <w:tcW w:w="1559" w:type="dxa"/>
            <w:vAlign w:val="bottom"/>
          </w:tcPr>
          <w:p w14:paraId="0106596E" w14:textId="1ADFD574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5 216,40 Kč</w:t>
            </w:r>
          </w:p>
        </w:tc>
        <w:tc>
          <w:tcPr>
            <w:tcW w:w="1701" w:type="dxa"/>
            <w:vAlign w:val="bottom"/>
          </w:tcPr>
          <w:p w14:paraId="6BA185EF" w14:textId="32D02A5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30 056,40 Kč</w:t>
            </w:r>
          </w:p>
        </w:tc>
      </w:tr>
      <w:tr w:rsidR="006F70B2" w14:paraId="730B1A9A" w14:textId="77777777" w:rsidTr="005A452C">
        <w:tc>
          <w:tcPr>
            <w:tcW w:w="2694" w:type="dxa"/>
            <w:vAlign w:val="bottom"/>
          </w:tcPr>
          <w:p w14:paraId="337C8A2A" w14:textId="282A54B6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Kondrač</w:t>
            </w:r>
            <w:proofErr w:type="spellEnd"/>
          </w:p>
        </w:tc>
        <w:tc>
          <w:tcPr>
            <w:tcW w:w="1276" w:type="dxa"/>
            <w:vAlign w:val="bottom"/>
          </w:tcPr>
          <w:p w14:paraId="4BCD41ED" w14:textId="7B008994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bottom"/>
          </w:tcPr>
          <w:p w14:paraId="1C6704AE" w14:textId="158A6A17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372B4A0C" w14:textId="07549296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7 360,00 Kč</w:t>
            </w:r>
          </w:p>
        </w:tc>
        <w:tc>
          <w:tcPr>
            <w:tcW w:w="1559" w:type="dxa"/>
            <w:vAlign w:val="bottom"/>
          </w:tcPr>
          <w:p w14:paraId="12C4891A" w14:textId="4FBDEC6B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1 545,60 Kč</w:t>
            </w:r>
          </w:p>
        </w:tc>
        <w:tc>
          <w:tcPr>
            <w:tcW w:w="1701" w:type="dxa"/>
            <w:vAlign w:val="bottom"/>
          </w:tcPr>
          <w:p w14:paraId="18CC5CA6" w14:textId="27D123AB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8 905,60 Kč</w:t>
            </w:r>
          </w:p>
        </w:tc>
      </w:tr>
      <w:tr w:rsidR="006F70B2" w14:paraId="00F81D2E" w14:textId="77777777" w:rsidTr="005A452C">
        <w:tc>
          <w:tcPr>
            <w:tcW w:w="2694" w:type="dxa"/>
            <w:vAlign w:val="bottom"/>
          </w:tcPr>
          <w:p w14:paraId="0C087F08" w14:textId="5EAAED32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Meziluží</w:t>
            </w:r>
          </w:p>
        </w:tc>
        <w:tc>
          <w:tcPr>
            <w:tcW w:w="1276" w:type="dxa"/>
            <w:vAlign w:val="bottom"/>
          </w:tcPr>
          <w:p w14:paraId="3CFE1DC3" w14:textId="5E5A8FDF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59" w:type="dxa"/>
            <w:vAlign w:val="bottom"/>
          </w:tcPr>
          <w:p w14:paraId="7BC8A318" w14:textId="7116CE1C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5B25C714" w14:textId="514856AC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31 280,00 Kč</w:t>
            </w:r>
          </w:p>
        </w:tc>
        <w:tc>
          <w:tcPr>
            <w:tcW w:w="1559" w:type="dxa"/>
            <w:vAlign w:val="bottom"/>
          </w:tcPr>
          <w:p w14:paraId="535331BE" w14:textId="187B38B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6 568,80 Kč</w:t>
            </w:r>
          </w:p>
        </w:tc>
        <w:tc>
          <w:tcPr>
            <w:tcW w:w="1701" w:type="dxa"/>
            <w:vAlign w:val="bottom"/>
          </w:tcPr>
          <w:p w14:paraId="39A819F2" w14:textId="4C2112F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color w:val="000000"/>
              </w:rPr>
              <w:t>37 848,80 Kč</w:t>
            </w:r>
          </w:p>
        </w:tc>
      </w:tr>
      <w:tr w:rsidR="006F70B2" w14:paraId="53F413FD" w14:textId="77777777" w:rsidTr="005A452C">
        <w:tc>
          <w:tcPr>
            <w:tcW w:w="2694" w:type="dxa"/>
            <w:vAlign w:val="bottom"/>
          </w:tcPr>
          <w:p w14:paraId="49840D08" w14:textId="534E4FC1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Římov</w:t>
            </w:r>
          </w:p>
        </w:tc>
        <w:tc>
          <w:tcPr>
            <w:tcW w:w="1276" w:type="dxa"/>
            <w:vAlign w:val="bottom"/>
          </w:tcPr>
          <w:p w14:paraId="69F4C2E6" w14:textId="7E566E9C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  <w:vAlign w:val="bottom"/>
          </w:tcPr>
          <w:p w14:paraId="6DE5D26F" w14:textId="63F24FE5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24C6E735" w14:textId="4F4D0F38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22 080,00 Kč</w:t>
            </w:r>
          </w:p>
        </w:tc>
        <w:tc>
          <w:tcPr>
            <w:tcW w:w="1559" w:type="dxa"/>
            <w:vAlign w:val="bottom"/>
          </w:tcPr>
          <w:p w14:paraId="7DA0B1E5" w14:textId="6FBE9ED3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4 636,80 Kč</w:t>
            </w:r>
          </w:p>
        </w:tc>
        <w:tc>
          <w:tcPr>
            <w:tcW w:w="1701" w:type="dxa"/>
            <w:vAlign w:val="bottom"/>
          </w:tcPr>
          <w:p w14:paraId="18D58FA3" w14:textId="7044589D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26 716,80 Kč</w:t>
            </w:r>
          </w:p>
        </w:tc>
      </w:tr>
      <w:tr w:rsidR="006F70B2" w14:paraId="18E4618B" w14:textId="77777777" w:rsidTr="005A452C">
        <w:tc>
          <w:tcPr>
            <w:tcW w:w="2694" w:type="dxa"/>
            <w:vAlign w:val="bottom"/>
          </w:tcPr>
          <w:p w14:paraId="284D5C89" w14:textId="54DE4C29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E80736">
              <w:rPr>
                <w:rFonts w:ascii="Arial" w:hAnsi="Arial" w:cs="Arial"/>
                <w:color w:val="000000"/>
              </w:rPr>
              <w:t>Svébohy</w:t>
            </w:r>
            <w:proofErr w:type="spellEnd"/>
          </w:p>
        </w:tc>
        <w:tc>
          <w:tcPr>
            <w:tcW w:w="1276" w:type="dxa"/>
            <w:vAlign w:val="bottom"/>
          </w:tcPr>
          <w:p w14:paraId="3AE3CC09" w14:textId="6F1C938A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559" w:type="dxa"/>
            <w:vAlign w:val="bottom"/>
          </w:tcPr>
          <w:p w14:paraId="50174E0F" w14:textId="25CC9B7F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291A78A8" w14:textId="0E5685A1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191 360,00 Kč</w:t>
            </w:r>
          </w:p>
        </w:tc>
        <w:tc>
          <w:tcPr>
            <w:tcW w:w="1559" w:type="dxa"/>
            <w:vAlign w:val="bottom"/>
          </w:tcPr>
          <w:p w14:paraId="77938B63" w14:textId="4EC429B8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40 185,60 Kč</w:t>
            </w:r>
          </w:p>
        </w:tc>
        <w:tc>
          <w:tcPr>
            <w:tcW w:w="1701" w:type="dxa"/>
            <w:vAlign w:val="bottom"/>
          </w:tcPr>
          <w:p w14:paraId="7257444E" w14:textId="3841AE1A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231 545,60 Kč</w:t>
            </w:r>
          </w:p>
        </w:tc>
      </w:tr>
      <w:tr w:rsidR="006F70B2" w14:paraId="22A0A3FC" w14:textId="77777777" w:rsidTr="005A452C">
        <w:tc>
          <w:tcPr>
            <w:tcW w:w="2694" w:type="dxa"/>
            <w:vAlign w:val="bottom"/>
          </w:tcPr>
          <w:p w14:paraId="045A4A59" w14:textId="3654FC63" w:rsidR="006F70B2" w:rsidRPr="00E80736" w:rsidRDefault="006F70B2" w:rsidP="006F70B2">
            <w:pPr>
              <w:spacing w:after="120"/>
              <w:ind w:left="0"/>
              <w:rPr>
                <w:rFonts w:ascii="Arial" w:hAnsi="Arial" w:cs="Arial"/>
              </w:rPr>
            </w:pPr>
            <w:r w:rsidRPr="00E80736">
              <w:rPr>
                <w:rFonts w:ascii="Arial" w:hAnsi="Arial" w:cs="Arial"/>
                <w:color w:val="000000"/>
              </w:rPr>
              <w:t>Žumberk u Nových Hradů</w:t>
            </w:r>
          </w:p>
        </w:tc>
        <w:tc>
          <w:tcPr>
            <w:tcW w:w="1276" w:type="dxa"/>
            <w:vAlign w:val="bottom"/>
          </w:tcPr>
          <w:p w14:paraId="16E2F9BF" w14:textId="75632120" w:rsidR="006F70B2" w:rsidRPr="00E80736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E8073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  <w:vAlign w:val="bottom"/>
          </w:tcPr>
          <w:p w14:paraId="1C93DDD2" w14:textId="686099C0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920,00 Kč</w:t>
            </w:r>
          </w:p>
        </w:tc>
        <w:tc>
          <w:tcPr>
            <w:tcW w:w="1701" w:type="dxa"/>
            <w:vAlign w:val="bottom"/>
          </w:tcPr>
          <w:p w14:paraId="6FB17510" w14:textId="1380ECD5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47 840,00 Kč</w:t>
            </w:r>
          </w:p>
        </w:tc>
        <w:tc>
          <w:tcPr>
            <w:tcW w:w="1559" w:type="dxa"/>
            <w:vAlign w:val="bottom"/>
          </w:tcPr>
          <w:p w14:paraId="05E4D45D" w14:textId="2BE7B9C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10 046,40 Kč</w:t>
            </w:r>
          </w:p>
        </w:tc>
        <w:tc>
          <w:tcPr>
            <w:tcW w:w="1701" w:type="dxa"/>
            <w:vAlign w:val="bottom"/>
          </w:tcPr>
          <w:p w14:paraId="36B3967A" w14:textId="446E22C8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F70B2">
              <w:rPr>
                <w:rFonts w:ascii="Arial" w:hAnsi="Arial" w:cs="Arial"/>
                <w:color w:val="000000"/>
              </w:rPr>
              <w:t>57 886,40 Kč</w:t>
            </w:r>
          </w:p>
        </w:tc>
      </w:tr>
      <w:tr w:rsidR="006F70B2" w14:paraId="6CC81D9E" w14:textId="77777777" w:rsidTr="005A452C">
        <w:tc>
          <w:tcPr>
            <w:tcW w:w="2694" w:type="dxa"/>
          </w:tcPr>
          <w:p w14:paraId="55AFBE74" w14:textId="77777777" w:rsidR="006F70B2" w:rsidRPr="004E3608" w:rsidRDefault="006F70B2" w:rsidP="006F70B2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6F70B2" w:rsidRPr="004E3608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  <w:vAlign w:val="bottom"/>
          </w:tcPr>
          <w:p w14:paraId="3D6826DE" w14:textId="3B8C9FE6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14:paraId="5FA7F6AD" w14:textId="317AE244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329 360,00 Kč</w:t>
            </w:r>
          </w:p>
        </w:tc>
        <w:tc>
          <w:tcPr>
            <w:tcW w:w="1559" w:type="dxa"/>
            <w:vAlign w:val="bottom"/>
          </w:tcPr>
          <w:p w14:paraId="49AF377E" w14:textId="0D2107E1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69 165,60 Kč</w:t>
            </w:r>
          </w:p>
        </w:tc>
        <w:tc>
          <w:tcPr>
            <w:tcW w:w="1701" w:type="dxa"/>
            <w:vAlign w:val="bottom"/>
          </w:tcPr>
          <w:p w14:paraId="61F0C526" w14:textId="4B1554D2" w:rsidR="006F70B2" w:rsidRPr="006F70B2" w:rsidRDefault="006F70B2" w:rsidP="006F70B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F70B2">
              <w:rPr>
                <w:rFonts w:ascii="Arial" w:hAnsi="Arial" w:cs="Arial"/>
                <w:b/>
                <w:bCs/>
                <w:color w:val="000000"/>
              </w:rPr>
              <w:t>398 525,60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043030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043030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623D817" w:rsidR="00545EC8" w:rsidRPr="00014665" w:rsidRDefault="00D503FA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635B2">
        <w:rPr>
          <w:rFonts w:ascii="Arial" w:hAnsi="Arial" w:cs="Arial"/>
          <w:sz w:val="22"/>
          <w:szCs w:val="22"/>
        </w:rPr>
        <w:t>České Budějovice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2635B2">
        <w:rPr>
          <w:rFonts w:ascii="Arial" w:hAnsi="Arial" w:cs="Arial"/>
          <w:b/>
          <w:snapToGrid w:val="0"/>
          <w:sz w:val="22"/>
          <w:szCs w:val="22"/>
        </w:rPr>
        <w:t xml:space="preserve">České </w:t>
      </w:r>
      <w:proofErr w:type="spellStart"/>
      <w:r w:rsidR="002635B2">
        <w:rPr>
          <w:rFonts w:ascii="Arial" w:hAnsi="Arial" w:cs="Arial"/>
          <w:b/>
          <w:snapToGrid w:val="0"/>
          <w:sz w:val="22"/>
          <w:szCs w:val="22"/>
        </w:rPr>
        <w:t>BUdějovice</w:t>
      </w:r>
      <w:proofErr w:type="spell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043030" w:rsidRPr="0004303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43030" w:rsidRPr="00170BFA">
        <w:rPr>
          <w:rFonts w:ascii="Arial" w:hAnsi="Arial" w:cs="Arial"/>
          <w:b/>
          <w:bCs/>
          <w:snapToGrid w:val="0"/>
          <w:sz w:val="22"/>
          <w:szCs w:val="22"/>
        </w:rPr>
        <w:t>Rudolfovská 493/80, 370 01 České Budějovice</w:t>
      </w:r>
      <w:r w:rsidR="0004303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043030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043030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043030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043030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043030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043030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043030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043030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043030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043030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043030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043030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043030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043030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C26B0D6" w:rsidR="00B817EB" w:rsidRPr="00043030" w:rsidRDefault="00B817EB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43030">
        <w:rPr>
          <w:rFonts w:ascii="Arial" w:hAnsi="Arial" w:cs="Arial"/>
          <w:sz w:val="22"/>
          <w:szCs w:val="22"/>
        </w:rPr>
        <w:t>Neoddělitelnou sou</w:t>
      </w:r>
      <w:r w:rsidR="00735EC1" w:rsidRPr="00043030">
        <w:rPr>
          <w:rFonts w:ascii="Arial" w:hAnsi="Arial" w:cs="Arial"/>
          <w:sz w:val="22"/>
          <w:szCs w:val="22"/>
          <w:u w:color="FF0000"/>
        </w:rPr>
        <w:t>část</w:t>
      </w:r>
      <w:r w:rsidRPr="00043030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43030">
        <w:rPr>
          <w:rFonts w:ascii="Arial" w:hAnsi="Arial" w:cs="Arial"/>
          <w:sz w:val="22"/>
          <w:szCs w:val="22"/>
        </w:rPr>
        <w:t xml:space="preserve">Příloha </w:t>
      </w:r>
      <w:r w:rsidRPr="00043030">
        <w:rPr>
          <w:rFonts w:ascii="Arial" w:hAnsi="Arial" w:cs="Arial"/>
          <w:sz w:val="22"/>
          <w:szCs w:val="22"/>
        </w:rPr>
        <w:t>č. 1</w:t>
      </w:r>
      <w:r w:rsidR="003D2A73" w:rsidRPr="00043030">
        <w:rPr>
          <w:rFonts w:ascii="Arial" w:hAnsi="Arial" w:cs="Arial"/>
          <w:sz w:val="22"/>
          <w:szCs w:val="22"/>
        </w:rPr>
        <w:t xml:space="preserve"> </w:t>
      </w:r>
      <w:r w:rsidR="00B90274" w:rsidRPr="00043030">
        <w:rPr>
          <w:rFonts w:ascii="Arial" w:hAnsi="Arial" w:cs="Arial"/>
          <w:sz w:val="22"/>
          <w:szCs w:val="22"/>
        </w:rPr>
        <w:t xml:space="preserve">– </w:t>
      </w:r>
      <w:r w:rsidRPr="00043030">
        <w:rPr>
          <w:rFonts w:ascii="Arial" w:hAnsi="Arial" w:cs="Arial"/>
          <w:sz w:val="22"/>
          <w:szCs w:val="22"/>
        </w:rPr>
        <w:t xml:space="preserve">Seznam </w:t>
      </w:r>
      <w:r w:rsidR="007C0C74" w:rsidRPr="00043030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43030">
        <w:rPr>
          <w:rFonts w:ascii="Arial" w:hAnsi="Arial" w:cs="Arial"/>
          <w:sz w:val="22"/>
          <w:szCs w:val="22"/>
        </w:rPr>
        <w:t>v</w:t>
      </w:r>
      <w:r w:rsidR="00043030" w:rsidRPr="00043030">
        <w:rPr>
          <w:rFonts w:ascii="Arial" w:hAnsi="Arial" w:cs="Arial"/>
          <w:sz w:val="22"/>
          <w:szCs w:val="22"/>
        </w:rPr>
        <w:t> </w:t>
      </w:r>
      <w:r w:rsidRPr="00043030">
        <w:rPr>
          <w:rFonts w:ascii="Arial" w:hAnsi="Arial" w:cs="Arial"/>
          <w:sz w:val="22"/>
          <w:szCs w:val="22"/>
        </w:rPr>
        <w:t>okrese</w:t>
      </w:r>
      <w:r w:rsidR="00043030" w:rsidRPr="00043030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Default="00353BAC" w:rsidP="00043030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5F84365A" w14:textId="77777777" w:rsidR="00043030" w:rsidRPr="00014665" w:rsidRDefault="00043030" w:rsidP="00043030">
      <w:pPr>
        <w:pStyle w:val="Odstavecseseznamem"/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E55E43A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746C4" w:rsidRPr="00B746C4">
        <w:rPr>
          <w:rFonts w:ascii="Arial" w:hAnsi="Arial" w:cs="Arial"/>
          <w:b/>
          <w:bCs/>
          <w:sz w:val="22"/>
          <w:szCs w:val="22"/>
        </w:rPr>
        <w:t xml:space="preserve">TKP </w:t>
      </w:r>
      <w:proofErr w:type="spellStart"/>
      <w:r w:rsidR="00B746C4" w:rsidRPr="00B746C4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B746C4" w:rsidRPr="00B746C4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5FC8B82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F7B3D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746C4">
        <w:rPr>
          <w:rFonts w:ascii="Arial" w:hAnsi="Arial" w:cs="Arial"/>
          <w:sz w:val="22"/>
          <w:szCs w:val="22"/>
        </w:rPr>
        <w:t>České Budějovice</w:t>
      </w:r>
    </w:p>
    <w:p w14:paraId="275FAE40" w14:textId="3807E7AC" w:rsidR="00610F2F" w:rsidRDefault="00610F2F" w:rsidP="00610F2F">
      <w:pPr>
        <w:spacing w:after="120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121211">
        <w:rPr>
          <w:rFonts w:ascii="Arial" w:hAnsi="Arial" w:cs="Arial"/>
          <w:sz w:val="22"/>
          <w:szCs w:val="22"/>
        </w:rPr>
        <w:t>16.09.2025</w:t>
      </w:r>
      <w:r w:rsidR="00121211">
        <w:rPr>
          <w:rFonts w:ascii="Arial" w:hAnsi="Arial" w:cs="Arial"/>
          <w:sz w:val="22"/>
          <w:szCs w:val="22"/>
        </w:rPr>
        <w:tab/>
      </w:r>
      <w:r w:rsidR="00121211">
        <w:rPr>
          <w:rFonts w:ascii="Arial" w:hAnsi="Arial" w:cs="Arial"/>
          <w:sz w:val="22"/>
          <w:szCs w:val="22"/>
        </w:rPr>
        <w:tab/>
      </w:r>
      <w:r w:rsidR="00121211">
        <w:rPr>
          <w:rFonts w:ascii="Arial" w:hAnsi="Arial" w:cs="Arial"/>
          <w:sz w:val="22"/>
          <w:szCs w:val="22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926E4D">
        <w:rPr>
          <w:rFonts w:ascii="Arial" w:hAnsi="Arial" w:cs="Arial"/>
          <w:sz w:val="22"/>
          <w:szCs w:val="22"/>
        </w:rPr>
        <w:t>15.09.2025</w:t>
      </w:r>
    </w:p>
    <w:p w14:paraId="5889CB4E" w14:textId="77777777" w:rsidR="00B746C4" w:rsidRPr="00610F2F" w:rsidRDefault="00B746C4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57755CFB" w:rsidR="00846784" w:rsidRPr="00846784" w:rsidRDefault="00B746C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846784"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21211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podepsáno“</w:t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41AD39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proofErr w:type="spellStart"/>
      <w:r w:rsidR="002703C2">
        <w:rPr>
          <w:rFonts w:ascii="Arial" w:hAnsi="Arial" w:cs="Arial"/>
          <w:sz w:val="22"/>
          <w:szCs w:val="22"/>
        </w:rPr>
        <w:t>xxxxxx</w:t>
      </w:r>
      <w:proofErr w:type="spellEnd"/>
    </w:p>
    <w:p w14:paraId="1F5A5897" w14:textId="29FF6797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AC7DAA" w:rsidRPr="008F5E51">
        <w:rPr>
          <w:rFonts w:ascii="Arial" w:hAnsi="Arial" w:cs="Arial"/>
          <w:sz w:val="22"/>
          <w:szCs w:val="22"/>
        </w:rPr>
        <w:t xml:space="preserve">ředitel TKP </w:t>
      </w:r>
      <w:proofErr w:type="spellStart"/>
      <w:r w:rsidR="00AC7DAA" w:rsidRPr="008F5E51">
        <w:rPr>
          <w:rFonts w:ascii="Arial" w:hAnsi="Arial" w:cs="Arial"/>
          <w:sz w:val="22"/>
          <w:szCs w:val="22"/>
        </w:rPr>
        <w:t>geo</w:t>
      </w:r>
      <w:proofErr w:type="spellEnd"/>
      <w:r w:rsidR="00AC7DAA" w:rsidRPr="008F5E51">
        <w:rPr>
          <w:rFonts w:ascii="Arial" w:hAnsi="Arial" w:cs="Arial"/>
          <w:sz w:val="22"/>
          <w:szCs w:val="22"/>
        </w:rPr>
        <w:t xml:space="preserve"> s.r.o.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6BC4364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02FCDAE" w14:textId="77777777" w:rsidR="00A61C33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4C5B56E" w14:textId="77777777" w:rsidR="00A61C33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504F8A" w14:textId="24F276D6" w:rsidR="00A61C33" w:rsidRPr="0054704D" w:rsidRDefault="00A61C33" w:rsidP="00A61C33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69082910" w14:textId="77777777" w:rsidR="00A61C33" w:rsidRPr="0054704D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791C3309" w14:textId="77777777" w:rsidR="00A61C33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49DED382" w14:textId="77777777" w:rsidR="00A61C33" w:rsidRPr="0054704D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4650A28" w14:textId="77777777" w:rsidR="00A61C33" w:rsidRPr="0054704D" w:rsidRDefault="00A61C33" w:rsidP="00A61C33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33435189" w14:textId="77777777" w:rsidR="00A61C33" w:rsidRPr="0054704D" w:rsidRDefault="00A61C33" w:rsidP="00A61C33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389BC6AB" w14:textId="77777777" w:rsidR="00A61C33" w:rsidRDefault="00A61C33" w:rsidP="00A61C33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1C638377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E5EDC5E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E2787EC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CC6420E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431D52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CAA98A3" w14:textId="77777777" w:rsidR="00C67291" w:rsidRDefault="00C6729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00C8A690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3F96DF4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7696B03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4E2C642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D6231FD" w14:textId="77777777" w:rsidR="007977BA" w:rsidRDefault="007977B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A2A6642" w14:textId="77777777" w:rsidR="00C61A21" w:rsidRDefault="00C61A21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C61A21" w:rsidSect="00A10967"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535"/>
        <w:tblOverlap w:val="never"/>
        <w:tblW w:w="8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645"/>
        <w:gridCol w:w="1216"/>
        <w:gridCol w:w="505"/>
      </w:tblGrid>
      <w:tr w:rsidR="00890558" w:rsidRPr="00890558" w14:paraId="46C22E18" w14:textId="77777777" w:rsidTr="006E4636">
        <w:trPr>
          <w:trHeight w:val="179"/>
        </w:trPr>
        <w:tc>
          <w:tcPr>
            <w:tcW w:w="8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404C36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Seznam vytyčovaných pozemků s uvedením katastrálního území</w:t>
            </w:r>
          </w:p>
        </w:tc>
      </w:tr>
      <w:tr w:rsidR="00890558" w:rsidRPr="00890558" w14:paraId="1E9EBA2C" w14:textId="77777777" w:rsidTr="006E4636">
        <w:trPr>
          <w:trHeight w:val="179"/>
        </w:trPr>
        <w:tc>
          <w:tcPr>
            <w:tcW w:w="81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226F305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Vytyčení po </w:t>
            </w:r>
            <w:proofErr w:type="spellStart"/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KoPÚ</w:t>
            </w:r>
            <w:proofErr w:type="spellEnd"/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v okrese České Budějovice 2025 II.</w:t>
            </w:r>
          </w:p>
        </w:tc>
      </w:tr>
      <w:tr w:rsidR="004577B5" w:rsidRPr="00890558" w14:paraId="605B3E46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58FCC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E6537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LV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1D72D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č. parcely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CAB3A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MJ</w:t>
            </w:r>
          </w:p>
        </w:tc>
      </w:tr>
      <w:tr w:rsidR="004577B5" w:rsidRPr="00890558" w14:paraId="2E76660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70E2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Bedřichov u Horní Stropnice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A0495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2A1BF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7ED32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77B5" w:rsidRPr="00890558" w14:paraId="6121424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476C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E7E0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5871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B7DA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4577B5" w:rsidRPr="00890558" w14:paraId="6B6EE2FA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8249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A162D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8C63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9012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FFF006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838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F0FC3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8442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C61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A4E2509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E6B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39390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CF6C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38C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346F62B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EF870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Kamenná u Trhových </w:t>
            </w:r>
            <w:proofErr w:type="spellStart"/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Svinů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C4A0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50956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81813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77B5" w:rsidRPr="00890558" w14:paraId="31C387B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EABA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B41C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B7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D0C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577B5" w:rsidRPr="00890558" w14:paraId="2B6D4D1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B138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69394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614D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AEFC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577B5" w:rsidRPr="00890558" w14:paraId="1B5D09FC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2E36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B299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FFD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2337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DCCF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577B5" w:rsidRPr="00890558" w14:paraId="192F0482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54B6E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Kondrač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FA8CA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F27B0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6649E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</w:tr>
      <w:tr w:rsidR="004577B5" w:rsidRPr="00890558" w14:paraId="7E81634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A8E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93A5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852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888/14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09F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4577B5" w:rsidRPr="00890558" w14:paraId="2B31F0F8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A77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45387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3D67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972/3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683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85ECCA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F61B5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Meziluží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8453E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941A6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C534C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</w:tr>
      <w:tr w:rsidR="004577B5" w:rsidRPr="00890558" w14:paraId="2A129C7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9D3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17E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3A23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2534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A80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</w:tr>
      <w:tr w:rsidR="004577B5" w:rsidRPr="00890558" w14:paraId="5B92BD6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86AD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7F1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53A8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2535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3A8E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6E9EE8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96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3734D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214B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15B5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8B3896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157D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42901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BD4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35C9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2482D7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B4D5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31ED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A08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2518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4478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DBCE8F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86B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0D51A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2383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2736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3EA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CA7D0E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355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35F70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2F4E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2738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B0E1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21721E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449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8286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39D4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2739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5C0E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B7BC2A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CAB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B92A8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1030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2740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E5E7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1772EF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7EB1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33C54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4E7E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2377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A42AD9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2A0C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F290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665B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9B5D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19701E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A263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68D3D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39A1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AA2D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8E6BAF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1D4C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BD0E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379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2744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9783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1EE8BB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6FE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383EF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49D9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D85B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FE208F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4244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A0CE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5BF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2748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B060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87F06C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B2D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9FA40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0DD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2762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0D4C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6DFF1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47E5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E1008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9C0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2763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58A7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103339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DF61C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Římov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B7F6E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6BD7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1EC8F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577B5" w:rsidRPr="00890558" w14:paraId="42F99AF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9F1D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A0A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3989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865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</w:tr>
      <w:tr w:rsidR="004577B5" w:rsidRPr="00890558" w14:paraId="6BBAF9DC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C9C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7D5E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5718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04E5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F1D0D9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04FF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08C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1B35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A320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7BB384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ED00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FF15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6B0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A0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ECBB21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EF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B673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2F5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8986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81AC8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BE5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890558">
              <w:rPr>
                <w:rFonts w:ascii="Segoe UI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E8B6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70E6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FE49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5F7BEA9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3B2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09FB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D12F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C76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2ED38A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5A19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Svébohy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7E43B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94D4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1574C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577B5" w:rsidRPr="00890558" w14:paraId="6AA76AA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5FA4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13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77A3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FE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</w:tr>
      <w:tr w:rsidR="004577B5" w:rsidRPr="00890558" w14:paraId="217E0B3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3722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FC2E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3CA6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82E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A688B5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851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638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BFC7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2433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544D7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489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BCDB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F4E1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3302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421D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BD266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A5D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50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644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3303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F2DF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64FDF5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585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5DD9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2188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4FCB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EF35CA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88EF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1323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0EA7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3338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063D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B9AE38A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5CD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44C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96AD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3B16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F2EBF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7F47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AFA3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EAAB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132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6E22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88D99DB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9B08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A5792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534F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DCE3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25E69B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3A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305B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F424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193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D8C5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23CB16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9244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C0CEF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0EC8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194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57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DA32B4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E7A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B8E73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A75F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212/1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BF71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D184F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15C8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067C6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0714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212/2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7CC5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9FF998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3269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0BC78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054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213/1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1EF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B6120E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E5D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F671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2B75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213/2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08A9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B7F5C7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87FF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92AB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68BD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st. 214/1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FE05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9EEC3C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C78F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8A37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A5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64FC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0DC366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991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30E1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D32E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7AB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0C941F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0F25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F339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75F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A129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68C018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38EC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B8FBB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CDDA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A2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BC0C64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47BE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B131A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B392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D34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8ABFCEA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3E8E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8B1F4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C424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6B8C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4D8650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28D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00D3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6D10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D537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6C9052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8CB7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2226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3CD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07D7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C36DD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7B6B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891C2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A4C0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869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87C0B9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8755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9A6DF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94AA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21C7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F9C207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05A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45DBA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8CAF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061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4CE342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580B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7DB6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7C52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2088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033AAE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49C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E37A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8F1A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8FA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8AA06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120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8CB9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7A41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3099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EFBB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11905D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74C0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BA6F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235F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C25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165F7F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0E64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8F63A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F9FB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F0E5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516BB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5DEA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9C4BB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1A69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0B30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EFABEE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E00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7BAC7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4A47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5D1B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C948B4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9AB7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B2982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711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3439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3D73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45FE1E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3B3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9FEA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492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3443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D8E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43B153A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B152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17E4D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209B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3448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C22A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9C7B4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A056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DDDC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2700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016E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3BA911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161C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81D29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97C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3452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895E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66124D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C3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BB21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4DD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3473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1979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3893C3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F33A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D8F1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6739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3527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E32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88A826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750A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E3E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2157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3536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F707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00E8C8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CA2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EAB8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106A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3537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9408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CFE7A4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139E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875B9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16F51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3538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70D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9DD27E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5747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7108E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C82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3542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D92F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0BA5AB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014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4232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4F83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2F97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443FB4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7401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A2F79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0528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A477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0C010F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C31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1D00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596E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9C10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43758F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7D8F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B6AD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D7F0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FCA7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A84086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E352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2934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AD5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3555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1D8B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9E3D96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4018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FC9B2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DBB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3581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5B59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A630B9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970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09251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06C0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3584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DE4E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0D7D7B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191D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52FC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718D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0123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5C4E64D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A89F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0C0C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B67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7CB7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062813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3E4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23C12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4C28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800C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356871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50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25CA3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BA41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2760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962C9A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5F2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139D2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C58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3645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A351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19C428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E1A6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A6BC8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5C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3650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5F17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8137B3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3ED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22991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834B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3651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C1CA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4EA3DC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B03A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84EF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90F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B925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00AB3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757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B6902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5C83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3654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DE2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DAD9B2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7D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AF35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9064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3762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132F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8E6E43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6FF0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1204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60AC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8E00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71A8DA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58C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02CE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2BC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46D8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E988575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806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7F105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279D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3769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8718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0DEF219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E0E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74BA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3B25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3773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E617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750AD7E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5B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A6ACA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7D08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3776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B40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850EAF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CA92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91B95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05B22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3807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4EC1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A942A5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2042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77306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C0A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3827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657D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9888F5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953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6209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7AC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3828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6EC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339D431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F160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2CF13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DDF2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3834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6F31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DEAA75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E1B4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B8D3C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125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3835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FE0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3F6ED88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3191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854DD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7C81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3843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4AAF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BC3AEAF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6CD3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AB0E5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31B1D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3844</w:t>
            </w:r>
          </w:p>
        </w:tc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4281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3F5DAF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115AB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FF0000"/>
                <w:sz w:val="16"/>
                <w:szCs w:val="16"/>
              </w:rPr>
              <w:t>Žumberk u Nových Hradů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D23B7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3FBF9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A5AD4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577B5" w:rsidRPr="00890558" w14:paraId="38A9ADC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DB22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7A6F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DC2D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2882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EC99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90558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</w:tr>
      <w:tr w:rsidR="004577B5" w:rsidRPr="00890558" w14:paraId="57E79A2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BAED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F2CE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A2F47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4615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258DB1A0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0B522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01CEB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3212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BF90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2B8580B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1B6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FCBEF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2DE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2897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8A96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16EB9E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8699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664E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B1E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2899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87AD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A7D719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F3E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6A64B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7922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2941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E71B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1AFE63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B8E3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0B9E1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7E1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2942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33B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4006D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E98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F19FF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25185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2945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E3B26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AEAC58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3E8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0C959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19E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173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6BEAD46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7EB8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3C267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5EF50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C0A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8007EC2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A3D0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D342C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4B57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2576C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6F6DA72F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BEFA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A693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42FE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AF173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25B8A83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B12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A11C55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8D4EC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5F3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AD5E354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DBE3F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85E1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6A3A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0E17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4277215C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CC3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6DCE8B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9A5E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6F0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1C8E9CF7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A5E1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B39250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0DE5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F13F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57D4F1F8" w14:textId="77777777" w:rsidTr="006E4636">
        <w:trPr>
          <w:trHeight w:val="123"/>
        </w:trPr>
        <w:tc>
          <w:tcPr>
            <w:tcW w:w="5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7138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8C41B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EC0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6298D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74539A74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3989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11254E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0FC5F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color w:val="000000"/>
                <w:sz w:val="16"/>
                <w:szCs w:val="16"/>
              </w:rPr>
              <w:t>3068</w:t>
            </w:r>
          </w:p>
        </w:tc>
        <w:tc>
          <w:tcPr>
            <w:tcW w:w="50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EBCF4" w14:textId="77777777" w:rsidR="00890558" w:rsidRPr="00890558" w:rsidRDefault="00890558" w:rsidP="006E4636">
            <w:pPr>
              <w:spacing w:before="0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77B5" w:rsidRPr="00890558" w14:paraId="0618399D" w14:textId="77777777" w:rsidTr="006E4636">
        <w:trPr>
          <w:trHeight w:val="129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594EB9" w14:textId="6441CEE1" w:rsidR="00890558" w:rsidRPr="00890558" w:rsidRDefault="00A378F7" w:rsidP="006E4636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</w:t>
            </w:r>
            <w:r w:rsidR="00890558" w:rsidRPr="0089055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ELKEM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2DEF56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43B82B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FD2243" w14:textId="77777777" w:rsidR="00890558" w:rsidRPr="00890558" w:rsidRDefault="00890558" w:rsidP="006E463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905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358</w:t>
            </w:r>
          </w:p>
        </w:tc>
      </w:tr>
    </w:tbl>
    <w:p w14:paraId="43DC154A" w14:textId="77777777" w:rsidR="007977BA" w:rsidRPr="00014665" w:rsidRDefault="007977BA" w:rsidP="00A378F7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7977BA" w:rsidRPr="00014665" w:rsidSect="004D66D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1417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D771" w14:textId="77777777" w:rsidR="00A80788" w:rsidRDefault="00A80788" w:rsidP="003C2E23">
      <w:pPr>
        <w:spacing w:before="0"/>
      </w:pPr>
      <w:r>
        <w:separator/>
      </w:r>
    </w:p>
  </w:endnote>
  <w:endnote w:type="continuationSeparator" w:id="0">
    <w:p w14:paraId="7521DD32" w14:textId="77777777" w:rsidR="00A80788" w:rsidRDefault="00A80788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23C40E44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C61A21" w:rsidRPr="00C61A21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BCE4" w14:textId="77777777" w:rsidR="004577B5" w:rsidRPr="004577B5" w:rsidRDefault="004577B5" w:rsidP="004577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2A28" w14:textId="77777777" w:rsidR="00C61A21" w:rsidRPr="00C61A21" w:rsidRDefault="00C61A21" w:rsidP="00C61A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DFED" w14:textId="77777777" w:rsidR="00A80788" w:rsidRDefault="00A80788" w:rsidP="003C2E23">
      <w:pPr>
        <w:spacing w:before="0"/>
      </w:pPr>
      <w:r>
        <w:separator/>
      </w:r>
    </w:p>
  </w:footnote>
  <w:footnote w:type="continuationSeparator" w:id="0">
    <w:p w14:paraId="762E2E8C" w14:textId="77777777" w:rsidR="00A80788" w:rsidRDefault="00A80788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92DBB2D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31C28">
      <w:rPr>
        <w:rFonts w:ascii="Arial" w:hAnsi="Arial" w:cs="Arial"/>
        <w:sz w:val="16"/>
        <w:szCs w:val="16"/>
      </w:rPr>
      <w:t xml:space="preserve">Vytyčení </w:t>
    </w:r>
    <w:r w:rsidR="006F4F33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F31C28">
      <w:rPr>
        <w:rFonts w:ascii="Arial" w:hAnsi="Arial" w:cs="Arial"/>
        <w:sz w:val="16"/>
        <w:szCs w:val="16"/>
      </w:rPr>
      <w:t>KoPÚ</w:t>
    </w:r>
    <w:proofErr w:type="spellEnd"/>
    <w:r w:rsidR="006F4F33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502B9AA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C1115C" w:rsidRPr="00C1115C">
      <w:rPr>
        <w:rFonts w:ascii="Arial" w:hAnsi="Arial" w:cs="Arial"/>
        <w:sz w:val="16"/>
        <w:szCs w:val="16"/>
      </w:rPr>
      <w:t>1035-2025-505201</w:t>
    </w:r>
    <w:r w:rsidRPr="00FF7DBF">
      <w:rPr>
        <w:rFonts w:ascii="Arial" w:hAnsi="Arial" w:cs="Arial"/>
        <w:sz w:val="16"/>
        <w:szCs w:val="16"/>
      </w:rPr>
      <w:tab/>
    </w:r>
  </w:p>
  <w:p w14:paraId="4855AD84" w14:textId="10116352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071A3">
      <w:rPr>
        <w:rFonts w:ascii="Arial" w:hAnsi="Arial" w:cs="Arial"/>
        <w:sz w:val="16"/>
        <w:szCs w:val="16"/>
      </w:rPr>
      <w:t xml:space="preserve">: </w:t>
    </w:r>
    <w:r w:rsidR="00865352" w:rsidRPr="00865352">
      <w:rPr>
        <w:rFonts w:ascii="Arial" w:hAnsi="Arial" w:cs="Arial"/>
        <w:sz w:val="16"/>
        <w:szCs w:val="16"/>
      </w:rPr>
      <w:t>spudms00000015917810</w:t>
    </w:r>
  </w:p>
  <w:p w14:paraId="12A62E41" w14:textId="1CF3F9C4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9071A3">
      <w:rPr>
        <w:rFonts w:ascii="Arial" w:hAnsi="Arial" w:cs="Arial"/>
        <w:sz w:val="16"/>
        <w:szCs w:val="16"/>
      </w:rPr>
      <w:t xml:space="preserve"> </w:t>
    </w:r>
    <w:r w:rsidR="00865352">
      <w:rPr>
        <w:rFonts w:ascii="Arial" w:hAnsi="Arial" w:cs="Arial"/>
        <w:sz w:val="16"/>
        <w:szCs w:val="16"/>
      </w:rPr>
      <w:t>S202</w:t>
    </w:r>
    <w:r w:rsidR="0024232F">
      <w:rPr>
        <w:rFonts w:ascii="Arial" w:hAnsi="Arial" w:cs="Arial"/>
        <w:sz w:val="16"/>
        <w:szCs w:val="16"/>
      </w:rPr>
      <w:t>6</w:t>
    </w:r>
    <w:r w:rsidR="00865352">
      <w:rPr>
        <w:rFonts w:ascii="Arial" w:hAnsi="Arial" w:cs="Arial"/>
        <w:sz w:val="16"/>
        <w:szCs w:val="16"/>
      </w:rPr>
      <w:t>0245</w:t>
    </w:r>
    <w:r w:rsidRPr="00FF7DBF">
      <w:rPr>
        <w:rFonts w:ascii="Arial" w:hAnsi="Arial" w:cs="Arial"/>
        <w:sz w:val="16"/>
        <w:szCs w:val="16"/>
      </w:rPr>
      <w:tab/>
    </w:r>
  </w:p>
  <w:p w14:paraId="0C492D63" w14:textId="2D62F2F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31C28">
      <w:rPr>
        <w:rFonts w:ascii="Arial" w:hAnsi="Arial" w:cs="Arial"/>
        <w:sz w:val="16"/>
        <w:szCs w:val="16"/>
      </w:rPr>
      <w:t xml:space="preserve">Vytyčení </w:t>
    </w:r>
    <w:r w:rsidR="00FA686B" w:rsidRPr="00F31C28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F31C28">
      <w:rPr>
        <w:rFonts w:ascii="Arial" w:hAnsi="Arial" w:cs="Arial"/>
        <w:sz w:val="16"/>
        <w:szCs w:val="16"/>
      </w:rPr>
      <w:t>KoPÚ</w:t>
    </w:r>
    <w:proofErr w:type="spellEnd"/>
    <w:r w:rsidR="00FA686B" w:rsidRPr="00F31C28">
      <w:rPr>
        <w:rFonts w:ascii="Arial" w:hAnsi="Arial" w:cs="Arial"/>
        <w:sz w:val="16"/>
        <w:szCs w:val="16"/>
      </w:rPr>
      <w:t xml:space="preserve"> v okrese </w:t>
    </w:r>
    <w:r w:rsidR="00F31C28" w:rsidRPr="00F31C28">
      <w:rPr>
        <w:rFonts w:ascii="Arial" w:hAnsi="Arial" w:cs="Arial"/>
        <w:sz w:val="16"/>
        <w:szCs w:val="16"/>
      </w:rPr>
      <w:t>České Budějovice 2025 II.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BBE4" w14:textId="731C8D56" w:rsidR="004577B5" w:rsidRPr="004577B5" w:rsidRDefault="004577B5" w:rsidP="004577B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6497" w14:textId="77777777" w:rsidR="00C61A21" w:rsidRPr="00C61A21" w:rsidRDefault="00C61A21" w:rsidP="00C61A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86513E"/>
    <w:multiLevelType w:val="multilevel"/>
    <w:tmpl w:val="E662FF8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4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EB5ED1"/>
    <w:multiLevelType w:val="multilevel"/>
    <w:tmpl w:val="0866A472"/>
    <w:numStyleLink w:val="smouva"/>
  </w:abstractNum>
  <w:abstractNum w:abstractNumId="1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3"/>
  </w:num>
  <w:num w:numId="2" w16cid:durableId="1116751270">
    <w:abstractNumId w:val="1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2"/>
  </w:num>
  <w:num w:numId="4" w16cid:durableId="1000623667">
    <w:abstractNumId w:val="7"/>
  </w:num>
  <w:num w:numId="5" w16cid:durableId="895507397">
    <w:abstractNumId w:val="4"/>
  </w:num>
  <w:num w:numId="6" w16cid:durableId="2006280274">
    <w:abstractNumId w:val="18"/>
  </w:num>
  <w:num w:numId="7" w16cid:durableId="958727959">
    <w:abstractNumId w:val="2"/>
  </w:num>
  <w:num w:numId="8" w16cid:durableId="825558350">
    <w:abstractNumId w:val="16"/>
  </w:num>
  <w:num w:numId="9" w16cid:durableId="186526174">
    <w:abstractNumId w:val="15"/>
  </w:num>
  <w:num w:numId="10" w16cid:durableId="1968733556">
    <w:abstractNumId w:val="5"/>
  </w:num>
  <w:num w:numId="11" w16cid:durableId="444007765">
    <w:abstractNumId w:val="17"/>
  </w:num>
  <w:num w:numId="12" w16cid:durableId="96604194">
    <w:abstractNumId w:val="9"/>
  </w:num>
  <w:num w:numId="13" w16cid:durableId="719326364">
    <w:abstractNumId w:val="6"/>
  </w:num>
  <w:num w:numId="14" w16cid:durableId="613025742">
    <w:abstractNumId w:val="0"/>
  </w:num>
  <w:num w:numId="15" w16cid:durableId="937562608">
    <w:abstractNumId w:val="14"/>
  </w:num>
  <w:num w:numId="16" w16cid:durableId="981081081">
    <w:abstractNumId w:val="13"/>
  </w:num>
  <w:num w:numId="17" w16cid:durableId="2036996632">
    <w:abstractNumId w:val="8"/>
  </w:num>
  <w:num w:numId="18" w16cid:durableId="3482038">
    <w:abstractNumId w:val="19"/>
  </w:num>
  <w:num w:numId="19" w16cid:durableId="293173454">
    <w:abstractNumId w:val="10"/>
  </w:num>
  <w:num w:numId="20" w16cid:durableId="186720641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94F"/>
    <w:rsid w:val="00015AA5"/>
    <w:rsid w:val="0002130A"/>
    <w:rsid w:val="0002251A"/>
    <w:rsid w:val="00022CF5"/>
    <w:rsid w:val="000304D9"/>
    <w:rsid w:val="00043030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37D7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1211"/>
    <w:rsid w:val="00123FF9"/>
    <w:rsid w:val="00125D3F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3B7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232F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5B2"/>
    <w:rsid w:val="002639B2"/>
    <w:rsid w:val="002643FB"/>
    <w:rsid w:val="00264AF0"/>
    <w:rsid w:val="002664F7"/>
    <w:rsid w:val="002703C2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96DEE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38D6"/>
    <w:rsid w:val="00327747"/>
    <w:rsid w:val="0033673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2E43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76C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7B5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6D3"/>
    <w:rsid w:val="004D6D49"/>
    <w:rsid w:val="004D781B"/>
    <w:rsid w:val="004E1F85"/>
    <w:rsid w:val="004E3851"/>
    <w:rsid w:val="004E40BD"/>
    <w:rsid w:val="004E4FD8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215"/>
    <w:rsid w:val="00516AE9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02BE"/>
    <w:rsid w:val="005729A1"/>
    <w:rsid w:val="00572A16"/>
    <w:rsid w:val="005735CE"/>
    <w:rsid w:val="005755B2"/>
    <w:rsid w:val="0058121A"/>
    <w:rsid w:val="005835D7"/>
    <w:rsid w:val="005837B1"/>
    <w:rsid w:val="00584E24"/>
    <w:rsid w:val="00593A97"/>
    <w:rsid w:val="00595B77"/>
    <w:rsid w:val="00596CCA"/>
    <w:rsid w:val="00597AAD"/>
    <w:rsid w:val="005A0078"/>
    <w:rsid w:val="005A081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1499"/>
    <w:rsid w:val="00626C53"/>
    <w:rsid w:val="00632F9C"/>
    <w:rsid w:val="0063482B"/>
    <w:rsid w:val="00635B3C"/>
    <w:rsid w:val="00641634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430C"/>
    <w:rsid w:val="006C5E93"/>
    <w:rsid w:val="006D0149"/>
    <w:rsid w:val="006D23F1"/>
    <w:rsid w:val="006D47FA"/>
    <w:rsid w:val="006D681C"/>
    <w:rsid w:val="006E0028"/>
    <w:rsid w:val="006E4636"/>
    <w:rsid w:val="006E4835"/>
    <w:rsid w:val="006F0948"/>
    <w:rsid w:val="006F3E98"/>
    <w:rsid w:val="006F4F33"/>
    <w:rsid w:val="006F70B2"/>
    <w:rsid w:val="006F7B3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25F53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56B9C"/>
    <w:rsid w:val="007655CE"/>
    <w:rsid w:val="00766EB8"/>
    <w:rsid w:val="00772D26"/>
    <w:rsid w:val="00775324"/>
    <w:rsid w:val="00776351"/>
    <w:rsid w:val="007807D0"/>
    <w:rsid w:val="00781E3F"/>
    <w:rsid w:val="007848EE"/>
    <w:rsid w:val="007927EB"/>
    <w:rsid w:val="00794DBB"/>
    <w:rsid w:val="00797092"/>
    <w:rsid w:val="007977BA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175D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1083"/>
    <w:rsid w:val="0085340C"/>
    <w:rsid w:val="00857A74"/>
    <w:rsid w:val="00865147"/>
    <w:rsid w:val="00865352"/>
    <w:rsid w:val="0087482A"/>
    <w:rsid w:val="008759F5"/>
    <w:rsid w:val="00880538"/>
    <w:rsid w:val="0088061B"/>
    <w:rsid w:val="00886570"/>
    <w:rsid w:val="00886D4F"/>
    <w:rsid w:val="00890558"/>
    <w:rsid w:val="008927A9"/>
    <w:rsid w:val="008949EF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343C"/>
    <w:rsid w:val="008D4E25"/>
    <w:rsid w:val="008D5DAE"/>
    <w:rsid w:val="008D793B"/>
    <w:rsid w:val="008E5987"/>
    <w:rsid w:val="008E6CCF"/>
    <w:rsid w:val="008F0BF1"/>
    <w:rsid w:val="008F15CC"/>
    <w:rsid w:val="008F51AE"/>
    <w:rsid w:val="008F5E51"/>
    <w:rsid w:val="008F5F5B"/>
    <w:rsid w:val="008F6371"/>
    <w:rsid w:val="008F77AF"/>
    <w:rsid w:val="008F7E74"/>
    <w:rsid w:val="0090165D"/>
    <w:rsid w:val="009071A3"/>
    <w:rsid w:val="0091090C"/>
    <w:rsid w:val="00910DD9"/>
    <w:rsid w:val="0091238B"/>
    <w:rsid w:val="009123B4"/>
    <w:rsid w:val="0091285C"/>
    <w:rsid w:val="00914937"/>
    <w:rsid w:val="00921728"/>
    <w:rsid w:val="00926421"/>
    <w:rsid w:val="00926E4D"/>
    <w:rsid w:val="009373ED"/>
    <w:rsid w:val="00937914"/>
    <w:rsid w:val="00941C2E"/>
    <w:rsid w:val="009427AC"/>
    <w:rsid w:val="00956A45"/>
    <w:rsid w:val="009574D7"/>
    <w:rsid w:val="00957761"/>
    <w:rsid w:val="00960EB5"/>
    <w:rsid w:val="00963CDE"/>
    <w:rsid w:val="00967339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6F0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3E60"/>
    <w:rsid w:val="00A364C0"/>
    <w:rsid w:val="00A378F7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C33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0788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7DAA"/>
    <w:rsid w:val="00AD09BB"/>
    <w:rsid w:val="00AD5AD9"/>
    <w:rsid w:val="00AD699E"/>
    <w:rsid w:val="00AE4C0A"/>
    <w:rsid w:val="00AF0794"/>
    <w:rsid w:val="00AF0F3B"/>
    <w:rsid w:val="00AF1651"/>
    <w:rsid w:val="00AF265D"/>
    <w:rsid w:val="00B0012F"/>
    <w:rsid w:val="00B04BD8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46C4"/>
    <w:rsid w:val="00B7660C"/>
    <w:rsid w:val="00B768A0"/>
    <w:rsid w:val="00B817EB"/>
    <w:rsid w:val="00B8382A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0541"/>
    <w:rsid w:val="00BB156E"/>
    <w:rsid w:val="00BB303E"/>
    <w:rsid w:val="00BB79F7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115C"/>
    <w:rsid w:val="00C15359"/>
    <w:rsid w:val="00C2000D"/>
    <w:rsid w:val="00C246A4"/>
    <w:rsid w:val="00C30AB8"/>
    <w:rsid w:val="00C323A0"/>
    <w:rsid w:val="00C32683"/>
    <w:rsid w:val="00C34013"/>
    <w:rsid w:val="00C40EA7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1A21"/>
    <w:rsid w:val="00C67291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060A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47781"/>
    <w:rsid w:val="00D479C6"/>
    <w:rsid w:val="00D503FA"/>
    <w:rsid w:val="00D51B36"/>
    <w:rsid w:val="00D56C51"/>
    <w:rsid w:val="00D6451F"/>
    <w:rsid w:val="00D67483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02AD"/>
    <w:rsid w:val="00E315E8"/>
    <w:rsid w:val="00E33855"/>
    <w:rsid w:val="00E377EE"/>
    <w:rsid w:val="00E40A08"/>
    <w:rsid w:val="00E415FD"/>
    <w:rsid w:val="00E432A0"/>
    <w:rsid w:val="00E436C9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36"/>
    <w:rsid w:val="00E845E4"/>
    <w:rsid w:val="00E85AC9"/>
    <w:rsid w:val="00E92D95"/>
    <w:rsid w:val="00E96004"/>
    <w:rsid w:val="00EA3780"/>
    <w:rsid w:val="00EA4457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1483"/>
    <w:rsid w:val="00EF1F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C28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3D0"/>
    <w:rsid w:val="00FB6FC9"/>
    <w:rsid w:val="00FC174A"/>
    <w:rsid w:val="00FC2520"/>
    <w:rsid w:val="00FC7D2E"/>
    <w:rsid w:val="00FD03E7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2046fdb6-fa60-49a6-a635-1115ab0d2074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14</Pages>
  <Words>5250</Words>
  <Characters>30976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146</cp:revision>
  <cp:lastPrinted>2025-09-12T08:04:00Z</cp:lastPrinted>
  <dcterms:created xsi:type="dcterms:W3CDTF">2025-04-01T11:28:00Z</dcterms:created>
  <dcterms:modified xsi:type="dcterms:W3CDTF">2025-10-07T06:34:00Z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